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8209F" w14:textId="17D4B593" w:rsidR="00A37BA4" w:rsidRPr="007118FD" w:rsidRDefault="00A37BA4" w:rsidP="00A37BA4">
      <w:pPr>
        <w:jc w:val="center"/>
        <w:rPr>
          <w:rFonts w:ascii="Times New Roman" w:hAnsi="Times New Roman" w:cs="Times New Roman"/>
          <w:b/>
          <w:bCs/>
        </w:rPr>
      </w:pPr>
      <w:r w:rsidRPr="007118FD">
        <w:rPr>
          <w:rFonts w:ascii="Times New Roman" w:hAnsi="Times New Roman" w:cs="Times New Roman"/>
          <w:b/>
          <w:bCs/>
        </w:rPr>
        <w:t>Supplement</w:t>
      </w:r>
      <w:r w:rsidR="00D13616">
        <w:rPr>
          <w:rFonts w:ascii="Times New Roman" w:hAnsi="Times New Roman" w:cs="Times New Roman"/>
          <w:b/>
          <w:bCs/>
        </w:rPr>
        <w:t>al</w:t>
      </w:r>
    </w:p>
    <w:p w14:paraId="4C77EFA3" w14:textId="6103E7EB" w:rsidR="007118FD" w:rsidRPr="007118FD" w:rsidRDefault="007118FD" w:rsidP="50DA20E6">
      <w:pPr>
        <w:overflowPunct w:val="0"/>
        <w:autoSpaceDE w:val="0"/>
        <w:autoSpaceDN w:val="0"/>
        <w:adjustRightInd w:val="0"/>
        <w:spacing w:after="0" w:line="480" w:lineRule="auto"/>
        <w:textAlignment w:val="baseline"/>
        <w:rPr>
          <w:rFonts w:ascii="Times New Roman" w:eastAsia="PMingLiU" w:hAnsi="Times New Roman" w:cs="Times New Roman"/>
          <w:b/>
          <w:bCs/>
          <w:kern w:val="0"/>
          <w14:ligatures w14:val="none"/>
        </w:rPr>
      </w:pPr>
      <w:r w:rsidRPr="50DA20E6">
        <w:rPr>
          <w:rFonts w:ascii="Times New Roman" w:eastAsia="PMingLiU" w:hAnsi="Times New Roman" w:cs="Times New Roman"/>
          <w:b/>
          <w:bCs/>
          <w:kern w:val="0"/>
          <w14:ligatures w14:val="none"/>
        </w:rPr>
        <w:t>Measurement Invariance Analyses of Ethnic-Racial Identity (ERI)</w:t>
      </w:r>
    </w:p>
    <w:p w14:paraId="5E16BE70" w14:textId="50CF6CB6" w:rsidR="003A75B4" w:rsidRDefault="50DA20E6" w:rsidP="00A37BA4">
      <w:pPr>
        <w:spacing w:line="480" w:lineRule="auto"/>
        <w:ind w:firstLine="720"/>
        <w:rPr>
          <w:rFonts w:ascii="Times New Roman" w:hAnsi="Times New Roman" w:cs="Times New Roman"/>
          <w:color w:val="000000" w:themeColor="text1"/>
        </w:rPr>
      </w:pPr>
      <w:r w:rsidRPr="50DA20E6">
        <w:rPr>
          <w:rFonts w:ascii="Times New Roman" w:hAnsi="Times New Roman" w:cs="Times New Roman"/>
        </w:rPr>
        <w:t xml:space="preserve">Three independent series of measurement invariance tests were conducted to evaluate whether Mexican mothers’ </w:t>
      </w:r>
      <w:r w:rsidRPr="50DA20E6">
        <w:rPr>
          <w:rFonts w:ascii="Times New Roman" w:hAnsi="Times New Roman" w:cs="Times New Roman"/>
          <w:i/>
          <w:iCs/>
        </w:rPr>
        <w:t>centrality</w:t>
      </w:r>
      <w:r w:rsidRPr="50DA20E6">
        <w:rPr>
          <w:rFonts w:ascii="Times New Roman" w:hAnsi="Times New Roman" w:cs="Times New Roman"/>
        </w:rPr>
        <w:t xml:space="preserve">, </w:t>
      </w:r>
      <w:r w:rsidRPr="50DA20E6">
        <w:rPr>
          <w:rFonts w:ascii="Times New Roman" w:hAnsi="Times New Roman" w:cs="Times New Roman"/>
          <w:i/>
          <w:iCs/>
        </w:rPr>
        <w:t>exploration</w:t>
      </w:r>
      <w:r w:rsidRPr="50DA20E6">
        <w:rPr>
          <w:rFonts w:ascii="Times New Roman" w:hAnsi="Times New Roman" w:cs="Times New Roman"/>
        </w:rPr>
        <w:t xml:space="preserve">, and </w:t>
      </w:r>
      <w:r w:rsidRPr="50DA20E6">
        <w:rPr>
          <w:rFonts w:ascii="Times New Roman" w:hAnsi="Times New Roman" w:cs="Times New Roman"/>
          <w:i/>
          <w:iCs/>
        </w:rPr>
        <w:t>resolution</w:t>
      </w:r>
      <w:r w:rsidRPr="50DA20E6">
        <w:rPr>
          <w:rFonts w:ascii="Times New Roman" w:hAnsi="Times New Roman" w:cs="Times New Roman"/>
        </w:rPr>
        <w:t xml:space="preserve"> were structurally invariant across the three waves. The first step tests a configural model with no constraints on factor loadings or item intercepts across time points. This model serves as a starting point for subsequent tests that adds more restrictions on the form of invariance. The next step tests for metric invariance model, which constrained the factor loadings to be equal across time points. If no meaningful discrepancy in fit is found between the configural invariance model and the more constrained metric invariance model, this would suggest metric invariance. Finally, a scalar invariance model is evaluated by constraining both factor loadings and item intercepts to be equal across time points. If there is no meaningful decrement in fit between the metric and scalar invariance models, this is considered as evidence in favor of scalar invariance. According to Little </w:t>
      </w:r>
      <w:r w:rsidR="00A37BA4" w:rsidRPr="50DA20E6">
        <w:rPr>
          <w:rFonts w:ascii="Times New Roman" w:hAnsi="Times New Roman" w:cs="Times New Roman"/>
        </w:rPr>
        <w:fldChar w:fldCharType="begin"/>
      </w:r>
      <w:r w:rsidR="00A37BA4" w:rsidRPr="50DA20E6">
        <w:rPr>
          <w:rFonts w:ascii="Times New Roman" w:hAnsi="Times New Roman" w:cs="Times New Roman"/>
        </w:rPr>
        <w:instrText xml:space="preserve"> ADDIN EN.CITE &lt;EndNote&gt;&lt;Cite ExcludeAuth="1"&gt;&lt;Author&gt;Little&lt;/Author&gt;&lt;Year&gt;2013&lt;/Year&gt;&lt;RecNum&gt;112&lt;/RecNum&gt;&lt;DisplayText&gt;(2013)&lt;/DisplayText&gt;&lt;record&gt;&lt;rec-number&gt;112&lt;/rec-number&gt;&lt;foreign-keys&gt;&lt;key app="EN" db-id="t5a9ezp9t02ex3eexa9vftrwst5vrvpars92" timestamp="1662083261"&gt;112&lt;/key&gt;&lt;/foreign-keys&gt;&lt;ref-type name="Book"&gt;6&lt;/ref-type&gt;&lt;contributors&gt;&lt;authors&gt;&lt;author&gt;Little, Todd D&lt;/author&gt;&lt;/authors&gt;&lt;/contributors&gt;&lt;titles&gt;&lt;title&gt;Longitudinal structural equation modeling&lt;/title&gt;&lt;/titles&gt;&lt;dates&gt;&lt;year&gt;2013&lt;/year&gt;&lt;/dates&gt;&lt;publisher&gt;Guilford press&lt;/publisher&gt;&lt;isbn&gt;1462510272&lt;/isbn&gt;&lt;urls&gt;&lt;/urls&gt;&lt;/record&gt;&lt;/Cite&gt;&lt;/EndNote&gt;</w:instrText>
      </w:r>
      <w:r w:rsidR="00A37BA4" w:rsidRPr="50DA20E6">
        <w:rPr>
          <w:rFonts w:ascii="Times New Roman" w:hAnsi="Times New Roman" w:cs="Times New Roman"/>
        </w:rPr>
        <w:fldChar w:fldCharType="separate"/>
      </w:r>
      <w:r w:rsidRPr="50DA20E6">
        <w:rPr>
          <w:rFonts w:ascii="Times New Roman" w:hAnsi="Times New Roman" w:cs="Times New Roman"/>
          <w:noProof/>
        </w:rPr>
        <w:t>(2013)</w:t>
      </w:r>
      <w:r w:rsidR="00A37BA4" w:rsidRPr="50DA20E6">
        <w:rPr>
          <w:rFonts w:ascii="Times New Roman" w:hAnsi="Times New Roman" w:cs="Times New Roman"/>
        </w:rPr>
        <w:fldChar w:fldCharType="end"/>
      </w:r>
      <w:r w:rsidRPr="50DA20E6">
        <w:rPr>
          <w:rFonts w:ascii="Times New Roman" w:hAnsi="Times New Roman" w:cs="Times New Roman"/>
        </w:rPr>
        <w:t xml:space="preserve">, a latent construct achieves metric invariance if </w:t>
      </w:r>
      <w:r w:rsidR="00633BB8">
        <w:rPr>
          <w:rFonts w:ascii="Times New Roman" w:hAnsi="Times New Roman" w:cs="Times New Roman"/>
        </w:rPr>
        <w:t xml:space="preserve">the </w:t>
      </w:r>
      <w:r w:rsidRPr="50DA20E6">
        <w:rPr>
          <w:rFonts w:ascii="Times New Roman" w:hAnsi="Times New Roman" w:cs="Times New Roman"/>
        </w:rPr>
        <w:t xml:space="preserve">metric model does not significantly differ from </w:t>
      </w:r>
      <w:r w:rsidR="00633BB8">
        <w:rPr>
          <w:rFonts w:ascii="Times New Roman" w:hAnsi="Times New Roman" w:cs="Times New Roman"/>
        </w:rPr>
        <w:t xml:space="preserve">the </w:t>
      </w:r>
      <w:r w:rsidRPr="50DA20E6">
        <w:rPr>
          <w:rFonts w:ascii="Times New Roman" w:hAnsi="Times New Roman" w:cs="Times New Roman"/>
        </w:rPr>
        <w:t>configural model, and it meets scalar invariance if</w:t>
      </w:r>
      <w:r w:rsidR="00633BB8">
        <w:rPr>
          <w:rFonts w:ascii="Times New Roman" w:hAnsi="Times New Roman" w:cs="Times New Roman"/>
        </w:rPr>
        <w:t xml:space="preserve"> the</w:t>
      </w:r>
      <w:r w:rsidRPr="50DA20E6">
        <w:rPr>
          <w:rFonts w:ascii="Times New Roman" w:hAnsi="Times New Roman" w:cs="Times New Roman"/>
        </w:rPr>
        <w:t xml:space="preserve"> scalar model is not significantly better than </w:t>
      </w:r>
      <w:r w:rsidR="00633BB8">
        <w:rPr>
          <w:rFonts w:ascii="Times New Roman" w:hAnsi="Times New Roman" w:cs="Times New Roman"/>
        </w:rPr>
        <w:t xml:space="preserve">the </w:t>
      </w:r>
      <w:r w:rsidRPr="50DA20E6">
        <w:rPr>
          <w:rFonts w:ascii="Times New Roman" w:hAnsi="Times New Roman" w:cs="Times New Roman"/>
        </w:rPr>
        <w:t>metric model. A construct is considered longitudinally invariant if the aforementioned comparisons meet at least two out of three criteria: Δχ2 is not significant (</w:t>
      </w:r>
      <w:r w:rsidRPr="50DA20E6">
        <w:rPr>
          <w:rFonts w:ascii="Times New Roman" w:hAnsi="Times New Roman" w:cs="Times New Roman"/>
          <w:i/>
          <w:iCs/>
        </w:rPr>
        <w:t>p</w:t>
      </w:r>
      <w:r w:rsidRPr="50DA20E6">
        <w:rPr>
          <w:rFonts w:ascii="Times New Roman" w:hAnsi="Times New Roman" w:cs="Times New Roman"/>
        </w:rPr>
        <w:t xml:space="preserve"> &gt;.05), ΔCFI &lt; .01, and ΔRMSEA &lt; .01 </w:t>
      </w:r>
      <w:r w:rsidR="00A37BA4" w:rsidRPr="50DA20E6">
        <w:rPr>
          <w:rFonts w:ascii="Times New Roman" w:hAnsi="Times New Roman" w:cs="Times New Roman"/>
          <w:color w:val="000000" w:themeColor="text1"/>
        </w:rPr>
        <w:fldChar w:fldCharType="begin"/>
      </w:r>
      <w:r w:rsidR="00A37BA4" w:rsidRPr="50DA20E6">
        <w:rPr>
          <w:rFonts w:ascii="Times New Roman" w:hAnsi="Times New Roman" w:cs="Times New Roman"/>
          <w:color w:val="000000" w:themeColor="text1"/>
        </w:rPr>
        <w:instrText xml:space="preserve"> ADDIN EN.CITE &lt;EndNote&gt;&lt;Cite&gt;&lt;Author&gt;Widaman&lt;/Author&gt;&lt;Year&gt;2003&lt;/Year&gt;&lt;RecNum&gt;131&lt;/RecNum&gt;&lt;DisplayText&gt;(Widaman &amp;amp; Thompson, 2003)&lt;/DisplayText&gt;&lt;record&gt;&lt;rec-number&gt;131&lt;/rec-number&gt;&lt;foreign-keys&gt;&lt;key app="EN" db-id="t5a9ezp9t02ex3eexa9vftrwst5vrvpars92" timestamp="1668115998"&gt;131&lt;/key&gt;&lt;/foreign-keys&gt;&lt;ref-type name="Journal Article"&gt;17&lt;/ref-type&gt;&lt;contributors&gt;&lt;authors&gt;&lt;author&gt;Widaman, Keith F&lt;/author&gt;&lt;author&gt;Thompson, Jane S&lt;/author&gt;&lt;/authors&gt;&lt;/contributors&gt;&lt;titles&gt;&lt;title&gt;On specifying the null model for incremental fit indices in structural equation modeling&lt;/title&gt;&lt;secondary-title&gt;Psychological methods&lt;/secondary-title&gt;&lt;/titles&gt;&lt;periodical&gt;&lt;full-title&gt;Psychological methods&lt;/full-title&gt;&lt;/periodical&gt;&lt;pages&gt;16&lt;/pages&gt;&lt;volume&gt;8&lt;/volume&gt;&lt;number&gt;1&lt;/number&gt;&lt;dates&gt;&lt;year&gt;2003&lt;/year&gt;&lt;/dates&gt;&lt;isbn&gt;1939-1463&lt;/isbn&gt;&lt;urls&gt;&lt;/urls&gt;&lt;/record&gt;&lt;/Cite&gt;&lt;/EndNote&gt;</w:instrText>
      </w:r>
      <w:r w:rsidR="00A37BA4" w:rsidRPr="50DA20E6">
        <w:rPr>
          <w:rFonts w:ascii="Times New Roman" w:hAnsi="Times New Roman" w:cs="Times New Roman"/>
          <w:color w:val="000000" w:themeColor="text1"/>
        </w:rPr>
        <w:fldChar w:fldCharType="separate"/>
      </w:r>
      <w:r w:rsidRPr="50DA20E6">
        <w:rPr>
          <w:rFonts w:ascii="Times New Roman" w:hAnsi="Times New Roman" w:cs="Times New Roman"/>
          <w:noProof/>
          <w:color w:val="000000" w:themeColor="text1"/>
        </w:rPr>
        <w:t>(Widaman &amp; Thompson, 2003)</w:t>
      </w:r>
      <w:r w:rsidR="00A37BA4" w:rsidRPr="50DA20E6">
        <w:rPr>
          <w:rFonts w:ascii="Times New Roman" w:hAnsi="Times New Roman" w:cs="Times New Roman"/>
          <w:color w:val="000000" w:themeColor="text1"/>
        </w:rPr>
        <w:fldChar w:fldCharType="end"/>
      </w:r>
      <w:r w:rsidRPr="50DA20E6">
        <w:rPr>
          <w:rFonts w:ascii="Times New Roman" w:hAnsi="Times New Roman" w:cs="Times New Roman"/>
          <w:color w:val="000000" w:themeColor="text1"/>
        </w:rPr>
        <w:t xml:space="preserve">. According to </w:t>
      </w:r>
      <w:r w:rsidR="00A37BA4" w:rsidRPr="50DA20E6">
        <w:rPr>
          <w:rFonts w:ascii="Times New Roman" w:hAnsi="Times New Roman" w:cs="Times New Roman"/>
          <w:color w:val="000000" w:themeColor="text1"/>
        </w:rPr>
        <w:fldChar w:fldCharType="begin"/>
      </w:r>
      <w:r w:rsidR="00A37BA4" w:rsidRPr="50DA20E6">
        <w:rPr>
          <w:rFonts w:ascii="Times New Roman" w:hAnsi="Times New Roman" w:cs="Times New Roman"/>
          <w:color w:val="000000" w:themeColor="text1"/>
        </w:rPr>
        <w:instrText xml:space="preserve"> ADDIN EN.CITE &lt;EndNote&gt;&lt;Cite&gt;&lt;Author&gt;Pokropek&lt;/Author&gt;&lt;Year&gt;2019&lt;/Year&gt;&lt;RecNum&gt;140&lt;/RecNum&gt;&lt;DisplayText&gt;(Pokropek et al., 2019)&lt;/DisplayText&gt;&lt;record&gt;&lt;rec-number&gt;140&lt;/rec-number&gt;&lt;foreign-keys&gt;&lt;key app="EN" db-id="t5a9ezp9t02ex3eexa9vftrwst5vrvpars92" timestamp="1668619049"&gt;140&lt;/key&gt;&lt;/foreign-keys&gt;&lt;ref-type name="Journal Article"&gt;17&lt;/ref-type&gt;&lt;contributors&gt;&lt;authors&gt;&lt;author&gt;Pokropek, Artur&lt;/author&gt;&lt;author&gt;Davidov, Eldad&lt;/author&gt;&lt;author&gt;Schmidt, Peter&lt;/author&gt;&lt;/authors&gt;&lt;/contributors&gt;&lt;titles&gt;&lt;title&gt;A Monte Carlo simulation study to assess the appropriateness of traditional and newer approaches to test for measurement invariance&lt;/title&gt;&lt;secondary-title&gt;Structural Equation Modeling: A Multidisciplinary Journal&lt;/secondary-title&gt;&lt;/titles&gt;&lt;periodical&gt;&lt;full-title&gt;Structural equation modeling: A multidisciplinary Journal&lt;/full-title&gt;&lt;/periodical&gt;&lt;pages&gt;724-744&lt;/pages&gt;&lt;volume&gt;26&lt;/volume&gt;&lt;number&gt;5&lt;/number&gt;&lt;dates&gt;&lt;year&gt;2019&lt;/year&gt;&lt;/dates&gt;&lt;isbn&gt;1070-5511&lt;/isbn&gt;&lt;urls&gt;&lt;/urls&gt;&lt;/record&gt;&lt;/Cite&gt;&lt;/EndNote&gt;</w:instrText>
      </w:r>
      <w:r w:rsidR="00A37BA4" w:rsidRPr="50DA20E6">
        <w:rPr>
          <w:rFonts w:ascii="Times New Roman" w:hAnsi="Times New Roman" w:cs="Times New Roman"/>
          <w:color w:val="000000" w:themeColor="text1"/>
        </w:rPr>
        <w:fldChar w:fldCharType="separate"/>
      </w:r>
      <w:r w:rsidRPr="50DA20E6">
        <w:rPr>
          <w:rFonts w:ascii="Times New Roman" w:hAnsi="Times New Roman" w:cs="Times New Roman"/>
          <w:noProof/>
          <w:color w:val="000000" w:themeColor="text1"/>
        </w:rPr>
        <w:t>Pokropek et al., 2019</w:t>
      </w:r>
      <w:r w:rsidR="00A37BA4" w:rsidRPr="50DA20E6">
        <w:rPr>
          <w:rFonts w:ascii="Times New Roman" w:hAnsi="Times New Roman" w:cs="Times New Roman"/>
          <w:color w:val="000000" w:themeColor="text1"/>
        </w:rPr>
        <w:fldChar w:fldCharType="end"/>
      </w:r>
      <w:r w:rsidRPr="50DA20E6">
        <w:rPr>
          <w:rFonts w:ascii="Times New Roman" w:hAnsi="Times New Roman" w:cs="Times New Roman"/>
          <w:color w:val="000000" w:themeColor="text1"/>
        </w:rPr>
        <w:t>, establishing partial scalar invariance will be sufficient to meaningfully compare latent factor means across time.</w:t>
      </w:r>
    </w:p>
    <w:p w14:paraId="3B213B79" w14:textId="2F64881A" w:rsidR="007118FD" w:rsidRPr="007118FD" w:rsidRDefault="007118FD" w:rsidP="50DA20E6">
      <w:pPr>
        <w:spacing w:after="0" w:line="480" w:lineRule="auto"/>
        <w:rPr>
          <w:rFonts w:ascii="Times New Roman" w:eastAsia="PMingLiU" w:hAnsi="Times New Roman" w:cs="Times New Roman"/>
        </w:rPr>
      </w:pPr>
      <w:r w:rsidRPr="009B40EA">
        <w:rPr>
          <w:rFonts w:ascii="Times New Roman" w:eastAsia="PMingLiU" w:hAnsi="Times New Roman" w:cs="Times New Roman"/>
          <w:b/>
          <w:kern w:val="0"/>
          <w14:ligatures w14:val="none"/>
        </w:rPr>
        <w:tab/>
      </w:r>
      <w:r w:rsidRPr="50DA20E6">
        <w:rPr>
          <w:rFonts w:ascii="Times New Roman" w:eastAsia="PMingLiU" w:hAnsi="Times New Roman" w:cs="Times New Roman"/>
          <w:kern w:val="0"/>
          <w14:ligatures w14:val="none"/>
        </w:rPr>
        <w:t xml:space="preserve">Table </w:t>
      </w:r>
      <w:r w:rsidR="00631B53" w:rsidRPr="50DA20E6">
        <w:rPr>
          <w:rFonts w:ascii="Times New Roman" w:eastAsia="PMingLiU" w:hAnsi="Times New Roman" w:cs="Times New Roman"/>
          <w:kern w:val="0"/>
          <w14:ligatures w14:val="none"/>
        </w:rPr>
        <w:t>S</w:t>
      </w:r>
      <w:r w:rsidR="00C1483E">
        <w:rPr>
          <w:rFonts w:ascii="Times New Roman" w:eastAsia="PMingLiU" w:hAnsi="Times New Roman" w:cs="Times New Roman"/>
          <w:kern w:val="0"/>
          <w14:ligatures w14:val="none"/>
        </w:rPr>
        <w:t>1</w:t>
      </w:r>
      <w:r w:rsidRPr="50DA20E6">
        <w:rPr>
          <w:rFonts w:ascii="Times New Roman" w:eastAsia="PMingLiU" w:hAnsi="Times New Roman" w:cs="Times New Roman"/>
          <w:kern w:val="0"/>
          <w14:ligatures w14:val="none"/>
        </w:rPr>
        <w:t xml:space="preserve"> presents the results of measurement invariance tests in all </w:t>
      </w:r>
      <w:r w:rsidR="50DA20E6" w:rsidRPr="50DA20E6">
        <w:rPr>
          <w:rFonts w:ascii="Times New Roman" w:eastAsia="PMingLiU" w:hAnsi="Times New Roman" w:cs="Times New Roman"/>
        </w:rPr>
        <w:t>ERI</w:t>
      </w:r>
      <w:r w:rsidRPr="50DA20E6">
        <w:rPr>
          <w:rFonts w:ascii="Times New Roman" w:eastAsia="PMingLiU" w:hAnsi="Times New Roman" w:cs="Times New Roman"/>
          <w:kern w:val="0"/>
          <w14:ligatures w14:val="none"/>
        </w:rPr>
        <w:t xml:space="preserve"> components (i.e., </w:t>
      </w:r>
      <w:r w:rsidRPr="50DA20E6">
        <w:rPr>
          <w:rFonts w:ascii="Times New Roman" w:eastAsia="PMingLiU" w:hAnsi="Times New Roman" w:cs="Times New Roman"/>
          <w:i/>
          <w:iCs/>
          <w:kern w:val="0"/>
          <w14:ligatures w14:val="none"/>
        </w:rPr>
        <w:t xml:space="preserve">exploration, resolution, </w:t>
      </w:r>
      <w:r w:rsidRPr="50DA20E6">
        <w:rPr>
          <w:rFonts w:ascii="Times New Roman" w:eastAsia="PMingLiU" w:hAnsi="Times New Roman" w:cs="Times New Roman"/>
          <w:kern w:val="0"/>
          <w14:ligatures w14:val="none"/>
        </w:rPr>
        <w:t xml:space="preserve">and </w:t>
      </w:r>
      <w:r w:rsidRPr="50DA20E6">
        <w:rPr>
          <w:rFonts w:ascii="Times New Roman" w:eastAsia="PMingLiU" w:hAnsi="Times New Roman" w:cs="Times New Roman"/>
          <w:i/>
          <w:iCs/>
          <w:kern w:val="0"/>
          <w14:ligatures w14:val="none"/>
        </w:rPr>
        <w:t>centrality</w:t>
      </w:r>
      <w:r w:rsidRPr="50DA20E6">
        <w:rPr>
          <w:rFonts w:ascii="Times New Roman" w:eastAsia="PMingLiU" w:hAnsi="Times New Roman" w:cs="Times New Roman"/>
          <w:kern w:val="0"/>
          <w14:ligatures w14:val="none"/>
        </w:rPr>
        <w:t xml:space="preserve">). </w:t>
      </w:r>
      <w:proofErr w:type="gramStart"/>
      <w:r w:rsidRPr="009B40EA">
        <w:rPr>
          <w:rFonts w:ascii="Times New Roman" w:eastAsia="PMingLiU" w:hAnsi="Times New Roman" w:cs="Times New Roman"/>
          <w:kern w:val="0"/>
          <w14:ligatures w14:val="none"/>
        </w:rPr>
        <w:t>As a whole, configural</w:t>
      </w:r>
      <w:proofErr w:type="gramEnd"/>
      <w:r w:rsidRPr="009B40EA">
        <w:rPr>
          <w:rFonts w:ascii="Times New Roman" w:eastAsia="PMingLiU" w:hAnsi="Times New Roman" w:cs="Times New Roman"/>
          <w:kern w:val="0"/>
          <w14:ligatures w14:val="none"/>
        </w:rPr>
        <w:t xml:space="preserve">, metric, and full scalar invariance were observed in all </w:t>
      </w:r>
      <w:r w:rsidR="50DA20E6" w:rsidRPr="50DA20E6">
        <w:rPr>
          <w:rFonts w:ascii="Times New Roman" w:eastAsia="PMingLiU" w:hAnsi="Times New Roman" w:cs="Times New Roman"/>
        </w:rPr>
        <w:t>ERI</w:t>
      </w:r>
      <w:r w:rsidRPr="009B40EA">
        <w:rPr>
          <w:rFonts w:ascii="Times New Roman" w:eastAsia="PMingLiU" w:hAnsi="Times New Roman" w:cs="Times New Roman"/>
          <w:kern w:val="0"/>
          <w14:ligatures w14:val="none"/>
        </w:rPr>
        <w:t xml:space="preserve"> component</w:t>
      </w:r>
      <w:r w:rsidR="00631B53">
        <w:rPr>
          <w:rFonts w:ascii="Times New Roman" w:eastAsia="PMingLiU" w:hAnsi="Times New Roman" w:cs="Times New Roman"/>
          <w:kern w:val="0"/>
          <w14:ligatures w14:val="none"/>
        </w:rPr>
        <w:t>s</w:t>
      </w:r>
      <w:r w:rsidRPr="009B40EA">
        <w:rPr>
          <w:rFonts w:ascii="Times New Roman" w:eastAsia="PMingLiU" w:hAnsi="Times New Roman" w:cs="Times New Roman"/>
          <w:kern w:val="0"/>
          <w14:ligatures w14:val="none"/>
        </w:rPr>
        <w:t xml:space="preserve"> across three waves, indicating that </w:t>
      </w:r>
      <w:r w:rsidR="50DA20E6" w:rsidRPr="50DA20E6">
        <w:rPr>
          <w:rFonts w:ascii="Times New Roman" w:eastAsia="PMingLiU" w:hAnsi="Times New Roman" w:cs="Times New Roman"/>
        </w:rPr>
        <w:t>ERI</w:t>
      </w:r>
      <w:r w:rsidRPr="50DA20E6">
        <w:rPr>
          <w:rFonts w:ascii="Times New Roman" w:eastAsia="PMingLiU" w:hAnsi="Times New Roman" w:cs="Times New Roman"/>
          <w:i/>
          <w:iCs/>
          <w:kern w:val="0"/>
          <w14:ligatures w14:val="none"/>
        </w:rPr>
        <w:t xml:space="preserve"> exploration, </w:t>
      </w:r>
      <w:r w:rsidRPr="50DA20E6">
        <w:rPr>
          <w:rFonts w:ascii="Times New Roman" w:eastAsia="PMingLiU" w:hAnsi="Times New Roman" w:cs="Times New Roman"/>
          <w:i/>
          <w:iCs/>
          <w:kern w:val="0"/>
          <w14:ligatures w14:val="none"/>
        </w:rPr>
        <w:lastRenderedPageBreak/>
        <w:t xml:space="preserve">resolution, </w:t>
      </w:r>
      <w:r w:rsidRPr="009B40EA">
        <w:rPr>
          <w:rFonts w:ascii="Times New Roman" w:eastAsia="PMingLiU" w:hAnsi="Times New Roman" w:cs="Times New Roman"/>
          <w:kern w:val="0"/>
          <w14:ligatures w14:val="none"/>
        </w:rPr>
        <w:t>and</w:t>
      </w:r>
      <w:r w:rsidRPr="50DA20E6">
        <w:rPr>
          <w:rFonts w:ascii="Times New Roman" w:eastAsia="PMingLiU" w:hAnsi="Times New Roman" w:cs="Times New Roman"/>
          <w:i/>
          <w:iCs/>
          <w:kern w:val="0"/>
          <w14:ligatures w14:val="none"/>
        </w:rPr>
        <w:t xml:space="preserve"> centrality</w:t>
      </w:r>
      <w:r w:rsidRPr="009B40EA">
        <w:rPr>
          <w:rFonts w:ascii="Times New Roman" w:eastAsia="PMingLiU" w:hAnsi="Times New Roman" w:cs="Times New Roman"/>
          <w:kern w:val="0"/>
          <w14:ligatures w14:val="none"/>
        </w:rPr>
        <w:t xml:space="preserve"> were longitudinally invariant. This suggests that Mexican mothers perceived three ethnic identity components in a conceptually similar manner across three waves. </w:t>
      </w:r>
    </w:p>
    <w:p w14:paraId="751BDA50" w14:textId="3EC61946" w:rsidR="00A37BA4" w:rsidRPr="009B40EA" w:rsidRDefault="00A37BA4" w:rsidP="50DA20E6">
      <w:pPr>
        <w:spacing w:after="0" w:line="480" w:lineRule="auto"/>
        <w:ind w:firstLine="720"/>
        <w:rPr>
          <w:rFonts w:ascii="Times New Roman" w:eastAsia="PMingLiU" w:hAnsi="Times New Roman" w:cs="Times New Roman"/>
        </w:rPr>
      </w:pPr>
      <w:r w:rsidRPr="009B40EA">
        <w:rPr>
          <w:rFonts w:ascii="Times New Roman" w:eastAsia="PMingLiU" w:hAnsi="Times New Roman" w:cs="Times New Roman"/>
          <w:kern w:val="0"/>
          <w14:ligatures w14:val="none"/>
        </w:rPr>
        <w:t xml:space="preserve">For </w:t>
      </w:r>
      <w:r w:rsidR="50DA20E6" w:rsidRPr="50DA20E6">
        <w:rPr>
          <w:rFonts w:ascii="Times New Roman" w:eastAsia="PMingLiU" w:hAnsi="Times New Roman" w:cs="Times New Roman"/>
        </w:rPr>
        <w:t xml:space="preserve">ERI </w:t>
      </w:r>
      <w:r w:rsidRPr="50DA20E6">
        <w:rPr>
          <w:rFonts w:ascii="Times New Roman" w:eastAsia="PMingLiU" w:hAnsi="Times New Roman" w:cs="Times New Roman"/>
          <w:i/>
          <w:iCs/>
          <w:kern w:val="0"/>
          <w14:ligatures w14:val="none"/>
        </w:rPr>
        <w:t>exploration</w:t>
      </w:r>
      <w:r w:rsidRPr="009B40EA">
        <w:rPr>
          <w:rFonts w:ascii="Times New Roman" w:eastAsia="PMingLiU" w:hAnsi="Times New Roman" w:cs="Times New Roman"/>
          <w:kern w:val="0"/>
          <w14:ligatures w14:val="none"/>
        </w:rPr>
        <w:t xml:space="preserve">, comparisons of </w:t>
      </w:r>
      <w:r w:rsidRPr="50DA20E6">
        <w:rPr>
          <w:rFonts w:ascii="Times New Roman" w:eastAsia="PMingLiU" w:hAnsi="Times New Roman" w:cs="Times New Roman"/>
          <w:i/>
          <w:iCs/>
          <w:kern w:val="0"/>
          <w14:ligatures w14:val="none"/>
        </w:rPr>
        <w:t>χ2</w:t>
      </w:r>
      <w:r w:rsidRPr="009B40EA">
        <w:rPr>
          <w:rFonts w:ascii="Times New Roman" w:eastAsia="PMingLiU" w:hAnsi="Times New Roman" w:cs="Times New Roman"/>
          <w:kern w:val="0"/>
          <w14:ligatures w14:val="none"/>
        </w:rPr>
        <w:t xml:space="preserve">, CFI, and RMSEA for the configural versus metric invariance models showed that </w:t>
      </w:r>
      <w:r w:rsidRPr="50DA20E6">
        <w:rPr>
          <w:rFonts w:ascii="Times New Roman" w:eastAsia="PMingLiU" w:hAnsi="Times New Roman" w:cs="Times New Roman"/>
          <w:i/>
          <w:iCs/>
          <w:kern w:val="0"/>
          <w14:ligatures w14:val="none"/>
        </w:rPr>
        <w:t>Δχ2</w:t>
      </w:r>
      <w:r w:rsidRPr="009B40EA">
        <w:rPr>
          <w:rFonts w:ascii="Times New Roman" w:eastAsia="PMingLiU" w:hAnsi="Times New Roman" w:cs="Times New Roman"/>
          <w:kern w:val="0"/>
          <w14:ligatures w14:val="none"/>
        </w:rPr>
        <w:t xml:space="preserve"> was not significant (</w:t>
      </w:r>
      <w:r w:rsidRPr="50DA20E6">
        <w:rPr>
          <w:rFonts w:ascii="Times New Roman" w:eastAsia="PMingLiU" w:hAnsi="Times New Roman" w:cs="Times New Roman"/>
          <w:i/>
          <w:iCs/>
          <w:kern w:val="0"/>
          <w14:ligatures w14:val="none"/>
        </w:rPr>
        <w:t>p</w:t>
      </w:r>
      <w:r w:rsidRPr="009B40EA">
        <w:rPr>
          <w:rFonts w:ascii="Times New Roman" w:eastAsia="PMingLiU" w:hAnsi="Times New Roman" w:cs="Times New Roman"/>
          <w:kern w:val="0"/>
          <w14:ligatures w14:val="none"/>
        </w:rPr>
        <w:t xml:space="preserve"> = .28), ΔCFI &lt; .01, and ΔRMSEA = -.005. In accordance with </w:t>
      </w:r>
      <w:r w:rsidRPr="009B40EA">
        <w:rPr>
          <w:rFonts w:ascii="Times New Roman" w:eastAsia="PMingLiU" w:hAnsi="Times New Roman" w:cs="Times New Roman"/>
          <w:kern w:val="0"/>
          <w14:ligatures w14:val="none"/>
        </w:rPr>
        <w:fldChar w:fldCharType="begin"/>
      </w:r>
      <w:r w:rsidRPr="009B40EA">
        <w:rPr>
          <w:rFonts w:ascii="Times New Roman" w:eastAsia="PMingLiU" w:hAnsi="Times New Roman" w:cs="Times New Roman"/>
          <w:kern w:val="0"/>
          <w14:ligatures w14:val="none"/>
        </w:rPr>
        <w:instrText xml:space="preserve"> ADDIN EN.CITE &lt;EndNote&gt;&lt;Cite&gt;&lt;Author&gt;Widaman&lt;/Author&gt;&lt;Year&gt;2010&lt;/Year&gt;&lt;RecNum&gt;139&lt;/RecNum&gt;&lt;DisplayText&gt;(Widaman et al., 2010)&lt;/DisplayText&gt;&lt;record&gt;&lt;rec-number&gt;139&lt;/rec-number&gt;&lt;foreign-keys&gt;&lt;key app="EN" db-id="t5a9ezp9t02ex3eexa9vftrwst5vrvpars92" timestamp="1668481912"&gt;139&lt;/key&gt;&lt;/foreign-keys&gt;&lt;ref-type name="Journal Article"&gt;17&lt;/ref-type&gt;&lt;contributors&gt;&lt;authors&gt;&lt;author&gt;Widaman, Keith F&lt;/author&gt;&lt;author&gt;Ferrer, Emilio&lt;/author&gt;&lt;author&gt;Conger, Rand D&lt;/author&gt;&lt;/authors&gt;&lt;/contributors&gt;&lt;titles&gt;&lt;title&gt;Factorial invariance within longitudinal structural equation models: Measuring the same construct across time&lt;/title&gt;&lt;secondary-title&gt;Child development perspectives&lt;/secondary-title&gt;&lt;/titles&gt;&lt;periodical&gt;&lt;full-title&gt;Child development perspectives&lt;/full-title&gt;&lt;/periodical&gt;&lt;pages&gt;10-18&lt;/pages&gt;&lt;volume&gt;4&lt;/volume&gt;&lt;number&gt;1&lt;/number&gt;&lt;dates&gt;&lt;year&gt;2010&lt;/year&gt;&lt;/dates&gt;&lt;isbn&gt;1750-8592&lt;/isbn&gt;&lt;urls&gt;&lt;/urls&gt;&lt;/record&gt;&lt;/Cite&gt;&lt;/EndNote&gt;</w:instrText>
      </w:r>
      <w:r w:rsidRPr="009B40EA">
        <w:rPr>
          <w:rFonts w:ascii="Times New Roman" w:eastAsia="PMingLiU" w:hAnsi="Times New Roman" w:cs="Times New Roman"/>
          <w:kern w:val="0"/>
          <w14:ligatures w14:val="none"/>
        </w:rPr>
        <w:fldChar w:fldCharType="separate"/>
      </w:r>
      <w:r w:rsidRPr="009B40EA">
        <w:rPr>
          <w:rFonts w:ascii="Times New Roman" w:eastAsia="PMingLiU" w:hAnsi="Times New Roman" w:cs="Times New Roman"/>
          <w:noProof/>
          <w:kern w:val="0"/>
          <w14:ligatures w14:val="none"/>
        </w:rPr>
        <w:t>Widaman et al.'s (2010)</w:t>
      </w:r>
      <w:r w:rsidRPr="009B40EA">
        <w:rPr>
          <w:rFonts w:ascii="Times New Roman" w:eastAsia="PMingLiU" w:hAnsi="Times New Roman" w:cs="Times New Roman"/>
          <w:kern w:val="0"/>
          <w14:ligatures w14:val="none"/>
        </w:rPr>
        <w:fldChar w:fldCharType="end"/>
      </w:r>
      <w:r w:rsidRPr="009B40EA">
        <w:rPr>
          <w:rFonts w:ascii="Times New Roman" w:eastAsia="PMingLiU" w:hAnsi="Times New Roman" w:cs="Times New Roman"/>
          <w:kern w:val="0"/>
          <w14:ligatures w14:val="none"/>
        </w:rPr>
        <w:t xml:space="preserve"> criteria, the values of </w:t>
      </w:r>
      <w:r w:rsidRPr="50DA20E6">
        <w:rPr>
          <w:rFonts w:ascii="Times New Roman" w:eastAsia="PMingLiU" w:hAnsi="Times New Roman" w:cs="Times New Roman"/>
          <w:i/>
          <w:iCs/>
          <w:kern w:val="0"/>
          <w14:ligatures w14:val="none"/>
        </w:rPr>
        <w:t>χ2</w:t>
      </w:r>
      <w:r w:rsidRPr="009B40EA">
        <w:rPr>
          <w:rFonts w:ascii="Times New Roman" w:eastAsia="PMingLiU" w:hAnsi="Times New Roman" w:cs="Times New Roman"/>
          <w:kern w:val="0"/>
          <w14:ligatures w14:val="none"/>
        </w:rPr>
        <w:t xml:space="preserve">, CFI, and RMSEA indicated no meaningful discrepancy in fit among these models, which suggests evidence in favor of metric invariance. With more constraints imposed, comparisons of the metric versus scalar invariance models showed that </w:t>
      </w:r>
      <w:r w:rsidRPr="50DA20E6">
        <w:rPr>
          <w:rFonts w:ascii="Times New Roman" w:eastAsia="PMingLiU" w:hAnsi="Times New Roman" w:cs="Times New Roman"/>
          <w:i/>
          <w:iCs/>
          <w:kern w:val="0"/>
          <w14:ligatures w14:val="none"/>
        </w:rPr>
        <w:t>Δχ2</w:t>
      </w:r>
      <w:r w:rsidRPr="009B40EA">
        <w:rPr>
          <w:rFonts w:ascii="Times New Roman" w:eastAsia="PMingLiU" w:hAnsi="Times New Roman" w:cs="Times New Roman"/>
          <w:kern w:val="0"/>
          <w14:ligatures w14:val="none"/>
        </w:rPr>
        <w:t xml:space="preserve"> was not significant (</w:t>
      </w:r>
      <w:r w:rsidRPr="50DA20E6">
        <w:rPr>
          <w:rFonts w:ascii="Times New Roman" w:eastAsia="PMingLiU" w:hAnsi="Times New Roman" w:cs="Times New Roman"/>
          <w:i/>
          <w:iCs/>
          <w:kern w:val="0"/>
          <w14:ligatures w14:val="none"/>
        </w:rPr>
        <w:t>p</w:t>
      </w:r>
      <w:r w:rsidRPr="009B40EA">
        <w:rPr>
          <w:rFonts w:ascii="Times New Roman" w:eastAsia="PMingLiU" w:hAnsi="Times New Roman" w:cs="Times New Roman"/>
          <w:kern w:val="0"/>
          <w14:ligatures w14:val="none"/>
        </w:rPr>
        <w:t xml:space="preserve"> = .15), ΔCFI = -.001, and ΔRMSEA = -.005. The absence of </w:t>
      </w:r>
      <w:r w:rsidR="00633BB8">
        <w:rPr>
          <w:rFonts w:ascii="Times New Roman" w:eastAsia="PMingLiU" w:hAnsi="Times New Roman" w:cs="Times New Roman"/>
          <w:kern w:val="0"/>
          <w14:ligatures w14:val="none"/>
        </w:rPr>
        <w:t xml:space="preserve">a </w:t>
      </w:r>
      <w:r w:rsidRPr="009B40EA">
        <w:rPr>
          <w:rFonts w:ascii="Times New Roman" w:eastAsia="PMingLiU" w:hAnsi="Times New Roman" w:cs="Times New Roman"/>
          <w:kern w:val="0"/>
          <w14:ligatures w14:val="none"/>
        </w:rPr>
        <w:t xml:space="preserve">meaningful decrement in fit among these models showed that scalar invariance was achieved. </w:t>
      </w:r>
    </w:p>
    <w:p w14:paraId="489334A9" w14:textId="1971F0A4" w:rsidR="00A37BA4" w:rsidRPr="009B40EA" w:rsidRDefault="00A37BA4" w:rsidP="50DA20E6">
      <w:pPr>
        <w:spacing w:after="0" w:line="480" w:lineRule="auto"/>
        <w:ind w:firstLine="720"/>
        <w:rPr>
          <w:rFonts w:ascii="Times New Roman" w:eastAsia="PMingLiU" w:hAnsi="Times New Roman" w:cs="Times New Roman"/>
          <w:b/>
          <w:bCs/>
        </w:rPr>
      </w:pPr>
      <w:r w:rsidRPr="679BFD8D">
        <w:rPr>
          <w:rFonts w:ascii="Times New Roman" w:eastAsia="PMingLiU" w:hAnsi="Times New Roman" w:cs="Times New Roman"/>
          <w:kern w:val="0"/>
          <w14:ligatures w14:val="none"/>
        </w:rPr>
        <w:t>For</w:t>
      </w:r>
      <w:r w:rsidRPr="50DA20E6">
        <w:rPr>
          <w:rFonts w:ascii="Times New Roman" w:eastAsia="PMingLiU" w:hAnsi="Times New Roman" w:cs="Times New Roman"/>
          <w:i/>
          <w:iCs/>
          <w:kern w:val="0"/>
          <w14:ligatures w14:val="none"/>
        </w:rPr>
        <w:t xml:space="preserve"> </w:t>
      </w:r>
      <w:r w:rsidR="50DA20E6" w:rsidRPr="50DA20E6">
        <w:rPr>
          <w:rFonts w:ascii="Times New Roman" w:eastAsia="PMingLiU" w:hAnsi="Times New Roman" w:cs="Times New Roman"/>
        </w:rPr>
        <w:t>ERI</w:t>
      </w:r>
      <w:r w:rsidRPr="50DA20E6">
        <w:rPr>
          <w:rFonts w:ascii="Times New Roman" w:eastAsia="PMingLiU" w:hAnsi="Times New Roman" w:cs="Times New Roman"/>
          <w:i/>
          <w:iCs/>
          <w:kern w:val="0"/>
          <w14:ligatures w14:val="none"/>
        </w:rPr>
        <w:t xml:space="preserve"> resolution</w:t>
      </w:r>
      <w:r w:rsidRPr="009B40EA">
        <w:rPr>
          <w:rFonts w:ascii="Times New Roman" w:eastAsia="PMingLiU" w:hAnsi="Times New Roman" w:cs="Times New Roman"/>
          <w:kern w:val="0"/>
          <w14:ligatures w14:val="none"/>
        </w:rPr>
        <w:t>,</w:t>
      </w:r>
      <w:r w:rsidRPr="679BFD8D">
        <w:rPr>
          <w:rFonts w:ascii="Times New Roman" w:eastAsia="PMingLiU" w:hAnsi="Times New Roman" w:cs="Times New Roman"/>
          <w:b/>
          <w:bCs/>
          <w:kern w:val="0"/>
          <w14:ligatures w14:val="none"/>
        </w:rPr>
        <w:t xml:space="preserve"> </w:t>
      </w:r>
      <w:r w:rsidRPr="009B40EA">
        <w:rPr>
          <w:rFonts w:ascii="Times New Roman" w:eastAsia="PMingLiU" w:hAnsi="Times New Roman" w:cs="Times New Roman"/>
          <w:kern w:val="0"/>
          <w14:ligatures w14:val="none"/>
        </w:rPr>
        <w:t xml:space="preserve">comparisons of </w:t>
      </w:r>
      <w:r w:rsidRPr="50DA20E6">
        <w:rPr>
          <w:rFonts w:ascii="Times New Roman" w:eastAsia="PMingLiU" w:hAnsi="Times New Roman" w:cs="Times New Roman"/>
          <w:i/>
          <w:iCs/>
          <w:kern w:val="0"/>
          <w14:ligatures w14:val="none"/>
        </w:rPr>
        <w:t>χ2</w:t>
      </w:r>
      <w:r w:rsidRPr="009B40EA">
        <w:rPr>
          <w:rFonts w:ascii="Times New Roman" w:eastAsia="PMingLiU" w:hAnsi="Times New Roman" w:cs="Times New Roman"/>
          <w:kern w:val="0"/>
          <w14:ligatures w14:val="none"/>
        </w:rPr>
        <w:t xml:space="preserve">, CFI, and RMSEA for the configural versus metric invariance models </w:t>
      </w:r>
      <w:r w:rsidR="00633BB8">
        <w:rPr>
          <w:rFonts w:ascii="Times New Roman" w:eastAsia="PMingLiU" w:hAnsi="Times New Roman" w:cs="Times New Roman"/>
          <w:kern w:val="0"/>
          <w14:ligatures w14:val="none"/>
        </w:rPr>
        <w:t>show</w:t>
      </w:r>
      <w:r w:rsidR="00633BB8" w:rsidRPr="009B40EA">
        <w:rPr>
          <w:rFonts w:ascii="Times New Roman" w:eastAsia="PMingLiU" w:hAnsi="Times New Roman" w:cs="Times New Roman"/>
          <w:kern w:val="0"/>
          <w14:ligatures w14:val="none"/>
        </w:rPr>
        <w:t xml:space="preserve">ed </w:t>
      </w:r>
      <w:r w:rsidRPr="009B40EA">
        <w:rPr>
          <w:rFonts w:ascii="Times New Roman" w:eastAsia="PMingLiU" w:hAnsi="Times New Roman" w:cs="Times New Roman"/>
          <w:kern w:val="0"/>
          <w14:ligatures w14:val="none"/>
        </w:rPr>
        <w:t xml:space="preserve">that </w:t>
      </w:r>
      <w:r w:rsidRPr="50DA20E6">
        <w:rPr>
          <w:rFonts w:ascii="Times New Roman" w:eastAsia="PMingLiU" w:hAnsi="Times New Roman" w:cs="Times New Roman"/>
          <w:i/>
          <w:iCs/>
          <w:kern w:val="0"/>
          <w14:ligatures w14:val="none"/>
        </w:rPr>
        <w:t>Δχ2</w:t>
      </w:r>
      <w:r w:rsidRPr="009B40EA">
        <w:rPr>
          <w:rFonts w:ascii="Times New Roman" w:eastAsia="PMingLiU" w:hAnsi="Times New Roman" w:cs="Times New Roman"/>
          <w:kern w:val="0"/>
          <w14:ligatures w14:val="none"/>
        </w:rPr>
        <w:t xml:space="preserve"> was not significant (</w:t>
      </w:r>
      <w:r w:rsidRPr="50DA20E6">
        <w:rPr>
          <w:rFonts w:ascii="Times New Roman" w:eastAsia="PMingLiU" w:hAnsi="Times New Roman" w:cs="Times New Roman"/>
          <w:i/>
          <w:iCs/>
          <w:kern w:val="0"/>
          <w14:ligatures w14:val="none"/>
        </w:rPr>
        <w:t>p</w:t>
      </w:r>
      <w:r w:rsidRPr="009B40EA">
        <w:rPr>
          <w:rFonts w:ascii="Times New Roman" w:eastAsia="PMingLiU" w:hAnsi="Times New Roman" w:cs="Times New Roman"/>
          <w:kern w:val="0"/>
          <w14:ligatures w14:val="none"/>
        </w:rPr>
        <w:t xml:space="preserve"> = .85), ΔCFI =.001, and ΔRMSEA = -.006. According to </w:t>
      </w:r>
      <w:r w:rsidRPr="009B40EA">
        <w:rPr>
          <w:rFonts w:ascii="Times New Roman" w:eastAsia="PMingLiU" w:hAnsi="Times New Roman" w:cs="Times New Roman"/>
          <w:kern w:val="0"/>
          <w14:ligatures w14:val="none"/>
        </w:rPr>
        <w:fldChar w:fldCharType="begin"/>
      </w:r>
      <w:r w:rsidRPr="009B40EA">
        <w:rPr>
          <w:rFonts w:ascii="Times New Roman" w:eastAsia="PMingLiU" w:hAnsi="Times New Roman" w:cs="Times New Roman"/>
          <w:kern w:val="0"/>
          <w14:ligatures w14:val="none"/>
        </w:rPr>
        <w:instrText xml:space="preserve"> ADDIN EN.CITE &lt;EndNote&gt;&lt;Cite&gt;&lt;Author&gt;Widaman&lt;/Author&gt;&lt;Year&gt;2010&lt;/Year&gt;&lt;RecNum&gt;139&lt;/RecNum&gt;&lt;DisplayText&gt;(Widaman et al., 2010)&lt;/DisplayText&gt;&lt;record&gt;&lt;rec-number&gt;139&lt;/rec-number&gt;&lt;foreign-keys&gt;&lt;key app="EN" db-id="t5a9ezp9t02ex3eexa9vftrwst5vrvpars92" timestamp="1668481912"&gt;139&lt;/key&gt;&lt;/foreign-keys&gt;&lt;ref-type name="Journal Article"&gt;17&lt;/ref-type&gt;&lt;contributors&gt;&lt;authors&gt;&lt;author&gt;Widaman, Keith F&lt;/author&gt;&lt;author&gt;Ferrer, Emilio&lt;/author&gt;&lt;author&gt;Conger, Rand D&lt;/author&gt;&lt;/authors&gt;&lt;/contributors&gt;&lt;titles&gt;&lt;title&gt;Factorial invariance within longitudinal structural equation models: Measuring the same construct across time&lt;/title&gt;&lt;secondary-title&gt;Child development perspectives&lt;/secondary-title&gt;&lt;/titles&gt;&lt;periodical&gt;&lt;full-title&gt;Child development perspectives&lt;/full-title&gt;&lt;/periodical&gt;&lt;pages&gt;10-18&lt;/pages&gt;&lt;volume&gt;4&lt;/volume&gt;&lt;number&gt;1&lt;/number&gt;&lt;dates&gt;&lt;year&gt;2010&lt;/year&gt;&lt;/dates&gt;&lt;isbn&gt;1750-8592&lt;/isbn&gt;&lt;urls&gt;&lt;/urls&gt;&lt;/record&gt;&lt;/Cite&gt;&lt;/EndNote&gt;</w:instrText>
      </w:r>
      <w:r w:rsidRPr="009B40EA">
        <w:rPr>
          <w:rFonts w:ascii="Times New Roman" w:eastAsia="PMingLiU" w:hAnsi="Times New Roman" w:cs="Times New Roman"/>
          <w:kern w:val="0"/>
          <w14:ligatures w14:val="none"/>
        </w:rPr>
        <w:fldChar w:fldCharType="separate"/>
      </w:r>
      <w:r w:rsidRPr="009B40EA">
        <w:rPr>
          <w:rFonts w:ascii="Times New Roman" w:eastAsia="PMingLiU" w:hAnsi="Times New Roman" w:cs="Times New Roman"/>
          <w:noProof/>
          <w:kern w:val="0"/>
          <w14:ligatures w14:val="none"/>
        </w:rPr>
        <w:t>Widaman et al.'s (2010)</w:t>
      </w:r>
      <w:r w:rsidRPr="009B40EA">
        <w:rPr>
          <w:rFonts w:ascii="Times New Roman" w:eastAsia="PMingLiU" w:hAnsi="Times New Roman" w:cs="Times New Roman"/>
          <w:kern w:val="0"/>
          <w14:ligatures w14:val="none"/>
        </w:rPr>
        <w:fldChar w:fldCharType="end"/>
      </w:r>
      <w:r w:rsidRPr="009B40EA">
        <w:rPr>
          <w:rFonts w:ascii="Times New Roman" w:eastAsia="PMingLiU" w:hAnsi="Times New Roman" w:cs="Times New Roman"/>
          <w:kern w:val="0"/>
          <w14:ligatures w14:val="none"/>
        </w:rPr>
        <w:t xml:space="preserve"> criteria, the values of </w:t>
      </w:r>
      <w:r w:rsidRPr="50DA20E6">
        <w:rPr>
          <w:rFonts w:ascii="Times New Roman" w:eastAsia="PMingLiU" w:hAnsi="Times New Roman" w:cs="Times New Roman"/>
          <w:i/>
          <w:iCs/>
          <w:kern w:val="0"/>
          <w14:ligatures w14:val="none"/>
        </w:rPr>
        <w:t>χ2</w:t>
      </w:r>
      <w:r w:rsidRPr="009B40EA">
        <w:rPr>
          <w:rFonts w:ascii="Times New Roman" w:eastAsia="PMingLiU" w:hAnsi="Times New Roman" w:cs="Times New Roman"/>
          <w:kern w:val="0"/>
          <w14:ligatures w14:val="none"/>
        </w:rPr>
        <w:t xml:space="preserve">, CFI, and RMSEA indicated no meaningful discrepancy in fit among these models, which suggests evidence in favor of metric invariance. Even with more constraints imposed, comparisons of the metric versus scalar invariance models </w:t>
      </w:r>
      <w:r w:rsidR="00631B53">
        <w:rPr>
          <w:rFonts w:ascii="Times New Roman" w:eastAsia="PMingLiU" w:hAnsi="Times New Roman" w:cs="Times New Roman"/>
          <w:kern w:val="0"/>
          <w14:ligatures w14:val="none"/>
        </w:rPr>
        <w:t>show</w:t>
      </w:r>
      <w:r w:rsidRPr="009B40EA">
        <w:rPr>
          <w:rFonts w:ascii="Times New Roman" w:eastAsia="PMingLiU" w:hAnsi="Times New Roman" w:cs="Times New Roman"/>
          <w:kern w:val="0"/>
          <w14:ligatures w14:val="none"/>
        </w:rPr>
        <w:t xml:space="preserve">ed that </w:t>
      </w:r>
      <w:r w:rsidRPr="50DA20E6">
        <w:rPr>
          <w:rFonts w:ascii="Times New Roman" w:eastAsia="PMingLiU" w:hAnsi="Times New Roman" w:cs="Times New Roman"/>
          <w:i/>
          <w:iCs/>
          <w:kern w:val="0"/>
          <w14:ligatures w14:val="none"/>
        </w:rPr>
        <w:t>Δχ2</w:t>
      </w:r>
      <w:r w:rsidRPr="009B40EA">
        <w:rPr>
          <w:rFonts w:ascii="Times New Roman" w:eastAsia="PMingLiU" w:hAnsi="Times New Roman" w:cs="Times New Roman"/>
          <w:kern w:val="0"/>
          <w14:ligatures w14:val="none"/>
        </w:rPr>
        <w:t xml:space="preserve"> is not significant (</w:t>
      </w:r>
      <w:r w:rsidRPr="50DA20E6">
        <w:rPr>
          <w:rFonts w:ascii="Times New Roman" w:eastAsia="PMingLiU" w:hAnsi="Times New Roman" w:cs="Times New Roman"/>
          <w:i/>
          <w:iCs/>
          <w:kern w:val="0"/>
          <w14:ligatures w14:val="none"/>
        </w:rPr>
        <w:t>p</w:t>
      </w:r>
      <w:r w:rsidRPr="009B40EA">
        <w:rPr>
          <w:rFonts w:ascii="Times New Roman" w:eastAsia="PMingLiU" w:hAnsi="Times New Roman" w:cs="Times New Roman"/>
          <w:kern w:val="0"/>
          <w14:ligatures w14:val="none"/>
        </w:rPr>
        <w:t xml:space="preserve"> = .49), ΔCFI &lt; .01, and ΔRMSEA = -.004. As there was no meaningful decrement in fit among these models, scalar invariance was achieved.</w:t>
      </w:r>
      <w:r w:rsidRPr="679BFD8D">
        <w:rPr>
          <w:rFonts w:ascii="Times New Roman" w:eastAsia="PMingLiU" w:hAnsi="Times New Roman" w:cs="Times New Roman"/>
          <w:b/>
          <w:bCs/>
          <w:kern w:val="0"/>
          <w14:ligatures w14:val="none"/>
        </w:rPr>
        <w:t xml:space="preserve"> </w:t>
      </w:r>
    </w:p>
    <w:p w14:paraId="5EFE3F21" w14:textId="4329721C" w:rsidR="00A37BA4" w:rsidRDefault="00A37BA4" w:rsidP="50DA20E6">
      <w:pPr>
        <w:spacing w:after="0" w:line="480" w:lineRule="auto"/>
        <w:ind w:firstLine="720"/>
        <w:rPr>
          <w:rFonts w:ascii="Times New Roman" w:eastAsia="PMingLiU" w:hAnsi="Times New Roman" w:cs="Times New Roman"/>
        </w:rPr>
      </w:pPr>
      <w:r w:rsidRPr="50DA20E6">
        <w:rPr>
          <w:rFonts w:ascii="Times New Roman" w:eastAsia="PMingLiU" w:hAnsi="Times New Roman" w:cs="Times New Roman"/>
          <w:kern w:val="0"/>
          <w14:ligatures w14:val="none"/>
        </w:rPr>
        <w:t xml:space="preserve">For </w:t>
      </w:r>
      <w:r w:rsidR="50DA20E6" w:rsidRPr="50DA20E6">
        <w:rPr>
          <w:rFonts w:ascii="Times New Roman" w:eastAsia="PMingLiU" w:hAnsi="Times New Roman" w:cs="Times New Roman"/>
        </w:rPr>
        <w:t>ERI</w:t>
      </w:r>
      <w:r w:rsidRPr="50DA20E6">
        <w:rPr>
          <w:rFonts w:ascii="Times New Roman" w:eastAsia="PMingLiU" w:hAnsi="Times New Roman" w:cs="Times New Roman"/>
          <w:i/>
          <w:iCs/>
          <w:kern w:val="0"/>
          <w14:ligatures w14:val="none"/>
        </w:rPr>
        <w:t xml:space="preserve"> centrality</w:t>
      </w:r>
      <w:r w:rsidR="00E05851" w:rsidRPr="50DA20E6">
        <w:rPr>
          <w:rFonts w:ascii="Times New Roman" w:eastAsia="PMingLiU" w:hAnsi="Times New Roman" w:cs="Times New Roman"/>
          <w:kern w:val="0"/>
          <w14:ligatures w14:val="none"/>
        </w:rPr>
        <w:t xml:space="preserve">, </w:t>
      </w:r>
      <w:r w:rsidR="00E05851" w:rsidRPr="009B40EA">
        <w:rPr>
          <w:rFonts w:ascii="Times New Roman" w:eastAsia="PMingLiU" w:hAnsi="Times New Roman" w:cs="Times New Roman"/>
          <w:kern w:val="0"/>
          <w14:ligatures w14:val="none"/>
        </w:rPr>
        <w:t>comparisons</w:t>
      </w:r>
      <w:r w:rsidRPr="009B40EA">
        <w:rPr>
          <w:rFonts w:ascii="Times New Roman" w:eastAsia="PMingLiU" w:hAnsi="Times New Roman" w:cs="Times New Roman"/>
          <w:kern w:val="0"/>
          <w14:ligatures w14:val="none"/>
        </w:rPr>
        <w:t xml:space="preserve"> of </w:t>
      </w:r>
      <w:r w:rsidRPr="50DA20E6">
        <w:rPr>
          <w:rFonts w:ascii="Times New Roman" w:eastAsia="PMingLiU" w:hAnsi="Times New Roman" w:cs="Times New Roman"/>
          <w:i/>
          <w:iCs/>
          <w:kern w:val="0"/>
          <w14:ligatures w14:val="none"/>
        </w:rPr>
        <w:t>χ2</w:t>
      </w:r>
      <w:r w:rsidRPr="009B40EA">
        <w:rPr>
          <w:rFonts w:ascii="Times New Roman" w:eastAsia="PMingLiU" w:hAnsi="Times New Roman" w:cs="Times New Roman"/>
          <w:kern w:val="0"/>
          <w14:ligatures w14:val="none"/>
        </w:rPr>
        <w:t xml:space="preserve">, CFI, and RMSEA for the configural versus metric invariance models </w:t>
      </w:r>
      <w:r w:rsidR="00631B53">
        <w:rPr>
          <w:rFonts w:ascii="Times New Roman" w:eastAsia="PMingLiU" w:hAnsi="Times New Roman" w:cs="Times New Roman"/>
          <w:kern w:val="0"/>
          <w14:ligatures w14:val="none"/>
        </w:rPr>
        <w:t>show</w:t>
      </w:r>
      <w:r w:rsidRPr="009B40EA">
        <w:rPr>
          <w:rFonts w:ascii="Times New Roman" w:eastAsia="PMingLiU" w:hAnsi="Times New Roman" w:cs="Times New Roman"/>
          <w:kern w:val="0"/>
          <w14:ligatures w14:val="none"/>
        </w:rPr>
        <w:t xml:space="preserve">ed that </w:t>
      </w:r>
      <w:r w:rsidRPr="50DA20E6">
        <w:rPr>
          <w:rFonts w:ascii="Times New Roman" w:eastAsia="PMingLiU" w:hAnsi="Times New Roman" w:cs="Times New Roman"/>
          <w:i/>
          <w:iCs/>
          <w:kern w:val="0"/>
          <w14:ligatures w14:val="none"/>
        </w:rPr>
        <w:t>Δχ2</w:t>
      </w:r>
      <w:r w:rsidRPr="009B40EA">
        <w:rPr>
          <w:rFonts w:ascii="Times New Roman" w:eastAsia="PMingLiU" w:hAnsi="Times New Roman" w:cs="Times New Roman"/>
          <w:kern w:val="0"/>
          <w14:ligatures w14:val="none"/>
        </w:rPr>
        <w:t xml:space="preserve"> </w:t>
      </w:r>
      <w:r>
        <w:rPr>
          <w:rFonts w:ascii="Times New Roman" w:eastAsia="PMingLiU" w:hAnsi="Times New Roman" w:cs="Times New Roman"/>
          <w:kern w:val="0"/>
          <w14:ligatures w14:val="none"/>
        </w:rPr>
        <w:t>was</w:t>
      </w:r>
      <w:r w:rsidRPr="009B40EA">
        <w:rPr>
          <w:rFonts w:ascii="Times New Roman" w:eastAsia="PMingLiU" w:hAnsi="Times New Roman" w:cs="Times New Roman"/>
          <w:kern w:val="0"/>
          <w14:ligatures w14:val="none"/>
        </w:rPr>
        <w:t xml:space="preserve"> not significant (</w:t>
      </w:r>
      <w:r w:rsidRPr="50DA20E6">
        <w:rPr>
          <w:rFonts w:ascii="Times New Roman" w:eastAsia="PMingLiU" w:hAnsi="Times New Roman" w:cs="Times New Roman"/>
          <w:i/>
          <w:iCs/>
          <w:kern w:val="0"/>
          <w14:ligatures w14:val="none"/>
        </w:rPr>
        <w:t xml:space="preserve">p </w:t>
      </w:r>
      <w:r w:rsidRPr="009B40EA">
        <w:rPr>
          <w:rFonts w:ascii="Times New Roman" w:eastAsia="PMingLiU" w:hAnsi="Times New Roman" w:cs="Times New Roman"/>
          <w:kern w:val="0"/>
          <w14:ligatures w14:val="none"/>
        </w:rPr>
        <w:t xml:space="preserve">= .35), ΔCFI &lt; .01, and ΔRMSEA = -.004. According to </w:t>
      </w:r>
      <w:r w:rsidRPr="009B40EA">
        <w:rPr>
          <w:rFonts w:ascii="Times New Roman" w:eastAsia="PMingLiU" w:hAnsi="Times New Roman" w:cs="Times New Roman"/>
          <w:kern w:val="0"/>
          <w14:ligatures w14:val="none"/>
        </w:rPr>
        <w:fldChar w:fldCharType="begin"/>
      </w:r>
      <w:r w:rsidRPr="009B40EA">
        <w:rPr>
          <w:rFonts w:ascii="Times New Roman" w:eastAsia="PMingLiU" w:hAnsi="Times New Roman" w:cs="Times New Roman"/>
          <w:kern w:val="0"/>
          <w14:ligatures w14:val="none"/>
        </w:rPr>
        <w:instrText xml:space="preserve"> ADDIN EN.CITE &lt;EndNote&gt;&lt;Cite&gt;&lt;Author&gt;Widaman&lt;/Author&gt;&lt;Year&gt;2010&lt;/Year&gt;&lt;RecNum&gt;139&lt;/RecNum&gt;&lt;DisplayText&gt;(Widaman et al., 2010)&lt;/DisplayText&gt;&lt;record&gt;&lt;rec-number&gt;139&lt;/rec-number&gt;&lt;foreign-keys&gt;&lt;key app="EN" db-id="t5a9ezp9t02ex3eexa9vftrwst5vrvpars92" timestamp="1668481912"&gt;139&lt;/key&gt;&lt;/foreign-keys&gt;&lt;ref-type name="Journal Article"&gt;17&lt;/ref-type&gt;&lt;contributors&gt;&lt;authors&gt;&lt;author&gt;Widaman, Keith F&lt;/author&gt;&lt;author&gt;Ferrer, Emilio&lt;/author&gt;&lt;author&gt;Conger, Rand D&lt;/author&gt;&lt;/authors&gt;&lt;/contributors&gt;&lt;titles&gt;&lt;title&gt;Factorial invariance within longitudinal structural equation models: Measuring the same construct across time&lt;/title&gt;&lt;secondary-title&gt;Child development perspectives&lt;/secondary-title&gt;&lt;/titles&gt;&lt;periodical&gt;&lt;full-title&gt;Child development perspectives&lt;/full-title&gt;&lt;/periodical&gt;&lt;pages&gt;10-18&lt;/pages&gt;&lt;volume&gt;4&lt;/volume&gt;&lt;number&gt;1&lt;/number&gt;&lt;dates&gt;&lt;year&gt;2010&lt;/year&gt;&lt;/dates&gt;&lt;isbn&gt;1750-8592&lt;/isbn&gt;&lt;urls&gt;&lt;/urls&gt;&lt;/record&gt;&lt;/Cite&gt;&lt;/EndNote&gt;</w:instrText>
      </w:r>
      <w:r w:rsidRPr="009B40EA">
        <w:rPr>
          <w:rFonts w:ascii="Times New Roman" w:eastAsia="PMingLiU" w:hAnsi="Times New Roman" w:cs="Times New Roman"/>
          <w:kern w:val="0"/>
          <w14:ligatures w14:val="none"/>
        </w:rPr>
        <w:fldChar w:fldCharType="separate"/>
      </w:r>
      <w:r w:rsidRPr="009B40EA">
        <w:rPr>
          <w:rFonts w:ascii="Times New Roman" w:eastAsia="PMingLiU" w:hAnsi="Times New Roman" w:cs="Times New Roman"/>
          <w:noProof/>
          <w:kern w:val="0"/>
          <w14:ligatures w14:val="none"/>
        </w:rPr>
        <w:t>Widaman et al.</w:t>
      </w:r>
      <w:r>
        <w:rPr>
          <w:rFonts w:ascii="Times New Roman" w:eastAsia="PMingLiU" w:hAnsi="Times New Roman" w:cs="Times New Roman"/>
          <w:noProof/>
          <w:kern w:val="0"/>
          <w14:ligatures w14:val="none"/>
        </w:rPr>
        <w:t>'</w:t>
      </w:r>
      <w:r w:rsidRPr="009B40EA">
        <w:rPr>
          <w:rFonts w:ascii="Times New Roman" w:eastAsia="PMingLiU" w:hAnsi="Times New Roman" w:cs="Times New Roman"/>
          <w:noProof/>
          <w:kern w:val="0"/>
          <w14:ligatures w14:val="none"/>
        </w:rPr>
        <w:t>s (2010)</w:t>
      </w:r>
      <w:r w:rsidRPr="009B40EA">
        <w:rPr>
          <w:rFonts w:ascii="Times New Roman" w:eastAsia="PMingLiU" w:hAnsi="Times New Roman" w:cs="Times New Roman"/>
          <w:kern w:val="0"/>
          <w14:ligatures w14:val="none"/>
        </w:rPr>
        <w:fldChar w:fldCharType="end"/>
      </w:r>
      <w:r w:rsidRPr="009B40EA">
        <w:rPr>
          <w:rFonts w:ascii="Times New Roman" w:eastAsia="PMingLiU" w:hAnsi="Times New Roman" w:cs="Times New Roman"/>
          <w:kern w:val="0"/>
          <w14:ligatures w14:val="none"/>
        </w:rPr>
        <w:t xml:space="preserve"> criteria, the values of </w:t>
      </w:r>
      <w:r w:rsidRPr="50DA20E6">
        <w:rPr>
          <w:rFonts w:ascii="Times New Roman" w:eastAsia="PMingLiU" w:hAnsi="Times New Roman" w:cs="Times New Roman"/>
          <w:i/>
          <w:iCs/>
          <w:kern w:val="0"/>
          <w14:ligatures w14:val="none"/>
        </w:rPr>
        <w:t>χ2</w:t>
      </w:r>
      <w:r w:rsidRPr="009B40EA">
        <w:rPr>
          <w:rFonts w:ascii="Times New Roman" w:eastAsia="PMingLiU" w:hAnsi="Times New Roman" w:cs="Times New Roman"/>
          <w:kern w:val="0"/>
          <w14:ligatures w14:val="none"/>
        </w:rPr>
        <w:t xml:space="preserve">, CFI, and RMSEA indicated no meaningful discrepancy in fit among these models, which suggests evidence in favor of metric invariance. In fact, with more constraints imposed, comparisons of the metric </w:t>
      </w:r>
      <w:r w:rsidRPr="009B40EA">
        <w:rPr>
          <w:rFonts w:ascii="Times New Roman" w:eastAsia="PMingLiU" w:hAnsi="Times New Roman" w:cs="Times New Roman"/>
          <w:kern w:val="0"/>
          <w14:ligatures w14:val="none"/>
        </w:rPr>
        <w:lastRenderedPageBreak/>
        <w:t xml:space="preserve">versus scalar invariance models </w:t>
      </w:r>
      <w:r w:rsidR="00631B53">
        <w:rPr>
          <w:rFonts w:ascii="Times New Roman" w:eastAsia="PMingLiU" w:hAnsi="Times New Roman" w:cs="Times New Roman"/>
          <w:kern w:val="0"/>
          <w14:ligatures w14:val="none"/>
        </w:rPr>
        <w:t>show</w:t>
      </w:r>
      <w:r w:rsidRPr="009B40EA">
        <w:rPr>
          <w:rFonts w:ascii="Times New Roman" w:eastAsia="PMingLiU" w:hAnsi="Times New Roman" w:cs="Times New Roman"/>
          <w:kern w:val="0"/>
          <w14:ligatures w14:val="none"/>
        </w:rPr>
        <w:t xml:space="preserve">ed that </w:t>
      </w:r>
      <w:r w:rsidRPr="50DA20E6">
        <w:rPr>
          <w:rFonts w:ascii="Times New Roman" w:eastAsia="PMingLiU" w:hAnsi="Times New Roman" w:cs="Times New Roman"/>
          <w:i/>
          <w:iCs/>
          <w:kern w:val="0"/>
          <w14:ligatures w14:val="none"/>
        </w:rPr>
        <w:t>Δχ2</w:t>
      </w:r>
      <w:r w:rsidRPr="009B40EA">
        <w:rPr>
          <w:rFonts w:ascii="Times New Roman" w:eastAsia="PMingLiU" w:hAnsi="Times New Roman" w:cs="Times New Roman"/>
          <w:kern w:val="0"/>
          <w14:ligatures w14:val="none"/>
        </w:rPr>
        <w:t xml:space="preserve"> is not significant (</w:t>
      </w:r>
      <w:r w:rsidRPr="50DA20E6">
        <w:rPr>
          <w:rFonts w:ascii="Times New Roman" w:eastAsia="PMingLiU" w:hAnsi="Times New Roman" w:cs="Times New Roman"/>
          <w:i/>
          <w:iCs/>
          <w:kern w:val="0"/>
          <w14:ligatures w14:val="none"/>
        </w:rPr>
        <w:t xml:space="preserve">p </w:t>
      </w:r>
      <w:r w:rsidRPr="009B40EA">
        <w:rPr>
          <w:rFonts w:ascii="Times New Roman" w:eastAsia="PMingLiU" w:hAnsi="Times New Roman" w:cs="Times New Roman"/>
          <w:kern w:val="0"/>
          <w14:ligatures w14:val="none"/>
        </w:rPr>
        <w:t xml:space="preserve">= .22), ΔCFI = -.002, and ΔRMSEA = -.002. </w:t>
      </w:r>
      <w:proofErr w:type="gramStart"/>
      <w:r w:rsidRPr="009B40EA">
        <w:rPr>
          <w:rFonts w:ascii="Times New Roman" w:eastAsia="PMingLiU" w:hAnsi="Times New Roman" w:cs="Times New Roman"/>
          <w:kern w:val="0"/>
          <w14:ligatures w14:val="none"/>
        </w:rPr>
        <w:t>In light of</w:t>
      </w:r>
      <w:proofErr w:type="gramEnd"/>
      <w:r w:rsidRPr="009B40EA">
        <w:rPr>
          <w:rFonts w:ascii="Times New Roman" w:eastAsia="PMingLiU" w:hAnsi="Times New Roman" w:cs="Times New Roman"/>
          <w:kern w:val="0"/>
          <w14:ligatures w14:val="none"/>
        </w:rPr>
        <w:t xml:space="preserve"> the absence of meaningful decrement in fit among these models, scalar invariance was achieved. </w:t>
      </w:r>
    </w:p>
    <w:p w14:paraId="58BC88C9"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1B4D59EB"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0B4DE7A9"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5A894A52"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57E56C24"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1D1EE3D7"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2EDCEC67"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202C8EED"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4298D8EA"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5EF69118"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2902BEBE"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1570F77B"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18C90796"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4C6328D4"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22169BC4"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52301789"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1EAC2439"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2265139C"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27D13CAC"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tbl>
      <w:tblPr>
        <w:tblpPr w:leftFromText="180" w:rightFromText="180" w:vertAnchor="text" w:horzAnchor="margin" w:tblpY="-9640"/>
        <w:tblW w:w="8907" w:type="dxa"/>
        <w:tblLook w:val="04A0" w:firstRow="1" w:lastRow="0" w:firstColumn="1" w:lastColumn="0" w:noHBand="0" w:noVBand="1"/>
      </w:tblPr>
      <w:tblGrid>
        <w:gridCol w:w="1800"/>
        <w:gridCol w:w="1350"/>
        <w:gridCol w:w="900"/>
        <w:gridCol w:w="1043"/>
        <w:gridCol w:w="1170"/>
        <w:gridCol w:w="636"/>
        <w:gridCol w:w="1021"/>
        <w:gridCol w:w="1198"/>
      </w:tblGrid>
      <w:tr w:rsidR="00EC7D29" w:rsidRPr="00604E11" w14:paraId="1B9DED1C" w14:textId="77777777" w:rsidTr="50DA20E6">
        <w:trPr>
          <w:trHeight w:val="471"/>
        </w:trPr>
        <w:tc>
          <w:tcPr>
            <w:tcW w:w="1800" w:type="dxa"/>
            <w:tcBorders>
              <w:top w:val="nil"/>
              <w:left w:val="nil"/>
              <w:bottom w:val="nil"/>
              <w:right w:val="nil"/>
            </w:tcBorders>
            <w:noWrap/>
            <w:vAlign w:val="center"/>
            <w:hideMark/>
          </w:tcPr>
          <w:p w14:paraId="0E1CE0C9" w14:textId="77777777" w:rsidR="00EC7D29" w:rsidRDefault="00EC7D29" w:rsidP="00EC7D29">
            <w:pPr>
              <w:spacing w:after="0" w:line="240" w:lineRule="auto"/>
              <w:contextualSpacing/>
              <w:rPr>
                <w:rFonts w:ascii="Times New Roman" w:hAnsi="Times New Roman" w:cs="Times New Roman"/>
                <w:b/>
                <w:bCs/>
                <w:color w:val="000000"/>
              </w:rPr>
            </w:pPr>
          </w:p>
          <w:p w14:paraId="5DEB4105" w14:textId="77777777" w:rsidR="00EC7D29" w:rsidRDefault="00EC7D29" w:rsidP="00EC7D29">
            <w:pPr>
              <w:spacing w:after="0" w:line="240" w:lineRule="auto"/>
              <w:contextualSpacing/>
              <w:rPr>
                <w:rFonts w:ascii="Times New Roman" w:hAnsi="Times New Roman" w:cs="Times New Roman"/>
                <w:b/>
                <w:bCs/>
                <w:color w:val="000000"/>
              </w:rPr>
            </w:pPr>
          </w:p>
          <w:p w14:paraId="6006B6A0" w14:textId="77777777" w:rsidR="00EC7D29" w:rsidRDefault="00EC7D29" w:rsidP="00EC7D29">
            <w:pPr>
              <w:spacing w:after="0" w:line="240" w:lineRule="auto"/>
              <w:contextualSpacing/>
              <w:rPr>
                <w:rFonts w:ascii="Times New Roman" w:hAnsi="Times New Roman" w:cs="Times New Roman"/>
                <w:b/>
                <w:bCs/>
                <w:color w:val="000000"/>
              </w:rPr>
            </w:pPr>
          </w:p>
          <w:p w14:paraId="122E466A" w14:textId="77777777" w:rsidR="00EC7D29" w:rsidRDefault="00EC7D29" w:rsidP="00EC7D29">
            <w:pPr>
              <w:spacing w:after="0" w:line="240" w:lineRule="auto"/>
              <w:contextualSpacing/>
              <w:rPr>
                <w:rFonts w:ascii="Times New Roman" w:hAnsi="Times New Roman" w:cs="Times New Roman"/>
                <w:b/>
                <w:bCs/>
                <w:color w:val="000000"/>
              </w:rPr>
            </w:pPr>
          </w:p>
          <w:p w14:paraId="5E8D1702" w14:textId="77777777" w:rsidR="00EC7D29" w:rsidRDefault="00EC7D29" w:rsidP="00EC7D29">
            <w:pPr>
              <w:spacing w:after="0" w:line="240" w:lineRule="auto"/>
              <w:contextualSpacing/>
              <w:rPr>
                <w:rFonts w:ascii="Times New Roman" w:hAnsi="Times New Roman" w:cs="Times New Roman"/>
                <w:b/>
                <w:bCs/>
                <w:color w:val="000000"/>
              </w:rPr>
            </w:pPr>
          </w:p>
          <w:p w14:paraId="747190C6" w14:textId="77777777" w:rsidR="00EC7D29" w:rsidRDefault="00EC7D29" w:rsidP="00EC7D29">
            <w:pPr>
              <w:spacing w:after="0" w:line="240" w:lineRule="auto"/>
              <w:contextualSpacing/>
              <w:rPr>
                <w:rFonts w:ascii="Times New Roman" w:hAnsi="Times New Roman" w:cs="Times New Roman"/>
                <w:b/>
                <w:bCs/>
                <w:color w:val="000000"/>
              </w:rPr>
            </w:pPr>
          </w:p>
          <w:p w14:paraId="4D908E5F" w14:textId="280B6E4C" w:rsidR="00EC7D29" w:rsidRPr="00604E11" w:rsidRDefault="00EC7D29" w:rsidP="00EC7D29">
            <w:pPr>
              <w:spacing w:after="0" w:line="240" w:lineRule="auto"/>
              <w:contextualSpacing/>
              <w:rPr>
                <w:rFonts w:ascii="Times New Roman" w:hAnsi="Times New Roman" w:cs="Times New Roman"/>
                <w:b/>
                <w:bCs/>
                <w:color w:val="000000"/>
              </w:rPr>
            </w:pPr>
            <w:r w:rsidRPr="00604E11">
              <w:rPr>
                <w:rFonts w:ascii="Times New Roman" w:hAnsi="Times New Roman" w:cs="Times New Roman"/>
                <w:b/>
                <w:bCs/>
                <w:color w:val="000000"/>
              </w:rPr>
              <w:t xml:space="preserve">Table </w:t>
            </w:r>
            <w:r w:rsidR="00BD713C">
              <w:rPr>
                <w:rFonts w:ascii="Times New Roman" w:hAnsi="Times New Roman" w:cs="Times New Roman"/>
                <w:b/>
                <w:bCs/>
                <w:color w:val="000000"/>
              </w:rPr>
              <w:t>S</w:t>
            </w:r>
            <w:r w:rsidR="00C1483E">
              <w:rPr>
                <w:rFonts w:ascii="Times New Roman" w:hAnsi="Times New Roman" w:cs="Times New Roman"/>
                <w:b/>
                <w:bCs/>
                <w:color w:val="000000"/>
              </w:rPr>
              <w:t>1</w:t>
            </w:r>
          </w:p>
        </w:tc>
        <w:tc>
          <w:tcPr>
            <w:tcW w:w="1350" w:type="dxa"/>
            <w:tcBorders>
              <w:top w:val="nil"/>
              <w:left w:val="nil"/>
              <w:bottom w:val="nil"/>
              <w:right w:val="nil"/>
            </w:tcBorders>
            <w:noWrap/>
            <w:vAlign w:val="bottom"/>
            <w:hideMark/>
          </w:tcPr>
          <w:p w14:paraId="3DB2A190" w14:textId="77777777" w:rsidR="00EC7D29" w:rsidRPr="00604E11" w:rsidRDefault="00EC7D29" w:rsidP="00EC7D29">
            <w:pPr>
              <w:spacing w:after="0" w:line="240" w:lineRule="auto"/>
              <w:contextualSpacing/>
              <w:rPr>
                <w:rFonts w:ascii="Times New Roman" w:hAnsi="Times New Roman" w:cs="Times New Roman"/>
                <w:b/>
                <w:bCs/>
                <w:color w:val="000000"/>
              </w:rPr>
            </w:pPr>
          </w:p>
        </w:tc>
        <w:tc>
          <w:tcPr>
            <w:tcW w:w="900" w:type="dxa"/>
            <w:tcBorders>
              <w:top w:val="nil"/>
              <w:left w:val="nil"/>
              <w:bottom w:val="nil"/>
              <w:right w:val="nil"/>
            </w:tcBorders>
            <w:noWrap/>
            <w:vAlign w:val="bottom"/>
            <w:hideMark/>
          </w:tcPr>
          <w:p w14:paraId="08ECDCFE" w14:textId="77777777" w:rsidR="00EC7D29" w:rsidRPr="00604E11" w:rsidRDefault="00EC7D29" w:rsidP="00EC7D29">
            <w:pPr>
              <w:spacing w:after="0" w:line="240" w:lineRule="auto"/>
              <w:contextualSpacing/>
              <w:rPr>
                <w:rFonts w:ascii="Times New Roman" w:hAnsi="Times New Roman" w:cs="Times New Roman"/>
                <w:sz w:val="20"/>
              </w:rPr>
            </w:pPr>
          </w:p>
        </w:tc>
        <w:tc>
          <w:tcPr>
            <w:tcW w:w="1043" w:type="dxa"/>
            <w:tcBorders>
              <w:top w:val="nil"/>
              <w:left w:val="nil"/>
              <w:bottom w:val="nil"/>
              <w:right w:val="nil"/>
            </w:tcBorders>
            <w:noWrap/>
            <w:vAlign w:val="bottom"/>
            <w:hideMark/>
          </w:tcPr>
          <w:p w14:paraId="01E6C149" w14:textId="77777777" w:rsidR="00EC7D29" w:rsidRPr="00604E11" w:rsidRDefault="00EC7D29" w:rsidP="00EC7D29">
            <w:pPr>
              <w:spacing w:after="0" w:line="240" w:lineRule="auto"/>
              <w:contextualSpacing/>
              <w:rPr>
                <w:rFonts w:ascii="Times New Roman" w:hAnsi="Times New Roman" w:cs="Times New Roman"/>
                <w:sz w:val="20"/>
              </w:rPr>
            </w:pPr>
          </w:p>
        </w:tc>
        <w:tc>
          <w:tcPr>
            <w:tcW w:w="1170" w:type="dxa"/>
            <w:tcBorders>
              <w:top w:val="nil"/>
              <w:left w:val="nil"/>
              <w:bottom w:val="nil"/>
              <w:right w:val="nil"/>
            </w:tcBorders>
            <w:noWrap/>
            <w:vAlign w:val="bottom"/>
            <w:hideMark/>
          </w:tcPr>
          <w:p w14:paraId="0C91CC2A" w14:textId="77777777" w:rsidR="00EC7D29" w:rsidRPr="00604E11" w:rsidRDefault="00EC7D29" w:rsidP="00EC7D29">
            <w:pPr>
              <w:spacing w:after="0" w:line="240" w:lineRule="auto"/>
              <w:contextualSpacing/>
              <w:rPr>
                <w:rFonts w:ascii="Times New Roman" w:hAnsi="Times New Roman" w:cs="Times New Roman"/>
                <w:sz w:val="20"/>
              </w:rPr>
            </w:pPr>
          </w:p>
        </w:tc>
        <w:tc>
          <w:tcPr>
            <w:tcW w:w="636" w:type="dxa"/>
            <w:tcBorders>
              <w:top w:val="nil"/>
              <w:left w:val="nil"/>
              <w:bottom w:val="nil"/>
              <w:right w:val="nil"/>
            </w:tcBorders>
            <w:noWrap/>
            <w:vAlign w:val="bottom"/>
            <w:hideMark/>
          </w:tcPr>
          <w:p w14:paraId="5052150A" w14:textId="77777777" w:rsidR="00EC7D29" w:rsidRPr="00604E11" w:rsidRDefault="00EC7D29" w:rsidP="00EC7D29">
            <w:pPr>
              <w:spacing w:after="0" w:line="240" w:lineRule="auto"/>
              <w:contextualSpacing/>
              <w:rPr>
                <w:rFonts w:ascii="Times New Roman" w:hAnsi="Times New Roman" w:cs="Times New Roman"/>
                <w:sz w:val="20"/>
              </w:rPr>
            </w:pPr>
          </w:p>
        </w:tc>
        <w:tc>
          <w:tcPr>
            <w:tcW w:w="1021" w:type="dxa"/>
            <w:tcBorders>
              <w:top w:val="nil"/>
              <w:left w:val="nil"/>
              <w:bottom w:val="nil"/>
              <w:right w:val="nil"/>
            </w:tcBorders>
            <w:noWrap/>
            <w:vAlign w:val="bottom"/>
            <w:hideMark/>
          </w:tcPr>
          <w:p w14:paraId="77FE10CA" w14:textId="77777777" w:rsidR="00EC7D29" w:rsidRPr="00604E11" w:rsidRDefault="00EC7D29" w:rsidP="00EC7D29">
            <w:pPr>
              <w:spacing w:after="0" w:line="240" w:lineRule="auto"/>
              <w:contextualSpacing/>
              <w:rPr>
                <w:rFonts w:ascii="Times New Roman" w:hAnsi="Times New Roman" w:cs="Times New Roman"/>
                <w:sz w:val="20"/>
              </w:rPr>
            </w:pPr>
          </w:p>
        </w:tc>
        <w:tc>
          <w:tcPr>
            <w:tcW w:w="987" w:type="dxa"/>
            <w:tcBorders>
              <w:top w:val="nil"/>
              <w:left w:val="nil"/>
              <w:bottom w:val="nil"/>
              <w:right w:val="nil"/>
            </w:tcBorders>
            <w:noWrap/>
            <w:vAlign w:val="bottom"/>
            <w:hideMark/>
          </w:tcPr>
          <w:p w14:paraId="68D70313" w14:textId="77777777" w:rsidR="00EC7D29" w:rsidRPr="00604E11" w:rsidRDefault="00EC7D29" w:rsidP="00EC7D29">
            <w:pPr>
              <w:spacing w:after="0" w:line="240" w:lineRule="auto"/>
              <w:contextualSpacing/>
              <w:rPr>
                <w:rFonts w:ascii="Times New Roman" w:hAnsi="Times New Roman" w:cs="Times New Roman"/>
                <w:sz w:val="20"/>
              </w:rPr>
            </w:pPr>
          </w:p>
        </w:tc>
      </w:tr>
      <w:tr w:rsidR="00EC7D29" w:rsidRPr="00604E11" w14:paraId="0F3E7573" w14:textId="77777777" w:rsidTr="50DA20E6">
        <w:trPr>
          <w:trHeight w:val="945"/>
        </w:trPr>
        <w:tc>
          <w:tcPr>
            <w:tcW w:w="8907" w:type="dxa"/>
            <w:gridSpan w:val="8"/>
            <w:tcBorders>
              <w:top w:val="nil"/>
              <w:left w:val="nil"/>
              <w:bottom w:val="single" w:sz="12" w:space="0" w:color="auto"/>
              <w:right w:val="nil"/>
            </w:tcBorders>
            <w:vAlign w:val="center"/>
            <w:hideMark/>
          </w:tcPr>
          <w:p w14:paraId="149E12A8" w14:textId="4D543537" w:rsidR="00EC7D29" w:rsidRPr="00604E11" w:rsidRDefault="50DA20E6" w:rsidP="50DA20E6">
            <w:pPr>
              <w:spacing w:after="0" w:line="240" w:lineRule="auto"/>
              <w:contextualSpacing/>
              <w:rPr>
                <w:rFonts w:ascii="Times New Roman" w:hAnsi="Times New Roman" w:cs="Times New Roman"/>
                <w:i/>
                <w:iCs/>
                <w:color w:val="000000"/>
              </w:rPr>
            </w:pPr>
            <w:r w:rsidRPr="50DA20E6">
              <w:rPr>
                <w:rFonts w:ascii="Times New Roman" w:hAnsi="Times New Roman" w:cs="Times New Roman"/>
                <w:i/>
                <w:iCs/>
                <w:color w:val="000000" w:themeColor="text1"/>
              </w:rPr>
              <w:t>Confirmatory Factor Analytic Model of Factorial Invariance Tests Across Waves for Mexican mothers</w:t>
            </w:r>
          </w:p>
        </w:tc>
      </w:tr>
      <w:tr w:rsidR="00EC7D29" w:rsidRPr="00604E11" w14:paraId="0B00CFA6" w14:textId="77777777" w:rsidTr="50DA20E6">
        <w:trPr>
          <w:trHeight w:val="532"/>
        </w:trPr>
        <w:tc>
          <w:tcPr>
            <w:tcW w:w="1800" w:type="dxa"/>
            <w:tcBorders>
              <w:top w:val="nil"/>
              <w:left w:val="nil"/>
              <w:bottom w:val="single" w:sz="8" w:space="0" w:color="auto"/>
              <w:right w:val="nil"/>
            </w:tcBorders>
            <w:noWrap/>
            <w:vAlign w:val="center"/>
            <w:hideMark/>
          </w:tcPr>
          <w:p w14:paraId="6A2C7C04"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Model</w:t>
            </w:r>
          </w:p>
        </w:tc>
        <w:tc>
          <w:tcPr>
            <w:tcW w:w="1350" w:type="dxa"/>
            <w:tcBorders>
              <w:top w:val="nil"/>
              <w:left w:val="nil"/>
              <w:bottom w:val="single" w:sz="8" w:space="0" w:color="auto"/>
              <w:right w:val="nil"/>
            </w:tcBorders>
            <w:noWrap/>
            <w:vAlign w:val="center"/>
            <w:hideMark/>
          </w:tcPr>
          <w:p w14:paraId="479E8AFB"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 χ2(</w:t>
            </w:r>
            <w:proofErr w:type="spellStart"/>
            <w:r w:rsidRPr="00604E11">
              <w:rPr>
                <w:rFonts w:ascii="Times New Roman" w:hAnsi="Times New Roman" w:cs="Times New Roman"/>
                <w:i/>
                <w:iCs/>
                <w:color w:val="000000"/>
              </w:rPr>
              <w:t>df</w:t>
            </w:r>
            <w:proofErr w:type="spellEnd"/>
            <w:r w:rsidRPr="00604E11">
              <w:rPr>
                <w:rFonts w:ascii="Times New Roman" w:hAnsi="Times New Roman" w:cs="Times New Roman"/>
                <w:color w:val="000000"/>
              </w:rPr>
              <w:t>)</w:t>
            </w:r>
          </w:p>
        </w:tc>
        <w:tc>
          <w:tcPr>
            <w:tcW w:w="900" w:type="dxa"/>
            <w:tcBorders>
              <w:top w:val="nil"/>
              <w:left w:val="nil"/>
              <w:bottom w:val="single" w:sz="8" w:space="0" w:color="auto"/>
              <w:right w:val="nil"/>
            </w:tcBorders>
            <w:noWrap/>
            <w:vAlign w:val="center"/>
            <w:hideMark/>
          </w:tcPr>
          <w:p w14:paraId="28469DBF"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CFI</w:t>
            </w:r>
          </w:p>
        </w:tc>
        <w:tc>
          <w:tcPr>
            <w:tcW w:w="1043" w:type="dxa"/>
            <w:tcBorders>
              <w:top w:val="nil"/>
              <w:left w:val="nil"/>
              <w:bottom w:val="single" w:sz="8" w:space="0" w:color="auto"/>
              <w:right w:val="nil"/>
            </w:tcBorders>
            <w:noWrap/>
            <w:vAlign w:val="center"/>
            <w:hideMark/>
          </w:tcPr>
          <w:p w14:paraId="381E64B4"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RMSEA</w:t>
            </w:r>
          </w:p>
        </w:tc>
        <w:tc>
          <w:tcPr>
            <w:tcW w:w="1170" w:type="dxa"/>
            <w:tcBorders>
              <w:top w:val="nil"/>
              <w:left w:val="nil"/>
              <w:bottom w:val="single" w:sz="8" w:space="0" w:color="auto"/>
              <w:right w:val="nil"/>
            </w:tcBorders>
            <w:noWrap/>
            <w:vAlign w:val="center"/>
            <w:hideMark/>
          </w:tcPr>
          <w:p w14:paraId="010A2FB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 Δχ2(</w:t>
            </w:r>
            <w:proofErr w:type="spellStart"/>
            <w:r w:rsidRPr="00604E11">
              <w:rPr>
                <w:rFonts w:ascii="Times New Roman" w:hAnsi="Times New Roman" w:cs="Times New Roman"/>
                <w:i/>
                <w:iCs/>
                <w:color w:val="000000"/>
              </w:rPr>
              <w:t>df</w:t>
            </w:r>
            <w:proofErr w:type="spellEnd"/>
            <w:r w:rsidRPr="00604E11">
              <w:rPr>
                <w:rFonts w:ascii="Times New Roman" w:hAnsi="Times New Roman" w:cs="Times New Roman"/>
                <w:color w:val="000000"/>
              </w:rPr>
              <w:t>)</w:t>
            </w:r>
          </w:p>
        </w:tc>
        <w:tc>
          <w:tcPr>
            <w:tcW w:w="636" w:type="dxa"/>
            <w:tcBorders>
              <w:top w:val="nil"/>
              <w:left w:val="nil"/>
              <w:bottom w:val="single" w:sz="8" w:space="0" w:color="auto"/>
              <w:right w:val="nil"/>
            </w:tcBorders>
            <w:noWrap/>
            <w:vAlign w:val="center"/>
            <w:hideMark/>
          </w:tcPr>
          <w:p w14:paraId="7ED4A57D" w14:textId="77777777" w:rsidR="00EC7D29" w:rsidRPr="00604E11" w:rsidRDefault="00EC7D29" w:rsidP="00EC7D29">
            <w:pPr>
              <w:spacing w:after="0" w:line="240" w:lineRule="auto"/>
              <w:contextualSpacing/>
              <w:jc w:val="center"/>
              <w:rPr>
                <w:rFonts w:ascii="Times New Roman" w:hAnsi="Times New Roman" w:cs="Times New Roman"/>
                <w:i/>
                <w:iCs/>
                <w:color w:val="000000"/>
              </w:rPr>
            </w:pPr>
            <w:r w:rsidRPr="00604E11">
              <w:rPr>
                <w:rFonts w:ascii="Times New Roman" w:hAnsi="Times New Roman" w:cs="Times New Roman"/>
                <w:i/>
                <w:iCs/>
                <w:color w:val="000000"/>
              </w:rPr>
              <w:t>p</w:t>
            </w:r>
          </w:p>
        </w:tc>
        <w:tc>
          <w:tcPr>
            <w:tcW w:w="1021" w:type="dxa"/>
            <w:tcBorders>
              <w:top w:val="nil"/>
              <w:left w:val="nil"/>
              <w:bottom w:val="single" w:sz="8" w:space="0" w:color="auto"/>
              <w:right w:val="nil"/>
            </w:tcBorders>
            <w:noWrap/>
            <w:vAlign w:val="center"/>
            <w:hideMark/>
          </w:tcPr>
          <w:p w14:paraId="3EDDA6D8"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ΔCFI</w:t>
            </w:r>
          </w:p>
        </w:tc>
        <w:tc>
          <w:tcPr>
            <w:tcW w:w="987" w:type="dxa"/>
            <w:tcBorders>
              <w:top w:val="nil"/>
              <w:left w:val="nil"/>
              <w:bottom w:val="single" w:sz="8" w:space="0" w:color="auto"/>
              <w:right w:val="nil"/>
            </w:tcBorders>
            <w:noWrap/>
            <w:vAlign w:val="center"/>
            <w:hideMark/>
          </w:tcPr>
          <w:p w14:paraId="58568A34"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ΔRMSEA</w:t>
            </w:r>
          </w:p>
        </w:tc>
      </w:tr>
      <w:tr w:rsidR="00EC7D29" w:rsidRPr="00604E11" w14:paraId="106759F9" w14:textId="77777777" w:rsidTr="50DA20E6">
        <w:trPr>
          <w:trHeight w:val="471"/>
        </w:trPr>
        <w:tc>
          <w:tcPr>
            <w:tcW w:w="3150" w:type="dxa"/>
            <w:gridSpan w:val="2"/>
            <w:tcBorders>
              <w:top w:val="nil"/>
              <w:left w:val="nil"/>
              <w:bottom w:val="nil"/>
              <w:right w:val="nil"/>
            </w:tcBorders>
            <w:noWrap/>
            <w:vAlign w:val="center"/>
            <w:hideMark/>
          </w:tcPr>
          <w:p w14:paraId="392AD637" w14:textId="0B3DFCEC" w:rsidR="00EC7D29" w:rsidRPr="00604E11" w:rsidRDefault="50DA20E6" w:rsidP="00EC7D29">
            <w:pPr>
              <w:spacing w:after="0" w:line="240" w:lineRule="auto"/>
              <w:contextualSpacing/>
              <w:rPr>
                <w:rFonts w:ascii="Times New Roman" w:hAnsi="Times New Roman" w:cs="Times New Roman"/>
                <w:color w:val="000000"/>
              </w:rPr>
            </w:pPr>
            <w:r w:rsidRPr="50DA20E6">
              <w:rPr>
                <w:rFonts w:ascii="Times New Roman" w:hAnsi="Times New Roman" w:cs="Times New Roman"/>
                <w:color w:val="000000" w:themeColor="text1"/>
              </w:rPr>
              <w:t>ERI Exploration</w:t>
            </w:r>
          </w:p>
        </w:tc>
        <w:tc>
          <w:tcPr>
            <w:tcW w:w="900" w:type="dxa"/>
            <w:tcBorders>
              <w:top w:val="nil"/>
              <w:left w:val="nil"/>
              <w:bottom w:val="nil"/>
              <w:right w:val="nil"/>
            </w:tcBorders>
            <w:noWrap/>
            <w:vAlign w:val="bottom"/>
            <w:hideMark/>
          </w:tcPr>
          <w:p w14:paraId="3B68DDB0" w14:textId="77777777" w:rsidR="00EC7D29" w:rsidRPr="00604E11" w:rsidRDefault="00EC7D29" w:rsidP="00EC7D29">
            <w:pPr>
              <w:spacing w:after="0" w:line="240" w:lineRule="auto"/>
              <w:contextualSpacing/>
              <w:rPr>
                <w:rFonts w:ascii="Times New Roman" w:hAnsi="Times New Roman" w:cs="Times New Roman"/>
                <w:color w:val="000000"/>
              </w:rPr>
            </w:pPr>
          </w:p>
        </w:tc>
        <w:tc>
          <w:tcPr>
            <w:tcW w:w="1043" w:type="dxa"/>
            <w:tcBorders>
              <w:top w:val="nil"/>
              <w:left w:val="nil"/>
              <w:bottom w:val="nil"/>
              <w:right w:val="nil"/>
            </w:tcBorders>
            <w:noWrap/>
            <w:vAlign w:val="bottom"/>
            <w:hideMark/>
          </w:tcPr>
          <w:p w14:paraId="410D7D62" w14:textId="77777777" w:rsidR="00EC7D29" w:rsidRPr="00604E11" w:rsidRDefault="00EC7D29" w:rsidP="00EC7D29">
            <w:pPr>
              <w:spacing w:after="0" w:line="240" w:lineRule="auto"/>
              <w:contextualSpacing/>
              <w:rPr>
                <w:rFonts w:ascii="Times New Roman" w:hAnsi="Times New Roman" w:cs="Times New Roman"/>
                <w:sz w:val="20"/>
              </w:rPr>
            </w:pPr>
          </w:p>
        </w:tc>
        <w:tc>
          <w:tcPr>
            <w:tcW w:w="1170" w:type="dxa"/>
            <w:tcBorders>
              <w:top w:val="nil"/>
              <w:left w:val="nil"/>
              <w:bottom w:val="nil"/>
              <w:right w:val="nil"/>
            </w:tcBorders>
            <w:noWrap/>
            <w:vAlign w:val="bottom"/>
            <w:hideMark/>
          </w:tcPr>
          <w:p w14:paraId="3D8FE747" w14:textId="77777777" w:rsidR="00EC7D29" w:rsidRPr="00604E11" w:rsidRDefault="00EC7D29" w:rsidP="00EC7D29">
            <w:pPr>
              <w:spacing w:after="0" w:line="240" w:lineRule="auto"/>
              <w:contextualSpacing/>
              <w:rPr>
                <w:rFonts w:ascii="Times New Roman" w:hAnsi="Times New Roman" w:cs="Times New Roman"/>
                <w:sz w:val="20"/>
              </w:rPr>
            </w:pPr>
          </w:p>
        </w:tc>
        <w:tc>
          <w:tcPr>
            <w:tcW w:w="636" w:type="dxa"/>
            <w:tcBorders>
              <w:top w:val="nil"/>
              <w:left w:val="nil"/>
              <w:bottom w:val="nil"/>
              <w:right w:val="nil"/>
            </w:tcBorders>
            <w:noWrap/>
            <w:vAlign w:val="bottom"/>
            <w:hideMark/>
          </w:tcPr>
          <w:p w14:paraId="54A85DFE" w14:textId="77777777" w:rsidR="00EC7D29" w:rsidRPr="00604E11" w:rsidRDefault="00EC7D29" w:rsidP="00EC7D29">
            <w:pPr>
              <w:spacing w:after="0" w:line="240" w:lineRule="auto"/>
              <w:contextualSpacing/>
              <w:rPr>
                <w:rFonts w:ascii="Times New Roman" w:hAnsi="Times New Roman" w:cs="Times New Roman"/>
                <w:sz w:val="20"/>
              </w:rPr>
            </w:pPr>
          </w:p>
        </w:tc>
        <w:tc>
          <w:tcPr>
            <w:tcW w:w="1021" w:type="dxa"/>
            <w:tcBorders>
              <w:top w:val="nil"/>
              <w:left w:val="nil"/>
              <w:bottom w:val="nil"/>
              <w:right w:val="nil"/>
            </w:tcBorders>
            <w:noWrap/>
            <w:vAlign w:val="bottom"/>
            <w:hideMark/>
          </w:tcPr>
          <w:p w14:paraId="5A2AB2E3" w14:textId="77777777" w:rsidR="00EC7D29" w:rsidRPr="00604E11" w:rsidRDefault="00EC7D29" w:rsidP="00EC7D29">
            <w:pPr>
              <w:spacing w:after="0" w:line="240" w:lineRule="auto"/>
              <w:contextualSpacing/>
              <w:rPr>
                <w:rFonts w:ascii="Times New Roman" w:hAnsi="Times New Roman" w:cs="Times New Roman"/>
                <w:sz w:val="20"/>
              </w:rPr>
            </w:pPr>
          </w:p>
        </w:tc>
        <w:tc>
          <w:tcPr>
            <w:tcW w:w="987" w:type="dxa"/>
            <w:tcBorders>
              <w:top w:val="nil"/>
              <w:left w:val="nil"/>
              <w:bottom w:val="nil"/>
              <w:right w:val="nil"/>
            </w:tcBorders>
            <w:noWrap/>
            <w:vAlign w:val="bottom"/>
            <w:hideMark/>
          </w:tcPr>
          <w:p w14:paraId="331D9199" w14:textId="77777777" w:rsidR="00EC7D29" w:rsidRPr="00604E11" w:rsidRDefault="00EC7D29" w:rsidP="00EC7D29">
            <w:pPr>
              <w:spacing w:after="0" w:line="240" w:lineRule="auto"/>
              <w:contextualSpacing/>
              <w:rPr>
                <w:rFonts w:ascii="Times New Roman" w:hAnsi="Times New Roman" w:cs="Times New Roman"/>
                <w:sz w:val="20"/>
              </w:rPr>
            </w:pPr>
          </w:p>
        </w:tc>
      </w:tr>
      <w:tr w:rsidR="00EC7D29" w:rsidRPr="00604E11" w14:paraId="0612E86B" w14:textId="77777777" w:rsidTr="50DA20E6">
        <w:trPr>
          <w:trHeight w:val="471"/>
        </w:trPr>
        <w:tc>
          <w:tcPr>
            <w:tcW w:w="1800" w:type="dxa"/>
            <w:tcBorders>
              <w:top w:val="nil"/>
              <w:left w:val="nil"/>
              <w:bottom w:val="nil"/>
              <w:right w:val="nil"/>
            </w:tcBorders>
            <w:noWrap/>
            <w:vAlign w:val="center"/>
            <w:hideMark/>
          </w:tcPr>
          <w:p w14:paraId="67F3728E"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configural</w:t>
            </w:r>
          </w:p>
        </w:tc>
        <w:tc>
          <w:tcPr>
            <w:tcW w:w="1350" w:type="dxa"/>
            <w:tcBorders>
              <w:top w:val="nil"/>
              <w:left w:val="nil"/>
              <w:bottom w:val="nil"/>
              <w:right w:val="nil"/>
            </w:tcBorders>
            <w:noWrap/>
            <w:vAlign w:val="center"/>
            <w:hideMark/>
          </w:tcPr>
          <w:p w14:paraId="017EAE45"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63.62 (19)</w:t>
            </w:r>
          </w:p>
        </w:tc>
        <w:tc>
          <w:tcPr>
            <w:tcW w:w="900" w:type="dxa"/>
            <w:tcBorders>
              <w:top w:val="nil"/>
              <w:left w:val="nil"/>
              <w:bottom w:val="nil"/>
              <w:right w:val="nil"/>
            </w:tcBorders>
            <w:noWrap/>
            <w:vAlign w:val="center"/>
            <w:hideMark/>
          </w:tcPr>
          <w:p w14:paraId="73F04A21"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0.981</w:t>
            </w:r>
          </w:p>
        </w:tc>
        <w:tc>
          <w:tcPr>
            <w:tcW w:w="1043" w:type="dxa"/>
            <w:tcBorders>
              <w:top w:val="nil"/>
              <w:left w:val="nil"/>
              <w:bottom w:val="nil"/>
              <w:right w:val="nil"/>
            </w:tcBorders>
            <w:noWrap/>
            <w:vAlign w:val="center"/>
            <w:hideMark/>
          </w:tcPr>
          <w:p w14:paraId="6458D59D"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0.036</w:t>
            </w:r>
          </w:p>
        </w:tc>
        <w:tc>
          <w:tcPr>
            <w:tcW w:w="1170" w:type="dxa"/>
            <w:tcBorders>
              <w:top w:val="nil"/>
              <w:left w:val="nil"/>
              <w:bottom w:val="nil"/>
              <w:right w:val="nil"/>
            </w:tcBorders>
            <w:noWrap/>
            <w:vAlign w:val="center"/>
            <w:hideMark/>
          </w:tcPr>
          <w:p w14:paraId="3F07D68E"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636" w:type="dxa"/>
            <w:tcBorders>
              <w:top w:val="nil"/>
              <w:left w:val="nil"/>
              <w:bottom w:val="nil"/>
              <w:right w:val="nil"/>
            </w:tcBorders>
            <w:noWrap/>
            <w:vAlign w:val="center"/>
            <w:hideMark/>
          </w:tcPr>
          <w:p w14:paraId="2ABEDC5B"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1021" w:type="dxa"/>
            <w:tcBorders>
              <w:top w:val="nil"/>
              <w:left w:val="nil"/>
              <w:bottom w:val="nil"/>
              <w:right w:val="nil"/>
            </w:tcBorders>
            <w:noWrap/>
            <w:vAlign w:val="center"/>
            <w:hideMark/>
          </w:tcPr>
          <w:p w14:paraId="77184F92"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987" w:type="dxa"/>
            <w:tcBorders>
              <w:top w:val="nil"/>
              <w:left w:val="nil"/>
              <w:bottom w:val="nil"/>
              <w:right w:val="nil"/>
            </w:tcBorders>
            <w:noWrap/>
            <w:vAlign w:val="center"/>
            <w:hideMark/>
          </w:tcPr>
          <w:p w14:paraId="7AB17CEF"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r>
      <w:tr w:rsidR="00EC7D29" w:rsidRPr="00604E11" w14:paraId="1248075C" w14:textId="77777777" w:rsidTr="50DA20E6">
        <w:trPr>
          <w:trHeight w:val="471"/>
        </w:trPr>
        <w:tc>
          <w:tcPr>
            <w:tcW w:w="1800" w:type="dxa"/>
            <w:tcBorders>
              <w:top w:val="nil"/>
              <w:left w:val="nil"/>
              <w:bottom w:val="nil"/>
              <w:right w:val="nil"/>
            </w:tcBorders>
            <w:noWrap/>
            <w:vAlign w:val="center"/>
            <w:hideMark/>
          </w:tcPr>
          <w:p w14:paraId="1E6B13A2"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metric</w:t>
            </w:r>
          </w:p>
        </w:tc>
        <w:tc>
          <w:tcPr>
            <w:tcW w:w="1350" w:type="dxa"/>
            <w:tcBorders>
              <w:top w:val="nil"/>
              <w:left w:val="nil"/>
              <w:bottom w:val="nil"/>
              <w:right w:val="nil"/>
            </w:tcBorders>
            <w:noWrap/>
            <w:vAlign w:val="center"/>
            <w:hideMark/>
          </w:tcPr>
          <w:p w14:paraId="0CDD01A0"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68.72 (23)</w:t>
            </w:r>
          </w:p>
        </w:tc>
        <w:tc>
          <w:tcPr>
            <w:tcW w:w="900" w:type="dxa"/>
            <w:tcBorders>
              <w:top w:val="nil"/>
              <w:left w:val="nil"/>
              <w:bottom w:val="nil"/>
              <w:right w:val="nil"/>
            </w:tcBorders>
            <w:noWrap/>
            <w:vAlign w:val="center"/>
            <w:hideMark/>
          </w:tcPr>
          <w:p w14:paraId="15940D7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0.981</w:t>
            </w:r>
          </w:p>
        </w:tc>
        <w:tc>
          <w:tcPr>
            <w:tcW w:w="1043" w:type="dxa"/>
            <w:tcBorders>
              <w:top w:val="nil"/>
              <w:left w:val="nil"/>
              <w:bottom w:val="nil"/>
              <w:right w:val="nil"/>
            </w:tcBorders>
            <w:noWrap/>
            <w:vAlign w:val="center"/>
            <w:hideMark/>
          </w:tcPr>
          <w:p w14:paraId="6BD4C2B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0.041</w:t>
            </w:r>
          </w:p>
        </w:tc>
        <w:tc>
          <w:tcPr>
            <w:tcW w:w="1170" w:type="dxa"/>
            <w:tcBorders>
              <w:top w:val="nil"/>
              <w:left w:val="nil"/>
              <w:bottom w:val="nil"/>
              <w:right w:val="nil"/>
            </w:tcBorders>
            <w:noWrap/>
            <w:vAlign w:val="center"/>
            <w:hideMark/>
          </w:tcPr>
          <w:p w14:paraId="5C3E49A2"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5.10 (4)</w:t>
            </w:r>
          </w:p>
        </w:tc>
        <w:tc>
          <w:tcPr>
            <w:tcW w:w="636" w:type="dxa"/>
            <w:tcBorders>
              <w:top w:val="nil"/>
              <w:left w:val="nil"/>
              <w:bottom w:val="nil"/>
              <w:right w:val="nil"/>
            </w:tcBorders>
            <w:noWrap/>
            <w:vAlign w:val="center"/>
            <w:hideMark/>
          </w:tcPr>
          <w:p w14:paraId="5C9BA86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0.28</w:t>
            </w:r>
          </w:p>
        </w:tc>
        <w:tc>
          <w:tcPr>
            <w:tcW w:w="1021" w:type="dxa"/>
            <w:tcBorders>
              <w:top w:val="nil"/>
              <w:left w:val="nil"/>
              <w:bottom w:val="nil"/>
              <w:right w:val="nil"/>
            </w:tcBorders>
            <w:noWrap/>
            <w:vAlign w:val="center"/>
            <w:hideMark/>
          </w:tcPr>
          <w:p w14:paraId="5A97C451"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w:t>
            </w:r>
          </w:p>
        </w:tc>
        <w:tc>
          <w:tcPr>
            <w:tcW w:w="987" w:type="dxa"/>
            <w:tcBorders>
              <w:top w:val="nil"/>
              <w:left w:val="nil"/>
              <w:bottom w:val="nil"/>
              <w:right w:val="nil"/>
            </w:tcBorders>
            <w:noWrap/>
            <w:vAlign w:val="center"/>
            <w:hideMark/>
          </w:tcPr>
          <w:p w14:paraId="0B5335EA"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-0.005</w:t>
            </w:r>
          </w:p>
        </w:tc>
      </w:tr>
      <w:tr w:rsidR="00EC7D29" w:rsidRPr="00604E11" w14:paraId="54559A1C" w14:textId="77777777" w:rsidTr="50DA20E6">
        <w:trPr>
          <w:trHeight w:val="471"/>
        </w:trPr>
        <w:tc>
          <w:tcPr>
            <w:tcW w:w="1800" w:type="dxa"/>
            <w:tcBorders>
              <w:top w:val="nil"/>
              <w:left w:val="nil"/>
              <w:bottom w:val="nil"/>
              <w:right w:val="nil"/>
            </w:tcBorders>
            <w:noWrap/>
            <w:vAlign w:val="center"/>
            <w:hideMark/>
          </w:tcPr>
          <w:p w14:paraId="704F147C"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scalar - full</w:t>
            </w:r>
          </w:p>
        </w:tc>
        <w:tc>
          <w:tcPr>
            <w:tcW w:w="1350" w:type="dxa"/>
            <w:tcBorders>
              <w:top w:val="nil"/>
              <w:left w:val="nil"/>
              <w:bottom w:val="nil"/>
              <w:right w:val="nil"/>
            </w:tcBorders>
            <w:noWrap/>
            <w:vAlign w:val="center"/>
            <w:hideMark/>
          </w:tcPr>
          <w:p w14:paraId="24D1BE80"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78.22 (29)</w:t>
            </w:r>
          </w:p>
        </w:tc>
        <w:tc>
          <w:tcPr>
            <w:tcW w:w="900" w:type="dxa"/>
            <w:tcBorders>
              <w:top w:val="nil"/>
              <w:left w:val="nil"/>
              <w:bottom w:val="nil"/>
              <w:right w:val="nil"/>
            </w:tcBorders>
            <w:noWrap/>
            <w:vAlign w:val="center"/>
            <w:hideMark/>
          </w:tcPr>
          <w:p w14:paraId="1D860C18"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0.980</w:t>
            </w:r>
          </w:p>
        </w:tc>
        <w:tc>
          <w:tcPr>
            <w:tcW w:w="1043" w:type="dxa"/>
            <w:tcBorders>
              <w:top w:val="nil"/>
              <w:left w:val="nil"/>
              <w:bottom w:val="nil"/>
              <w:right w:val="nil"/>
            </w:tcBorders>
            <w:noWrap/>
            <w:vAlign w:val="center"/>
            <w:hideMark/>
          </w:tcPr>
          <w:p w14:paraId="3A8AB528"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0.045</w:t>
            </w:r>
          </w:p>
        </w:tc>
        <w:tc>
          <w:tcPr>
            <w:tcW w:w="1170" w:type="dxa"/>
            <w:tcBorders>
              <w:top w:val="nil"/>
              <w:left w:val="nil"/>
              <w:bottom w:val="nil"/>
              <w:right w:val="nil"/>
            </w:tcBorders>
            <w:noWrap/>
            <w:vAlign w:val="center"/>
            <w:hideMark/>
          </w:tcPr>
          <w:p w14:paraId="7654A176"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9.50 (6)</w:t>
            </w:r>
          </w:p>
        </w:tc>
        <w:tc>
          <w:tcPr>
            <w:tcW w:w="636" w:type="dxa"/>
            <w:tcBorders>
              <w:top w:val="nil"/>
              <w:left w:val="nil"/>
              <w:bottom w:val="nil"/>
              <w:right w:val="nil"/>
            </w:tcBorders>
            <w:noWrap/>
            <w:vAlign w:val="center"/>
            <w:hideMark/>
          </w:tcPr>
          <w:p w14:paraId="27C31538"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0.15</w:t>
            </w:r>
          </w:p>
        </w:tc>
        <w:tc>
          <w:tcPr>
            <w:tcW w:w="1021" w:type="dxa"/>
            <w:tcBorders>
              <w:top w:val="nil"/>
              <w:left w:val="nil"/>
              <w:bottom w:val="nil"/>
              <w:right w:val="nil"/>
            </w:tcBorders>
            <w:noWrap/>
            <w:vAlign w:val="center"/>
            <w:hideMark/>
          </w:tcPr>
          <w:p w14:paraId="0211C7A9"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-0.001</w:t>
            </w:r>
          </w:p>
        </w:tc>
        <w:tc>
          <w:tcPr>
            <w:tcW w:w="987" w:type="dxa"/>
            <w:tcBorders>
              <w:top w:val="nil"/>
              <w:left w:val="nil"/>
              <w:bottom w:val="nil"/>
              <w:right w:val="nil"/>
            </w:tcBorders>
            <w:noWrap/>
            <w:vAlign w:val="center"/>
            <w:hideMark/>
          </w:tcPr>
          <w:p w14:paraId="7F25485A"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-0.005</w:t>
            </w:r>
          </w:p>
        </w:tc>
      </w:tr>
      <w:tr w:rsidR="00EC7D29" w:rsidRPr="00604E11" w14:paraId="39FEF875" w14:textId="77777777" w:rsidTr="50DA20E6">
        <w:trPr>
          <w:trHeight w:val="471"/>
        </w:trPr>
        <w:tc>
          <w:tcPr>
            <w:tcW w:w="1800" w:type="dxa"/>
            <w:tcBorders>
              <w:top w:val="nil"/>
              <w:left w:val="nil"/>
              <w:bottom w:val="nil"/>
              <w:right w:val="nil"/>
            </w:tcBorders>
            <w:noWrap/>
            <w:vAlign w:val="bottom"/>
            <w:hideMark/>
          </w:tcPr>
          <w:p w14:paraId="730606DA" w14:textId="77777777" w:rsidR="00EC7D29" w:rsidRPr="00604E11" w:rsidRDefault="00EC7D29" w:rsidP="00EC7D29">
            <w:pPr>
              <w:spacing w:after="0" w:line="240" w:lineRule="auto"/>
              <w:contextualSpacing/>
              <w:jc w:val="center"/>
              <w:rPr>
                <w:rFonts w:ascii="Times New Roman" w:hAnsi="Times New Roman" w:cs="Times New Roman"/>
                <w:color w:val="000000"/>
              </w:rPr>
            </w:pPr>
          </w:p>
        </w:tc>
        <w:tc>
          <w:tcPr>
            <w:tcW w:w="1350" w:type="dxa"/>
            <w:tcBorders>
              <w:top w:val="nil"/>
              <w:left w:val="nil"/>
              <w:bottom w:val="nil"/>
              <w:right w:val="nil"/>
            </w:tcBorders>
            <w:noWrap/>
            <w:vAlign w:val="bottom"/>
            <w:hideMark/>
          </w:tcPr>
          <w:p w14:paraId="4941BB80" w14:textId="77777777" w:rsidR="00EC7D29" w:rsidRPr="00604E11" w:rsidRDefault="00EC7D29" w:rsidP="00EC7D29">
            <w:pPr>
              <w:spacing w:after="0" w:line="240" w:lineRule="auto"/>
              <w:contextualSpacing/>
              <w:rPr>
                <w:rFonts w:ascii="Times New Roman" w:hAnsi="Times New Roman" w:cs="Times New Roman"/>
                <w:sz w:val="20"/>
              </w:rPr>
            </w:pPr>
          </w:p>
        </w:tc>
        <w:tc>
          <w:tcPr>
            <w:tcW w:w="900" w:type="dxa"/>
            <w:tcBorders>
              <w:top w:val="nil"/>
              <w:left w:val="nil"/>
              <w:bottom w:val="nil"/>
              <w:right w:val="nil"/>
            </w:tcBorders>
            <w:noWrap/>
            <w:vAlign w:val="bottom"/>
            <w:hideMark/>
          </w:tcPr>
          <w:p w14:paraId="79C30353" w14:textId="77777777" w:rsidR="00EC7D29" w:rsidRPr="00604E11" w:rsidRDefault="00EC7D29" w:rsidP="00EC7D29">
            <w:pPr>
              <w:spacing w:after="0" w:line="240" w:lineRule="auto"/>
              <w:contextualSpacing/>
              <w:rPr>
                <w:rFonts w:ascii="Times New Roman" w:hAnsi="Times New Roman" w:cs="Times New Roman"/>
                <w:sz w:val="20"/>
              </w:rPr>
            </w:pPr>
          </w:p>
        </w:tc>
        <w:tc>
          <w:tcPr>
            <w:tcW w:w="1043" w:type="dxa"/>
            <w:tcBorders>
              <w:top w:val="nil"/>
              <w:left w:val="nil"/>
              <w:bottom w:val="nil"/>
              <w:right w:val="nil"/>
            </w:tcBorders>
            <w:noWrap/>
            <w:vAlign w:val="bottom"/>
            <w:hideMark/>
          </w:tcPr>
          <w:p w14:paraId="49638196" w14:textId="77777777" w:rsidR="00EC7D29" w:rsidRPr="00604E11" w:rsidRDefault="00EC7D29" w:rsidP="00EC7D29">
            <w:pPr>
              <w:spacing w:after="0" w:line="240" w:lineRule="auto"/>
              <w:contextualSpacing/>
              <w:rPr>
                <w:rFonts w:ascii="Times New Roman" w:hAnsi="Times New Roman" w:cs="Times New Roman"/>
                <w:sz w:val="20"/>
              </w:rPr>
            </w:pPr>
          </w:p>
        </w:tc>
        <w:tc>
          <w:tcPr>
            <w:tcW w:w="1170" w:type="dxa"/>
            <w:tcBorders>
              <w:top w:val="nil"/>
              <w:left w:val="nil"/>
              <w:bottom w:val="nil"/>
              <w:right w:val="nil"/>
            </w:tcBorders>
            <w:noWrap/>
            <w:vAlign w:val="bottom"/>
            <w:hideMark/>
          </w:tcPr>
          <w:p w14:paraId="096F29B1" w14:textId="77777777" w:rsidR="00EC7D29" w:rsidRPr="00604E11" w:rsidRDefault="00EC7D29" w:rsidP="00EC7D29">
            <w:pPr>
              <w:spacing w:after="0" w:line="240" w:lineRule="auto"/>
              <w:contextualSpacing/>
              <w:rPr>
                <w:rFonts w:ascii="Times New Roman" w:hAnsi="Times New Roman" w:cs="Times New Roman"/>
                <w:sz w:val="20"/>
              </w:rPr>
            </w:pPr>
          </w:p>
        </w:tc>
        <w:tc>
          <w:tcPr>
            <w:tcW w:w="636" w:type="dxa"/>
            <w:tcBorders>
              <w:top w:val="nil"/>
              <w:left w:val="nil"/>
              <w:bottom w:val="nil"/>
              <w:right w:val="nil"/>
            </w:tcBorders>
            <w:noWrap/>
            <w:vAlign w:val="bottom"/>
            <w:hideMark/>
          </w:tcPr>
          <w:p w14:paraId="089F28BF" w14:textId="77777777" w:rsidR="00EC7D29" w:rsidRPr="00604E11" w:rsidRDefault="00EC7D29" w:rsidP="00EC7D29">
            <w:pPr>
              <w:spacing w:after="0" w:line="240" w:lineRule="auto"/>
              <w:contextualSpacing/>
              <w:rPr>
                <w:rFonts w:ascii="Times New Roman" w:hAnsi="Times New Roman" w:cs="Times New Roman"/>
                <w:sz w:val="20"/>
              </w:rPr>
            </w:pPr>
          </w:p>
        </w:tc>
        <w:tc>
          <w:tcPr>
            <w:tcW w:w="1021" w:type="dxa"/>
            <w:tcBorders>
              <w:top w:val="nil"/>
              <w:left w:val="nil"/>
              <w:bottom w:val="nil"/>
              <w:right w:val="nil"/>
            </w:tcBorders>
            <w:noWrap/>
            <w:vAlign w:val="bottom"/>
            <w:hideMark/>
          </w:tcPr>
          <w:p w14:paraId="5CEAD8C3" w14:textId="77777777" w:rsidR="00EC7D29" w:rsidRPr="00604E11" w:rsidRDefault="00EC7D29" w:rsidP="00EC7D29">
            <w:pPr>
              <w:spacing w:after="0" w:line="240" w:lineRule="auto"/>
              <w:contextualSpacing/>
              <w:rPr>
                <w:rFonts w:ascii="Times New Roman" w:hAnsi="Times New Roman" w:cs="Times New Roman"/>
                <w:sz w:val="20"/>
              </w:rPr>
            </w:pPr>
          </w:p>
        </w:tc>
        <w:tc>
          <w:tcPr>
            <w:tcW w:w="987" w:type="dxa"/>
            <w:tcBorders>
              <w:top w:val="nil"/>
              <w:left w:val="nil"/>
              <w:bottom w:val="nil"/>
              <w:right w:val="nil"/>
            </w:tcBorders>
            <w:noWrap/>
            <w:vAlign w:val="bottom"/>
            <w:hideMark/>
          </w:tcPr>
          <w:p w14:paraId="388AA594" w14:textId="77777777" w:rsidR="00EC7D29" w:rsidRPr="00604E11" w:rsidRDefault="00EC7D29" w:rsidP="00EC7D29">
            <w:pPr>
              <w:spacing w:after="0" w:line="240" w:lineRule="auto"/>
              <w:contextualSpacing/>
              <w:rPr>
                <w:rFonts w:ascii="Times New Roman" w:hAnsi="Times New Roman" w:cs="Times New Roman"/>
                <w:sz w:val="20"/>
              </w:rPr>
            </w:pPr>
          </w:p>
        </w:tc>
      </w:tr>
      <w:tr w:rsidR="00EC7D29" w:rsidRPr="00604E11" w14:paraId="0B511A50" w14:textId="77777777" w:rsidTr="50DA20E6">
        <w:trPr>
          <w:trHeight w:val="471"/>
        </w:trPr>
        <w:tc>
          <w:tcPr>
            <w:tcW w:w="3150" w:type="dxa"/>
            <w:gridSpan w:val="2"/>
            <w:tcBorders>
              <w:top w:val="nil"/>
              <w:left w:val="nil"/>
              <w:bottom w:val="nil"/>
              <w:right w:val="nil"/>
            </w:tcBorders>
            <w:noWrap/>
            <w:vAlign w:val="center"/>
            <w:hideMark/>
          </w:tcPr>
          <w:p w14:paraId="058E643E" w14:textId="77EFCBE1" w:rsidR="00EC7D29" w:rsidRPr="00604E11" w:rsidRDefault="50DA20E6" w:rsidP="00EC7D29">
            <w:pPr>
              <w:spacing w:after="0" w:line="240" w:lineRule="auto"/>
              <w:contextualSpacing/>
              <w:rPr>
                <w:rFonts w:ascii="Times New Roman" w:hAnsi="Times New Roman" w:cs="Times New Roman"/>
                <w:color w:val="000000"/>
              </w:rPr>
            </w:pPr>
            <w:r w:rsidRPr="50DA20E6">
              <w:rPr>
                <w:rFonts w:ascii="Times New Roman" w:hAnsi="Times New Roman" w:cs="Times New Roman"/>
                <w:color w:val="000000" w:themeColor="text1"/>
              </w:rPr>
              <w:t>ERI Resolution</w:t>
            </w:r>
          </w:p>
        </w:tc>
        <w:tc>
          <w:tcPr>
            <w:tcW w:w="900" w:type="dxa"/>
            <w:tcBorders>
              <w:top w:val="nil"/>
              <w:left w:val="nil"/>
              <w:bottom w:val="nil"/>
              <w:right w:val="nil"/>
            </w:tcBorders>
            <w:noWrap/>
            <w:vAlign w:val="bottom"/>
            <w:hideMark/>
          </w:tcPr>
          <w:p w14:paraId="42A859CB" w14:textId="77777777" w:rsidR="00EC7D29" w:rsidRPr="00604E11" w:rsidRDefault="00EC7D29" w:rsidP="00EC7D29">
            <w:pPr>
              <w:spacing w:after="0" w:line="240" w:lineRule="auto"/>
              <w:contextualSpacing/>
              <w:rPr>
                <w:rFonts w:ascii="Times New Roman" w:hAnsi="Times New Roman" w:cs="Times New Roman"/>
                <w:color w:val="000000"/>
              </w:rPr>
            </w:pPr>
          </w:p>
        </w:tc>
        <w:tc>
          <w:tcPr>
            <w:tcW w:w="1043" w:type="dxa"/>
            <w:tcBorders>
              <w:top w:val="nil"/>
              <w:left w:val="nil"/>
              <w:bottom w:val="nil"/>
              <w:right w:val="nil"/>
            </w:tcBorders>
            <w:noWrap/>
            <w:vAlign w:val="bottom"/>
            <w:hideMark/>
          </w:tcPr>
          <w:p w14:paraId="4F898E39" w14:textId="77777777" w:rsidR="00EC7D29" w:rsidRPr="00604E11" w:rsidRDefault="00EC7D29" w:rsidP="00EC7D29">
            <w:pPr>
              <w:spacing w:after="0" w:line="240" w:lineRule="auto"/>
              <w:contextualSpacing/>
              <w:rPr>
                <w:rFonts w:ascii="Times New Roman" w:hAnsi="Times New Roman" w:cs="Times New Roman"/>
                <w:sz w:val="20"/>
              </w:rPr>
            </w:pPr>
          </w:p>
        </w:tc>
        <w:tc>
          <w:tcPr>
            <w:tcW w:w="1170" w:type="dxa"/>
            <w:tcBorders>
              <w:top w:val="nil"/>
              <w:left w:val="nil"/>
              <w:bottom w:val="nil"/>
              <w:right w:val="nil"/>
            </w:tcBorders>
            <w:noWrap/>
            <w:vAlign w:val="bottom"/>
            <w:hideMark/>
          </w:tcPr>
          <w:p w14:paraId="6B21F380" w14:textId="77777777" w:rsidR="00EC7D29" w:rsidRPr="00604E11" w:rsidRDefault="00EC7D29" w:rsidP="00EC7D29">
            <w:pPr>
              <w:spacing w:after="0" w:line="240" w:lineRule="auto"/>
              <w:contextualSpacing/>
              <w:rPr>
                <w:rFonts w:ascii="Times New Roman" w:hAnsi="Times New Roman" w:cs="Times New Roman"/>
                <w:sz w:val="20"/>
              </w:rPr>
            </w:pPr>
          </w:p>
        </w:tc>
        <w:tc>
          <w:tcPr>
            <w:tcW w:w="636" w:type="dxa"/>
            <w:tcBorders>
              <w:top w:val="nil"/>
              <w:left w:val="nil"/>
              <w:bottom w:val="nil"/>
              <w:right w:val="nil"/>
            </w:tcBorders>
            <w:noWrap/>
            <w:vAlign w:val="bottom"/>
            <w:hideMark/>
          </w:tcPr>
          <w:p w14:paraId="10876AB1" w14:textId="77777777" w:rsidR="00EC7D29" w:rsidRPr="00604E11" w:rsidRDefault="00EC7D29" w:rsidP="00EC7D29">
            <w:pPr>
              <w:spacing w:after="0" w:line="240" w:lineRule="auto"/>
              <w:contextualSpacing/>
              <w:rPr>
                <w:rFonts w:ascii="Times New Roman" w:hAnsi="Times New Roman" w:cs="Times New Roman"/>
                <w:sz w:val="20"/>
              </w:rPr>
            </w:pPr>
          </w:p>
        </w:tc>
        <w:tc>
          <w:tcPr>
            <w:tcW w:w="1021" w:type="dxa"/>
            <w:tcBorders>
              <w:top w:val="nil"/>
              <w:left w:val="nil"/>
              <w:bottom w:val="nil"/>
              <w:right w:val="nil"/>
            </w:tcBorders>
            <w:noWrap/>
            <w:vAlign w:val="bottom"/>
            <w:hideMark/>
          </w:tcPr>
          <w:p w14:paraId="3614BF13" w14:textId="77777777" w:rsidR="00EC7D29" w:rsidRPr="00604E11" w:rsidRDefault="00EC7D29" w:rsidP="00EC7D29">
            <w:pPr>
              <w:spacing w:after="0" w:line="240" w:lineRule="auto"/>
              <w:contextualSpacing/>
              <w:rPr>
                <w:rFonts w:ascii="Times New Roman" w:hAnsi="Times New Roman" w:cs="Times New Roman"/>
                <w:sz w:val="20"/>
              </w:rPr>
            </w:pPr>
          </w:p>
        </w:tc>
        <w:tc>
          <w:tcPr>
            <w:tcW w:w="987" w:type="dxa"/>
            <w:tcBorders>
              <w:top w:val="nil"/>
              <w:left w:val="nil"/>
              <w:bottom w:val="nil"/>
              <w:right w:val="nil"/>
            </w:tcBorders>
            <w:noWrap/>
            <w:vAlign w:val="bottom"/>
            <w:hideMark/>
          </w:tcPr>
          <w:p w14:paraId="54F30D46" w14:textId="77777777" w:rsidR="00EC7D29" w:rsidRPr="00604E11" w:rsidRDefault="00EC7D29" w:rsidP="00EC7D29">
            <w:pPr>
              <w:spacing w:after="0" w:line="240" w:lineRule="auto"/>
              <w:contextualSpacing/>
              <w:rPr>
                <w:rFonts w:ascii="Times New Roman" w:hAnsi="Times New Roman" w:cs="Times New Roman"/>
                <w:sz w:val="20"/>
              </w:rPr>
            </w:pPr>
          </w:p>
        </w:tc>
      </w:tr>
      <w:tr w:rsidR="00EC7D29" w:rsidRPr="00604E11" w14:paraId="5F205189" w14:textId="77777777" w:rsidTr="50DA20E6">
        <w:trPr>
          <w:trHeight w:val="471"/>
        </w:trPr>
        <w:tc>
          <w:tcPr>
            <w:tcW w:w="1800" w:type="dxa"/>
            <w:tcBorders>
              <w:top w:val="nil"/>
              <w:left w:val="nil"/>
              <w:bottom w:val="nil"/>
              <w:right w:val="nil"/>
            </w:tcBorders>
            <w:noWrap/>
            <w:vAlign w:val="center"/>
            <w:hideMark/>
          </w:tcPr>
          <w:p w14:paraId="416B2769"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configural</w:t>
            </w:r>
          </w:p>
        </w:tc>
        <w:tc>
          <w:tcPr>
            <w:tcW w:w="1350" w:type="dxa"/>
            <w:tcBorders>
              <w:top w:val="nil"/>
              <w:left w:val="nil"/>
              <w:bottom w:val="nil"/>
              <w:right w:val="nil"/>
            </w:tcBorders>
            <w:noWrap/>
            <w:vAlign w:val="center"/>
            <w:hideMark/>
          </w:tcPr>
          <w:p w14:paraId="46D3B166"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30.60 (19)</w:t>
            </w:r>
          </w:p>
        </w:tc>
        <w:tc>
          <w:tcPr>
            <w:tcW w:w="900" w:type="dxa"/>
            <w:tcBorders>
              <w:top w:val="nil"/>
              <w:left w:val="nil"/>
              <w:bottom w:val="nil"/>
              <w:right w:val="nil"/>
            </w:tcBorders>
            <w:noWrap/>
            <w:vAlign w:val="center"/>
            <w:hideMark/>
          </w:tcPr>
          <w:p w14:paraId="4249701E"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0.996</w:t>
            </w:r>
          </w:p>
        </w:tc>
        <w:tc>
          <w:tcPr>
            <w:tcW w:w="1043" w:type="dxa"/>
            <w:tcBorders>
              <w:top w:val="nil"/>
              <w:left w:val="nil"/>
              <w:bottom w:val="nil"/>
              <w:right w:val="nil"/>
            </w:tcBorders>
            <w:noWrap/>
            <w:vAlign w:val="center"/>
            <w:hideMark/>
          </w:tcPr>
          <w:p w14:paraId="165F157A"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0.036</w:t>
            </w:r>
          </w:p>
        </w:tc>
        <w:tc>
          <w:tcPr>
            <w:tcW w:w="1170" w:type="dxa"/>
            <w:tcBorders>
              <w:top w:val="nil"/>
              <w:left w:val="nil"/>
              <w:bottom w:val="nil"/>
              <w:right w:val="nil"/>
            </w:tcBorders>
            <w:noWrap/>
            <w:vAlign w:val="center"/>
            <w:hideMark/>
          </w:tcPr>
          <w:p w14:paraId="58C7B658"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636" w:type="dxa"/>
            <w:tcBorders>
              <w:top w:val="nil"/>
              <w:left w:val="nil"/>
              <w:bottom w:val="nil"/>
              <w:right w:val="nil"/>
            </w:tcBorders>
            <w:noWrap/>
            <w:vAlign w:val="center"/>
            <w:hideMark/>
          </w:tcPr>
          <w:p w14:paraId="00AB43AF"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1021" w:type="dxa"/>
            <w:tcBorders>
              <w:top w:val="nil"/>
              <w:left w:val="nil"/>
              <w:bottom w:val="nil"/>
              <w:right w:val="nil"/>
            </w:tcBorders>
            <w:noWrap/>
            <w:vAlign w:val="center"/>
            <w:hideMark/>
          </w:tcPr>
          <w:p w14:paraId="455051C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987" w:type="dxa"/>
            <w:tcBorders>
              <w:top w:val="nil"/>
              <w:left w:val="nil"/>
              <w:bottom w:val="nil"/>
              <w:right w:val="nil"/>
            </w:tcBorders>
            <w:noWrap/>
            <w:vAlign w:val="center"/>
            <w:hideMark/>
          </w:tcPr>
          <w:p w14:paraId="355D80BB"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r>
      <w:tr w:rsidR="00EC7D29" w:rsidRPr="00604E11" w14:paraId="3FC2860E" w14:textId="77777777" w:rsidTr="50DA20E6">
        <w:trPr>
          <w:trHeight w:val="471"/>
        </w:trPr>
        <w:tc>
          <w:tcPr>
            <w:tcW w:w="1800" w:type="dxa"/>
            <w:tcBorders>
              <w:top w:val="nil"/>
              <w:left w:val="nil"/>
              <w:bottom w:val="nil"/>
              <w:right w:val="nil"/>
            </w:tcBorders>
            <w:noWrap/>
            <w:vAlign w:val="center"/>
            <w:hideMark/>
          </w:tcPr>
          <w:p w14:paraId="75E4D92C"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metric</w:t>
            </w:r>
          </w:p>
        </w:tc>
        <w:tc>
          <w:tcPr>
            <w:tcW w:w="1350" w:type="dxa"/>
            <w:tcBorders>
              <w:top w:val="nil"/>
              <w:left w:val="nil"/>
              <w:bottom w:val="nil"/>
              <w:right w:val="nil"/>
            </w:tcBorders>
            <w:noWrap/>
            <w:vAlign w:val="center"/>
            <w:hideMark/>
          </w:tcPr>
          <w:p w14:paraId="676C561B"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31.99 (23)</w:t>
            </w:r>
          </w:p>
        </w:tc>
        <w:tc>
          <w:tcPr>
            <w:tcW w:w="900" w:type="dxa"/>
            <w:tcBorders>
              <w:top w:val="nil"/>
              <w:left w:val="nil"/>
              <w:bottom w:val="nil"/>
              <w:right w:val="nil"/>
            </w:tcBorders>
            <w:noWrap/>
            <w:vAlign w:val="center"/>
            <w:hideMark/>
          </w:tcPr>
          <w:p w14:paraId="42304404"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0.997</w:t>
            </w:r>
          </w:p>
        </w:tc>
        <w:tc>
          <w:tcPr>
            <w:tcW w:w="1043" w:type="dxa"/>
            <w:tcBorders>
              <w:top w:val="nil"/>
              <w:left w:val="nil"/>
              <w:bottom w:val="nil"/>
              <w:right w:val="nil"/>
            </w:tcBorders>
            <w:noWrap/>
            <w:vAlign w:val="center"/>
            <w:hideMark/>
          </w:tcPr>
          <w:p w14:paraId="50AE311B"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0.041</w:t>
            </w:r>
          </w:p>
        </w:tc>
        <w:tc>
          <w:tcPr>
            <w:tcW w:w="1170" w:type="dxa"/>
            <w:tcBorders>
              <w:top w:val="nil"/>
              <w:left w:val="nil"/>
              <w:bottom w:val="nil"/>
              <w:right w:val="nil"/>
            </w:tcBorders>
            <w:noWrap/>
            <w:vAlign w:val="center"/>
            <w:hideMark/>
          </w:tcPr>
          <w:p w14:paraId="459EC8FA"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1.38 (4)</w:t>
            </w:r>
          </w:p>
        </w:tc>
        <w:tc>
          <w:tcPr>
            <w:tcW w:w="636" w:type="dxa"/>
            <w:tcBorders>
              <w:top w:val="nil"/>
              <w:left w:val="nil"/>
              <w:bottom w:val="nil"/>
              <w:right w:val="nil"/>
            </w:tcBorders>
            <w:noWrap/>
            <w:vAlign w:val="center"/>
            <w:hideMark/>
          </w:tcPr>
          <w:p w14:paraId="7790F56F"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0.85</w:t>
            </w:r>
          </w:p>
        </w:tc>
        <w:tc>
          <w:tcPr>
            <w:tcW w:w="1021" w:type="dxa"/>
            <w:tcBorders>
              <w:top w:val="nil"/>
              <w:left w:val="nil"/>
              <w:bottom w:val="nil"/>
              <w:right w:val="nil"/>
            </w:tcBorders>
            <w:noWrap/>
            <w:vAlign w:val="center"/>
            <w:hideMark/>
          </w:tcPr>
          <w:p w14:paraId="0F24A2A1"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0.001</w:t>
            </w:r>
          </w:p>
        </w:tc>
        <w:tc>
          <w:tcPr>
            <w:tcW w:w="987" w:type="dxa"/>
            <w:tcBorders>
              <w:top w:val="nil"/>
              <w:left w:val="nil"/>
              <w:bottom w:val="nil"/>
              <w:right w:val="nil"/>
            </w:tcBorders>
            <w:noWrap/>
            <w:vAlign w:val="center"/>
            <w:hideMark/>
          </w:tcPr>
          <w:p w14:paraId="0B7FC558"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-0.006</w:t>
            </w:r>
          </w:p>
        </w:tc>
      </w:tr>
      <w:tr w:rsidR="00EC7D29" w:rsidRPr="00604E11" w14:paraId="6BABE456" w14:textId="77777777" w:rsidTr="50DA20E6">
        <w:trPr>
          <w:trHeight w:val="471"/>
        </w:trPr>
        <w:tc>
          <w:tcPr>
            <w:tcW w:w="1800" w:type="dxa"/>
            <w:tcBorders>
              <w:top w:val="nil"/>
              <w:left w:val="nil"/>
              <w:bottom w:val="nil"/>
              <w:right w:val="nil"/>
            </w:tcBorders>
            <w:noWrap/>
            <w:vAlign w:val="center"/>
            <w:hideMark/>
          </w:tcPr>
          <w:p w14:paraId="249D8CB2"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scalar - full</w:t>
            </w:r>
          </w:p>
        </w:tc>
        <w:tc>
          <w:tcPr>
            <w:tcW w:w="1350" w:type="dxa"/>
            <w:tcBorders>
              <w:top w:val="nil"/>
              <w:left w:val="nil"/>
              <w:bottom w:val="nil"/>
              <w:right w:val="nil"/>
            </w:tcBorders>
            <w:noWrap/>
            <w:vAlign w:val="center"/>
            <w:hideMark/>
          </w:tcPr>
          <w:p w14:paraId="4B2B58B0"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37.43 (29)</w:t>
            </w:r>
          </w:p>
        </w:tc>
        <w:tc>
          <w:tcPr>
            <w:tcW w:w="900" w:type="dxa"/>
            <w:tcBorders>
              <w:top w:val="nil"/>
              <w:left w:val="nil"/>
              <w:bottom w:val="nil"/>
              <w:right w:val="nil"/>
            </w:tcBorders>
            <w:noWrap/>
            <w:vAlign w:val="center"/>
            <w:hideMark/>
          </w:tcPr>
          <w:p w14:paraId="58F6317A"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0.997</w:t>
            </w:r>
          </w:p>
        </w:tc>
        <w:tc>
          <w:tcPr>
            <w:tcW w:w="1043" w:type="dxa"/>
            <w:tcBorders>
              <w:top w:val="nil"/>
              <w:left w:val="nil"/>
              <w:bottom w:val="nil"/>
              <w:right w:val="nil"/>
            </w:tcBorders>
            <w:noWrap/>
            <w:vAlign w:val="center"/>
            <w:hideMark/>
          </w:tcPr>
          <w:p w14:paraId="77D4F17B"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0.043</w:t>
            </w:r>
          </w:p>
        </w:tc>
        <w:tc>
          <w:tcPr>
            <w:tcW w:w="1170" w:type="dxa"/>
            <w:tcBorders>
              <w:top w:val="nil"/>
              <w:left w:val="nil"/>
              <w:bottom w:val="nil"/>
              <w:right w:val="nil"/>
            </w:tcBorders>
            <w:noWrap/>
            <w:vAlign w:val="center"/>
            <w:hideMark/>
          </w:tcPr>
          <w:p w14:paraId="3F40E58F"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5.45 (6)</w:t>
            </w:r>
          </w:p>
        </w:tc>
        <w:tc>
          <w:tcPr>
            <w:tcW w:w="636" w:type="dxa"/>
            <w:tcBorders>
              <w:top w:val="nil"/>
              <w:left w:val="nil"/>
              <w:bottom w:val="nil"/>
              <w:right w:val="nil"/>
            </w:tcBorders>
            <w:noWrap/>
            <w:vAlign w:val="center"/>
            <w:hideMark/>
          </w:tcPr>
          <w:p w14:paraId="37B36BC0"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0.49</w:t>
            </w:r>
          </w:p>
        </w:tc>
        <w:tc>
          <w:tcPr>
            <w:tcW w:w="1021" w:type="dxa"/>
            <w:tcBorders>
              <w:top w:val="nil"/>
              <w:left w:val="nil"/>
              <w:bottom w:val="nil"/>
              <w:right w:val="nil"/>
            </w:tcBorders>
            <w:noWrap/>
            <w:vAlign w:val="center"/>
            <w:hideMark/>
          </w:tcPr>
          <w:p w14:paraId="7939858E"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w:t>
            </w:r>
          </w:p>
        </w:tc>
        <w:tc>
          <w:tcPr>
            <w:tcW w:w="987" w:type="dxa"/>
            <w:tcBorders>
              <w:top w:val="nil"/>
              <w:left w:val="nil"/>
              <w:bottom w:val="nil"/>
              <w:right w:val="nil"/>
            </w:tcBorders>
            <w:noWrap/>
            <w:vAlign w:val="center"/>
            <w:hideMark/>
          </w:tcPr>
          <w:p w14:paraId="2EC58C80"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-0.004</w:t>
            </w:r>
          </w:p>
        </w:tc>
      </w:tr>
      <w:tr w:rsidR="00EC7D29" w:rsidRPr="00604E11" w14:paraId="3521A968" w14:textId="77777777" w:rsidTr="50DA20E6">
        <w:trPr>
          <w:trHeight w:val="471"/>
        </w:trPr>
        <w:tc>
          <w:tcPr>
            <w:tcW w:w="1800" w:type="dxa"/>
            <w:tcBorders>
              <w:top w:val="nil"/>
              <w:left w:val="nil"/>
              <w:bottom w:val="nil"/>
              <w:right w:val="nil"/>
            </w:tcBorders>
            <w:noWrap/>
            <w:vAlign w:val="bottom"/>
            <w:hideMark/>
          </w:tcPr>
          <w:p w14:paraId="3C63AF47" w14:textId="77777777" w:rsidR="00EC7D29" w:rsidRPr="00604E11" w:rsidRDefault="00EC7D29" w:rsidP="00EC7D29">
            <w:pPr>
              <w:spacing w:after="0" w:line="240" w:lineRule="auto"/>
              <w:contextualSpacing/>
              <w:jc w:val="center"/>
              <w:rPr>
                <w:rFonts w:ascii="Times New Roman" w:hAnsi="Times New Roman" w:cs="Times New Roman"/>
                <w:color w:val="000000"/>
              </w:rPr>
            </w:pPr>
          </w:p>
        </w:tc>
        <w:tc>
          <w:tcPr>
            <w:tcW w:w="1350" w:type="dxa"/>
            <w:tcBorders>
              <w:top w:val="nil"/>
              <w:left w:val="nil"/>
              <w:bottom w:val="nil"/>
              <w:right w:val="nil"/>
            </w:tcBorders>
            <w:noWrap/>
            <w:vAlign w:val="bottom"/>
            <w:hideMark/>
          </w:tcPr>
          <w:p w14:paraId="5748102E" w14:textId="77777777" w:rsidR="00EC7D29" w:rsidRPr="00604E11" w:rsidRDefault="00EC7D29" w:rsidP="00EC7D29">
            <w:pPr>
              <w:spacing w:after="0" w:line="240" w:lineRule="auto"/>
              <w:contextualSpacing/>
              <w:rPr>
                <w:rFonts w:ascii="Times New Roman" w:hAnsi="Times New Roman" w:cs="Times New Roman"/>
                <w:sz w:val="20"/>
              </w:rPr>
            </w:pPr>
          </w:p>
        </w:tc>
        <w:tc>
          <w:tcPr>
            <w:tcW w:w="900" w:type="dxa"/>
            <w:tcBorders>
              <w:top w:val="nil"/>
              <w:left w:val="nil"/>
              <w:bottom w:val="nil"/>
              <w:right w:val="nil"/>
            </w:tcBorders>
            <w:noWrap/>
            <w:vAlign w:val="bottom"/>
            <w:hideMark/>
          </w:tcPr>
          <w:p w14:paraId="02A1A94E" w14:textId="77777777" w:rsidR="00EC7D29" w:rsidRPr="00604E11" w:rsidRDefault="00EC7D29" w:rsidP="00EC7D29">
            <w:pPr>
              <w:spacing w:after="0" w:line="240" w:lineRule="auto"/>
              <w:contextualSpacing/>
              <w:rPr>
                <w:rFonts w:ascii="Times New Roman" w:hAnsi="Times New Roman" w:cs="Times New Roman"/>
                <w:sz w:val="20"/>
              </w:rPr>
            </w:pPr>
          </w:p>
        </w:tc>
        <w:tc>
          <w:tcPr>
            <w:tcW w:w="1043" w:type="dxa"/>
            <w:tcBorders>
              <w:top w:val="nil"/>
              <w:left w:val="nil"/>
              <w:bottom w:val="nil"/>
              <w:right w:val="nil"/>
            </w:tcBorders>
            <w:noWrap/>
            <w:vAlign w:val="bottom"/>
            <w:hideMark/>
          </w:tcPr>
          <w:p w14:paraId="0EE8BABA" w14:textId="77777777" w:rsidR="00EC7D29" w:rsidRPr="00604E11" w:rsidRDefault="00EC7D29" w:rsidP="00EC7D29">
            <w:pPr>
              <w:spacing w:after="0" w:line="240" w:lineRule="auto"/>
              <w:contextualSpacing/>
              <w:rPr>
                <w:rFonts w:ascii="Times New Roman" w:hAnsi="Times New Roman" w:cs="Times New Roman"/>
                <w:sz w:val="20"/>
              </w:rPr>
            </w:pPr>
          </w:p>
        </w:tc>
        <w:tc>
          <w:tcPr>
            <w:tcW w:w="1170" w:type="dxa"/>
            <w:tcBorders>
              <w:top w:val="nil"/>
              <w:left w:val="nil"/>
              <w:bottom w:val="nil"/>
              <w:right w:val="nil"/>
            </w:tcBorders>
            <w:noWrap/>
            <w:vAlign w:val="bottom"/>
            <w:hideMark/>
          </w:tcPr>
          <w:p w14:paraId="11503D8E" w14:textId="77777777" w:rsidR="00EC7D29" w:rsidRPr="00604E11" w:rsidRDefault="00EC7D29" w:rsidP="00EC7D29">
            <w:pPr>
              <w:spacing w:after="0" w:line="240" w:lineRule="auto"/>
              <w:contextualSpacing/>
              <w:rPr>
                <w:rFonts w:ascii="Times New Roman" w:hAnsi="Times New Roman" w:cs="Times New Roman"/>
                <w:sz w:val="20"/>
              </w:rPr>
            </w:pPr>
          </w:p>
        </w:tc>
        <w:tc>
          <w:tcPr>
            <w:tcW w:w="636" w:type="dxa"/>
            <w:tcBorders>
              <w:top w:val="nil"/>
              <w:left w:val="nil"/>
              <w:bottom w:val="nil"/>
              <w:right w:val="nil"/>
            </w:tcBorders>
            <w:noWrap/>
            <w:vAlign w:val="bottom"/>
            <w:hideMark/>
          </w:tcPr>
          <w:p w14:paraId="4E561BBE" w14:textId="77777777" w:rsidR="00EC7D29" w:rsidRPr="00604E11" w:rsidRDefault="00EC7D29" w:rsidP="00EC7D29">
            <w:pPr>
              <w:spacing w:after="0" w:line="240" w:lineRule="auto"/>
              <w:contextualSpacing/>
              <w:rPr>
                <w:rFonts w:ascii="Times New Roman" w:hAnsi="Times New Roman" w:cs="Times New Roman"/>
                <w:sz w:val="20"/>
              </w:rPr>
            </w:pPr>
          </w:p>
        </w:tc>
        <w:tc>
          <w:tcPr>
            <w:tcW w:w="1021" w:type="dxa"/>
            <w:tcBorders>
              <w:top w:val="nil"/>
              <w:left w:val="nil"/>
              <w:bottom w:val="nil"/>
              <w:right w:val="nil"/>
            </w:tcBorders>
            <w:noWrap/>
            <w:vAlign w:val="bottom"/>
            <w:hideMark/>
          </w:tcPr>
          <w:p w14:paraId="587339D7" w14:textId="77777777" w:rsidR="00EC7D29" w:rsidRPr="00604E11" w:rsidRDefault="00EC7D29" w:rsidP="00EC7D29">
            <w:pPr>
              <w:spacing w:after="0" w:line="240" w:lineRule="auto"/>
              <w:contextualSpacing/>
              <w:rPr>
                <w:rFonts w:ascii="Times New Roman" w:hAnsi="Times New Roman" w:cs="Times New Roman"/>
                <w:sz w:val="20"/>
              </w:rPr>
            </w:pPr>
          </w:p>
        </w:tc>
        <w:tc>
          <w:tcPr>
            <w:tcW w:w="987" w:type="dxa"/>
            <w:tcBorders>
              <w:top w:val="nil"/>
              <w:left w:val="nil"/>
              <w:bottom w:val="nil"/>
              <w:right w:val="nil"/>
            </w:tcBorders>
            <w:noWrap/>
            <w:vAlign w:val="bottom"/>
            <w:hideMark/>
          </w:tcPr>
          <w:p w14:paraId="577EC392" w14:textId="77777777" w:rsidR="00EC7D29" w:rsidRPr="00604E11" w:rsidRDefault="00EC7D29" w:rsidP="00EC7D29">
            <w:pPr>
              <w:spacing w:after="0" w:line="240" w:lineRule="auto"/>
              <w:contextualSpacing/>
              <w:rPr>
                <w:rFonts w:ascii="Times New Roman" w:hAnsi="Times New Roman" w:cs="Times New Roman"/>
                <w:sz w:val="20"/>
              </w:rPr>
            </w:pPr>
          </w:p>
        </w:tc>
      </w:tr>
      <w:tr w:rsidR="00EC7D29" w:rsidRPr="00604E11" w14:paraId="56C4CC30" w14:textId="77777777" w:rsidTr="50DA20E6">
        <w:trPr>
          <w:trHeight w:val="471"/>
        </w:trPr>
        <w:tc>
          <w:tcPr>
            <w:tcW w:w="1800" w:type="dxa"/>
            <w:tcBorders>
              <w:top w:val="nil"/>
              <w:left w:val="nil"/>
              <w:bottom w:val="nil"/>
              <w:right w:val="nil"/>
            </w:tcBorders>
            <w:noWrap/>
            <w:vAlign w:val="center"/>
            <w:hideMark/>
          </w:tcPr>
          <w:p w14:paraId="676CCDCD" w14:textId="722C3242" w:rsidR="00EC7D29" w:rsidRPr="00604E11" w:rsidRDefault="50DA20E6" w:rsidP="00EC7D29">
            <w:pPr>
              <w:spacing w:after="0" w:line="240" w:lineRule="auto"/>
              <w:contextualSpacing/>
              <w:rPr>
                <w:rFonts w:ascii="Times New Roman" w:hAnsi="Times New Roman" w:cs="Times New Roman"/>
                <w:color w:val="000000"/>
              </w:rPr>
            </w:pPr>
            <w:r w:rsidRPr="50DA20E6">
              <w:rPr>
                <w:rFonts w:ascii="Times New Roman" w:hAnsi="Times New Roman" w:cs="Times New Roman"/>
                <w:color w:val="000000" w:themeColor="text1"/>
              </w:rPr>
              <w:t>ERI Centrality</w:t>
            </w:r>
          </w:p>
        </w:tc>
        <w:tc>
          <w:tcPr>
            <w:tcW w:w="1350" w:type="dxa"/>
            <w:tcBorders>
              <w:top w:val="nil"/>
              <w:left w:val="nil"/>
              <w:bottom w:val="nil"/>
              <w:right w:val="nil"/>
            </w:tcBorders>
            <w:noWrap/>
            <w:vAlign w:val="bottom"/>
            <w:hideMark/>
          </w:tcPr>
          <w:p w14:paraId="54201534" w14:textId="77777777" w:rsidR="00EC7D29" w:rsidRPr="00604E11" w:rsidRDefault="00EC7D29" w:rsidP="00EC7D29">
            <w:pPr>
              <w:spacing w:after="0" w:line="240" w:lineRule="auto"/>
              <w:contextualSpacing/>
              <w:rPr>
                <w:rFonts w:ascii="Times New Roman" w:hAnsi="Times New Roman" w:cs="Times New Roman"/>
                <w:color w:val="000000"/>
              </w:rPr>
            </w:pPr>
          </w:p>
        </w:tc>
        <w:tc>
          <w:tcPr>
            <w:tcW w:w="900" w:type="dxa"/>
            <w:tcBorders>
              <w:top w:val="nil"/>
              <w:left w:val="nil"/>
              <w:bottom w:val="nil"/>
              <w:right w:val="nil"/>
            </w:tcBorders>
            <w:noWrap/>
            <w:vAlign w:val="bottom"/>
            <w:hideMark/>
          </w:tcPr>
          <w:p w14:paraId="6DDA3CA9" w14:textId="77777777" w:rsidR="00EC7D29" w:rsidRPr="00604E11" w:rsidRDefault="00EC7D29" w:rsidP="00EC7D29">
            <w:pPr>
              <w:spacing w:after="0" w:line="240" w:lineRule="auto"/>
              <w:contextualSpacing/>
              <w:rPr>
                <w:rFonts w:ascii="Times New Roman" w:hAnsi="Times New Roman" w:cs="Times New Roman"/>
                <w:sz w:val="20"/>
              </w:rPr>
            </w:pPr>
          </w:p>
        </w:tc>
        <w:tc>
          <w:tcPr>
            <w:tcW w:w="1043" w:type="dxa"/>
            <w:tcBorders>
              <w:top w:val="nil"/>
              <w:left w:val="nil"/>
              <w:bottom w:val="nil"/>
              <w:right w:val="nil"/>
            </w:tcBorders>
            <w:noWrap/>
            <w:vAlign w:val="bottom"/>
            <w:hideMark/>
          </w:tcPr>
          <w:p w14:paraId="68561840" w14:textId="77777777" w:rsidR="00EC7D29" w:rsidRPr="00604E11" w:rsidRDefault="00EC7D29" w:rsidP="00EC7D29">
            <w:pPr>
              <w:spacing w:after="0" w:line="240" w:lineRule="auto"/>
              <w:contextualSpacing/>
              <w:rPr>
                <w:rFonts w:ascii="Times New Roman" w:hAnsi="Times New Roman" w:cs="Times New Roman"/>
                <w:sz w:val="20"/>
              </w:rPr>
            </w:pPr>
          </w:p>
        </w:tc>
        <w:tc>
          <w:tcPr>
            <w:tcW w:w="1170" w:type="dxa"/>
            <w:tcBorders>
              <w:top w:val="nil"/>
              <w:left w:val="nil"/>
              <w:bottom w:val="nil"/>
              <w:right w:val="nil"/>
            </w:tcBorders>
            <w:noWrap/>
            <w:vAlign w:val="bottom"/>
            <w:hideMark/>
          </w:tcPr>
          <w:p w14:paraId="49ED4F01" w14:textId="77777777" w:rsidR="00EC7D29" w:rsidRPr="00604E11" w:rsidRDefault="00EC7D29" w:rsidP="00EC7D29">
            <w:pPr>
              <w:spacing w:after="0" w:line="240" w:lineRule="auto"/>
              <w:contextualSpacing/>
              <w:rPr>
                <w:rFonts w:ascii="Times New Roman" w:hAnsi="Times New Roman" w:cs="Times New Roman"/>
                <w:sz w:val="20"/>
              </w:rPr>
            </w:pPr>
          </w:p>
        </w:tc>
        <w:tc>
          <w:tcPr>
            <w:tcW w:w="636" w:type="dxa"/>
            <w:tcBorders>
              <w:top w:val="nil"/>
              <w:left w:val="nil"/>
              <w:bottom w:val="nil"/>
              <w:right w:val="nil"/>
            </w:tcBorders>
            <w:noWrap/>
            <w:vAlign w:val="bottom"/>
            <w:hideMark/>
          </w:tcPr>
          <w:p w14:paraId="2FFCA797" w14:textId="77777777" w:rsidR="00EC7D29" w:rsidRPr="00604E11" w:rsidRDefault="00EC7D29" w:rsidP="00EC7D29">
            <w:pPr>
              <w:spacing w:after="0" w:line="240" w:lineRule="auto"/>
              <w:contextualSpacing/>
              <w:rPr>
                <w:rFonts w:ascii="Times New Roman" w:hAnsi="Times New Roman" w:cs="Times New Roman"/>
                <w:sz w:val="20"/>
              </w:rPr>
            </w:pPr>
          </w:p>
        </w:tc>
        <w:tc>
          <w:tcPr>
            <w:tcW w:w="1021" w:type="dxa"/>
            <w:tcBorders>
              <w:top w:val="nil"/>
              <w:left w:val="nil"/>
              <w:bottom w:val="nil"/>
              <w:right w:val="nil"/>
            </w:tcBorders>
            <w:noWrap/>
            <w:vAlign w:val="bottom"/>
            <w:hideMark/>
          </w:tcPr>
          <w:p w14:paraId="0AB6179D" w14:textId="77777777" w:rsidR="00EC7D29" w:rsidRPr="00604E11" w:rsidRDefault="00EC7D29" w:rsidP="00EC7D29">
            <w:pPr>
              <w:spacing w:after="0" w:line="240" w:lineRule="auto"/>
              <w:contextualSpacing/>
              <w:rPr>
                <w:rFonts w:ascii="Times New Roman" w:hAnsi="Times New Roman" w:cs="Times New Roman"/>
                <w:sz w:val="20"/>
              </w:rPr>
            </w:pPr>
          </w:p>
        </w:tc>
        <w:tc>
          <w:tcPr>
            <w:tcW w:w="987" w:type="dxa"/>
            <w:tcBorders>
              <w:top w:val="nil"/>
              <w:left w:val="nil"/>
              <w:bottom w:val="nil"/>
              <w:right w:val="nil"/>
            </w:tcBorders>
            <w:noWrap/>
            <w:vAlign w:val="bottom"/>
            <w:hideMark/>
          </w:tcPr>
          <w:p w14:paraId="06B487A7" w14:textId="77777777" w:rsidR="00EC7D29" w:rsidRPr="00604E11" w:rsidRDefault="00EC7D29" w:rsidP="00EC7D29">
            <w:pPr>
              <w:spacing w:after="0" w:line="240" w:lineRule="auto"/>
              <w:contextualSpacing/>
              <w:rPr>
                <w:rFonts w:ascii="Times New Roman" w:hAnsi="Times New Roman" w:cs="Times New Roman"/>
                <w:sz w:val="20"/>
              </w:rPr>
            </w:pPr>
          </w:p>
        </w:tc>
      </w:tr>
      <w:tr w:rsidR="00EC7D29" w:rsidRPr="00604E11" w14:paraId="1D4CA46F" w14:textId="77777777" w:rsidTr="50DA20E6">
        <w:trPr>
          <w:trHeight w:val="471"/>
        </w:trPr>
        <w:tc>
          <w:tcPr>
            <w:tcW w:w="1800" w:type="dxa"/>
            <w:tcBorders>
              <w:top w:val="nil"/>
              <w:left w:val="nil"/>
              <w:bottom w:val="nil"/>
              <w:right w:val="nil"/>
            </w:tcBorders>
            <w:noWrap/>
            <w:vAlign w:val="center"/>
            <w:hideMark/>
          </w:tcPr>
          <w:p w14:paraId="56DA21F5"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configural</w:t>
            </w:r>
          </w:p>
        </w:tc>
        <w:tc>
          <w:tcPr>
            <w:tcW w:w="1350" w:type="dxa"/>
            <w:tcBorders>
              <w:top w:val="nil"/>
              <w:left w:val="nil"/>
              <w:bottom w:val="nil"/>
              <w:right w:val="nil"/>
            </w:tcBorders>
            <w:noWrap/>
            <w:vAlign w:val="center"/>
            <w:hideMark/>
          </w:tcPr>
          <w:p w14:paraId="095589A7"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42.15 (19)</w:t>
            </w:r>
          </w:p>
        </w:tc>
        <w:tc>
          <w:tcPr>
            <w:tcW w:w="900" w:type="dxa"/>
            <w:tcBorders>
              <w:top w:val="nil"/>
              <w:left w:val="nil"/>
              <w:bottom w:val="nil"/>
              <w:right w:val="nil"/>
            </w:tcBorders>
            <w:noWrap/>
            <w:vAlign w:val="center"/>
            <w:hideMark/>
          </w:tcPr>
          <w:p w14:paraId="318E7062"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0.977</w:t>
            </w:r>
          </w:p>
        </w:tc>
        <w:tc>
          <w:tcPr>
            <w:tcW w:w="1043" w:type="dxa"/>
            <w:tcBorders>
              <w:top w:val="nil"/>
              <w:left w:val="nil"/>
              <w:bottom w:val="nil"/>
              <w:right w:val="nil"/>
            </w:tcBorders>
            <w:noWrap/>
            <w:vAlign w:val="center"/>
            <w:hideMark/>
          </w:tcPr>
          <w:p w14:paraId="407A3997"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0.045</w:t>
            </w:r>
          </w:p>
        </w:tc>
        <w:tc>
          <w:tcPr>
            <w:tcW w:w="1170" w:type="dxa"/>
            <w:tcBorders>
              <w:top w:val="nil"/>
              <w:left w:val="nil"/>
              <w:bottom w:val="nil"/>
              <w:right w:val="nil"/>
            </w:tcBorders>
            <w:noWrap/>
            <w:vAlign w:val="center"/>
            <w:hideMark/>
          </w:tcPr>
          <w:p w14:paraId="2C003577"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636" w:type="dxa"/>
            <w:tcBorders>
              <w:top w:val="nil"/>
              <w:left w:val="nil"/>
              <w:bottom w:val="nil"/>
              <w:right w:val="nil"/>
            </w:tcBorders>
            <w:noWrap/>
            <w:vAlign w:val="center"/>
            <w:hideMark/>
          </w:tcPr>
          <w:p w14:paraId="1F0FE761"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1021" w:type="dxa"/>
            <w:tcBorders>
              <w:top w:val="nil"/>
              <w:left w:val="nil"/>
              <w:bottom w:val="nil"/>
              <w:right w:val="nil"/>
            </w:tcBorders>
            <w:noWrap/>
            <w:vAlign w:val="center"/>
            <w:hideMark/>
          </w:tcPr>
          <w:p w14:paraId="402C4337"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c>
          <w:tcPr>
            <w:tcW w:w="987" w:type="dxa"/>
            <w:tcBorders>
              <w:top w:val="nil"/>
              <w:left w:val="nil"/>
              <w:bottom w:val="nil"/>
              <w:right w:val="nil"/>
            </w:tcBorders>
            <w:noWrap/>
            <w:vAlign w:val="center"/>
            <w:hideMark/>
          </w:tcPr>
          <w:p w14:paraId="7D1B59B0"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w:t>
            </w:r>
          </w:p>
        </w:tc>
      </w:tr>
      <w:tr w:rsidR="00EC7D29" w:rsidRPr="00604E11" w14:paraId="7337E91B" w14:textId="77777777" w:rsidTr="50DA20E6">
        <w:trPr>
          <w:trHeight w:val="471"/>
        </w:trPr>
        <w:tc>
          <w:tcPr>
            <w:tcW w:w="1800" w:type="dxa"/>
            <w:tcBorders>
              <w:top w:val="nil"/>
              <w:left w:val="nil"/>
              <w:bottom w:val="nil"/>
              <w:right w:val="nil"/>
            </w:tcBorders>
            <w:noWrap/>
            <w:vAlign w:val="center"/>
            <w:hideMark/>
          </w:tcPr>
          <w:p w14:paraId="204CF498"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metric</w:t>
            </w:r>
          </w:p>
        </w:tc>
        <w:tc>
          <w:tcPr>
            <w:tcW w:w="1350" w:type="dxa"/>
            <w:tcBorders>
              <w:top w:val="nil"/>
              <w:left w:val="nil"/>
              <w:bottom w:val="nil"/>
              <w:right w:val="nil"/>
            </w:tcBorders>
            <w:noWrap/>
            <w:vAlign w:val="center"/>
            <w:hideMark/>
          </w:tcPr>
          <w:p w14:paraId="43501C86"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46.61 (23)</w:t>
            </w:r>
          </w:p>
        </w:tc>
        <w:tc>
          <w:tcPr>
            <w:tcW w:w="900" w:type="dxa"/>
            <w:tcBorders>
              <w:top w:val="nil"/>
              <w:left w:val="nil"/>
              <w:bottom w:val="nil"/>
              <w:right w:val="nil"/>
            </w:tcBorders>
            <w:noWrap/>
            <w:vAlign w:val="center"/>
            <w:hideMark/>
          </w:tcPr>
          <w:p w14:paraId="73630815"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0.977</w:t>
            </w:r>
          </w:p>
        </w:tc>
        <w:tc>
          <w:tcPr>
            <w:tcW w:w="1043" w:type="dxa"/>
            <w:tcBorders>
              <w:top w:val="nil"/>
              <w:left w:val="nil"/>
              <w:bottom w:val="nil"/>
              <w:right w:val="nil"/>
            </w:tcBorders>
            <w:noWrap/>
            <w:vAlign w:val="center"/>
            <w:hideMark/>
          </w:tcPr>
          <w:p w14:paraId="393A11CE"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0.041</w:t>
            </w:r>
          </w:p>
        </w:tc>
        <w:tc>
          <w:tcPr>
            <w:tcW w:w="1170" w:type="dxa"/>
            <w:tcBorders>
              <w:top w:val="nil"/>
              <w:left w:val="nil"/>
              <w:bottom w:val="nil"/>
              <w:right w:val="nil"/>
            </w:tcBorders>
            <w:noWrap/>
            <w:vAlign w:val="center"/>
            <w:hideMark/>
          </w:tcPr>
          <w:p w14:paraId="03C9CF3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4.45 (4)</w:t>
            </w:r>
          </w:p>
        </w:tc>
        <w:tc>
          <w:tcPr>
            <w:tcW w:w="636" w:type="dxa"/>
            <w:tcBorders>
              <w:top w:val="nil"/>
              <w:left w:val="nil"/>
              <w:bottom w:val="nil"/>
              <w:right w:val="nil"/>
            </w:tcBorders>
            <w:noWrap/>
            <w:vAlign w:val="center"/>
            <w:hideMark/>
          </w:tcPr>
          <w:p w14:paraId="701E9651"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0.35</w:t>
            </w:r>
          </w:p>
        </w:tc>
        <w:tc>
          <w:tcPr>
            <w:tcW w:w="1021" w:type="dxa"/>
            <w:tcBorders>
              <w:top w:val="nil"/>
              <w:left w:val="nil"/>
              <w:bottom w:val="nil"/>
              <w:right w:val="nil"/>
            </w:tcBorders>
            <w:noWrap/>
            <w:vAlign w:val="center"/>
            <w:hideMark/>
          </w:tcPr>
          <w:p w14:paraId="60798381"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w:t>
            </w:r>
          </w:p>
        </w:tc>
        <w:tc>
          <w:tcPr>
            <w:tcW w:w="987" w:type="dxa"/>
            <w:tcBorders>
              <w:top w:val="nil"/>
              <w:left w:val="nil"/>
              <w:bottom w:val="nil"/>
              <w:right w:val="nil"/>
            </w:tcBorders>
            <w:noWrap/>
            <w:vAlign w:val="center"/>
            <w:hideMark/>
          </w:tcPr>
          <w:p w14:paraId="30B6E33A"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-0.004</w:t>
            </w:r>
          </w:p>
        </w:tc>
      </w:tr>
      <w:tr w:rsidR="00EC7D29" w:rsidRPr="00604E11" w14:paraId="043AE703" w14:textId="77777777" w:rsidTr="50DA20E6">
        <w:trPr>
          <w:trHeight w:val="502"/>
        </w:trPr>
        <w:tc>
          <w:tcPr>
            <w:tcW w:w="1800" w:type="dxa"/>
            <w:tcBorders>
              <w:top w:val="nil"/>
              <w:left w:val="nil"/>
              <w:bottom w:val="nil"/>
              <w:right w:val="nil"/>
            </w:tcBorders>
            <w:noWrap/>
            <w:vAlign w:val="center"/>
            <w:hideMark/>
          </w:tcPr>
          <w:p w14:paraId="42F6A420" w14:textId="77777777" w:rsidR="00EC7D29" w:rsidRPr="00604E11" w:rsidRDefault="00EC7D29" w:rsidP="00EC7D29">
            <w:pPr>
              <w:spacing w:after="0" w:line="240" w:lineRule="auto"/>
              <w:contextualSpacing/>
              <w:rPr>
                <w:rFonts w:ascii="Times New Roman" w:hAnsi="Times New Roman" w:cs="Times New Roman"/>
                <w:color w:val="000000"/>
              </w:rPr>
            </w:pPr>
            <w:r w:rsidRPr="00604E11">
              <w:rPr>
                <w:rFonts w:ascii="Times New Roman" w:hAnsi="Times New Roman" w:cs="Times New Roman"/>
                <w:color w:val="000000"/>
              </w:rPr>
              <w:t xml:space="preserve">    scalar - full</w:t>
            </w:r>
          </w:p>
        </w:tc>
        <w:tc>
          <w:tcPr>
            <w:tcW w:w="1350" w:type="dxa"/>
            <w:tcBorders>
              <w:top w:val="nil"/>
              <w:left w:val="nil"/>
              <w:bottom w:val="nil"/>
              <w:right w:val="nil"/>
            </w:tcBorders>
            <w:noWrap/>
            <w:vAlign w:val="center"/>
            <w:hideMark/>
          </w:tcPr>
          <w:p w14:paraId="0B032816"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54.87 (29)</w:t>
            </w:r>
          </w:p>
        </w:tc>
        <w:tc>
          <w:tcPr>
            <w:tcW w:w="900" w:type="dxa"/>
            <w:tcBorders>
              <w:top w:val="nil"/>
              <w:left w:val="nil"/>
              <w:bottom w:val="nil"/>
              <w:right w:val="nil"/>
            </w:tcBorders>
            <w:noWrap/>
            <w:vAlign w:val="center"/>
            <w:hideMark/>
          </w:tcPr>
          <w:p w14:paraId="132579E9"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0.975</w:t>
            </w:r>
          </w:p>
        </w:tc>
        <w:tc>
          <w:tcPr>
            <w:tcW w:w="1043" w:type="dxa"/>
            <w:tcBorders>
              <w:top w:val="nil"/>
              <w:left w:val="nil"/>
              <w:bottom w:val="nil"/>
              <w:right w:val="nil"/>
            </w:tcBorders>
            <w:noWrap/>
            <w:vAlign w:val="center"/>
            <w:hideMark/>
          </w:tcPr>
          <w:p w14:paraId="1FC28FAD"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0.039</w:t>
            </w:r>
          </w:p>
        </w:tc>
        <w:tc>
          <w:tcPr>
            <w:tcW w:w="1170" w:type="dxa"/>
            <w:tcBorders>
              <w:top w:val="nil"/>
              <w:left w:val="nil"/>
              <w:bottom w:val="nil"/>
              <w:right w:val="nil"/>
            </w:tcBorders>
            <w:noWrap/>
            <w:vAlign w:val="center"/>
            <w:hideMark/>
          </w:tcPr>
          <w:p w14:paraId="060EA3E3"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8.27 (6)</w:t>
            </w:r>
          </w:p>
        </w:tc>
        <w:tc>
          <w:tcPr>
            <w:tcW w:w="636" w:type="dxa"/>
            <w:tcBorders>
              <w:top w:val="nil"/>
              <w:left w:val="nil"/>
              <w:bottom w:val="nil"/>
              <w:right w:val="nil"/>
            </w:tcBorders>
            <w:noWrap/>
            <w:vAlign w:val="center"/>
            <w:hideMark/>
          </w:tcPr>
          <w:p w14:paraId="7AB1EC3D"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0.22</w:t>
            </w:r>
          </w:p>
        </w:tc>
        <w:tc>
          <w:tcPr>
            <w:tcW w:w="1021" w:type="dxa"/>
            <w:tcBorders>
              <w:top w:val="nil"/>
              <w:left w:val="nil"/>
              <w:bottom w:val="nil"/>
              <w:right w:val="nil"/>
            </w:tcBorders>
            <w:noWrap/>
            <w:vAlign w:val="center"/>
            <w:hideMark/>
          </w:tcPr>
          <w:p w14:paraId="16C0E9E2"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-0.002</w:t>
            </w:r>
          </w:p>
        </w:tc>
        <w:tc>
          <w:tcPr>
            <w:tcW w:w="987" w:type="dxa"/>
            <w:tcBorders>
              <w:top w:val="nil"/>
              <w:left w:val="nil"/>
              <w:bottom w:val="nil"/>
              <w:right w:val="nil"/>
            </w:tcBorders>
            <w:noWrap/>
            <w:vAlign w:val="center"/>
            <w:hideMark/>
          </w:tcPr>
          <w:p w14:paraId="01D93109" w14:textId="77777777" w:rsidR="00EC7D29" w:rsidRPr="00604E11" w:rsidRDefault="00EC7D29" w:rsidP="00EC7D29">
            <w:pPr>
              <w:spacing w:after="0" w:line="240" w:lineRule="auto"/>
              <w:contextualSpacing/>
              <w:jc w:val="center"/>
              <w:rPr>
                <w:rFonts w:ascii="Times New Roman" w:hAnsi="Times New Roman" w:cs="Times New Roman"/>
                <w:color w:val="000000"/>
              </w:rPr>
            </w:pPr>
            <w:r w:rsidRPr="00604E11">
              <w:rPr>
                <w:rFonts w:ascii="Times New Roman" w:hAnsi="Times New Roman" w:cs="Times New Roman"/>
                <w:color w:val="000000"/>
              </w:rPr>
              <w:t>-0.002</w:t>
            </w:r>
          </w:p>
        </w:tc>
      </w:tr>
      <w:tr w:rsidR="00EC7D29" w:rsidRPr="00604E11" w14:paraId="09FBD47D" w14:textId="77777777" w:rsidTr="50DA20E6">
        <w:trPr>
          <w:trHeight w:val="945"/>
        </w:trPr>
        <w:tc>
          <w:tcPr>
            <w:tcW w:w="8907" w:type="dxa"/>
            <w:gridSpan w:val="8"/>
            <w:tcBorders>
              <w:top w:val="single" w:sz="8" w:space="0" w:color="auto"/>
              <w:left w:val="nil"/>
              <w:bottom w:val="nil"/>
              <w:right w:val="nil"/>
            </w:tcBorders>
            <w:vAlign w:val="center"/>
            <w:hideMark/>
          </w:tcPr>
          <w:p w14:paraId="62BD0F2B" w14:textId="76F16D96" w:rsidR="00EC7D29" w:rsidRPr="00604E11" w:rsidRDefault="50DA20E6" w:rsidP="50DA20E6">
            <w:pPr>
              <w:spacing w:after="0" w:line="240" w:lineRule="auto"/>
              <w:contextualSpacing/>
              <w:rPr>
                <w:rFonts w:ascii="Times New Roman" w:hAnsi="Times New Roman" w:cs="Times New Roman"/>
                <w:i/>
                <w:iCs/>
                <w:color w:val="000000"/>
              </w:rPr>
            </w:pPr>
            <w:r w:rsidRPr="50DA20E6">
              <w:rPr>
                <w:rFonts w:ascii="Times New Roman" w:hAnsi="Times New Roman" w:cs="Times New Roman"/>
                <w:i/>
                <w:iCs/>
                <w:color w:val="000000" w:themeColor="text1"/>
              </w:rPr>
              <w:t>Note</w:t>
            </w:r>
            <w:r w:rsidRPr="50DA20E6">
              <w:rPr>
                <w:rFonts w:ascii="Times New Roman" w:hAnsi="Times New Roman" w:cs="Times New Roman"/>
                <w:color w:val="000000" w:themeColor="text1"/>
              </w:rPr>
              <w:t>. Dashes represent not applicable. ERI = Ethnic-Racial Identity; CFI = comparative fit index; RMSEA = root-mean-square error of approximation.</w:t>
            </w:r>
          </w:p>
        </w:tc>
      </w:tr>
    </w:tbl>
    <w:p w14:paraId="3C7DBEC1"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01279209"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140C765D"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61898845"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7DF121FB"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0368FD27" w14:textId="77777777" w:rsidR="00EC7D29" w:rsidRDefault="00EC7D29" w:rsidP="00EC7D29">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p w14:paraId="667FCD0E" w14:textId="369C0066" w:rsidR="00A37BA4" w:rsidRPr="00A37BA4" w:rsidRDefault="00A37BA4" w:rsidP="00A37BA4">
      <w:pPr>
        <w:overflowPunct w:val="0"/>
        <w:autoSpaceDE w:val="0"/>
        <w:autoSpaceDN w:val="0"/>
        <w:adjustRightInd w:val="0"/>
        <w:spacing w:after="0" w:line="480" w:lineRule="auto"/>
        <w:jc w:val="center"/>
        <w:textAlignment w:val="baseline"/>
        <w:rPr>
          <w:rFonts w:ascii="Times New Roman" w:eastAsia="PMingLiU" w:hAnsi="Times New Roman" w:cs="Times New Roman"/>
          <w:kern w:val="0"/>
          <w14:ligatures w14:val="none"/>
        </w:rPr>
      </w:pPr>
      <w:r w:rsidRPr="00A37BA4">
        <w:rPr>
          <w:rFonts w:ascii="Times New Roman" w:eastAsia="PMingLiU" w:hAnsi="Times New Roman" w:cs="Times New Roman"/>
          <w:kern w:val="0"/>
          <w14:ligatures w14:val="none"/>
        </w:rPr>
        <w:lastRenderedPageBreak/>
        <w:t>References</w:t>
      </w:r>
    </w:p>
    <w:p w14:paraId="4FEA8C85" w14:textId="77777777" w:rsidR="00A37BA4" w:rsidRPr="00C66427" w:rsidRDefault="00A37BA4" w:rsidP="00A37BA4">
      <w:pPr>
        <w:pStyle w:val="EndNoteBibliography"/>
        <w:spacing w:line="480" w:lineRule="auto"/>
        <w:ind w:left="720" w:hanging="720"/>
        <w:rPr>
          <w:noProof/>
        </w:rPr>
      </w:pPr>
      <w:r w:rsidRPr="00C66427">
        <w:rPr>
          <w:noProof/>
        </w:rPr>
        <w:t xml:space="preserve">Pokropek, A., Davidov, E., &amp; Schmidt, P. (2019). A Monte Carlo simulation study to assess the appropriateness of traditional and newer approaches to test for measurement invariance. </w:t>
      </w:r>
      <w:r w:rsidRPr="00C66427">
        <w:rPr>
          <w:i/>
          <w:noProof/>
        </w:rPr>
        <w:t>Structural Equation Modeling: A Multidisciplinary Journal, 26</w:t>
      </w:r>
      <w:r w:rsidRPr="00C66427">
        <w:rPr>
          <w:noProof/>
        </w:rPr>
        <w:t>(5), 724-744. https://doi.org/0.1080/10705511.2018.1561293.</w:t>
      </w:r>
    </w:p>
    <w:p w14:paraId="7077C4A9" w14:textId="42703A77" w:rsidR="00A37BA4" w:rsidRDefault="00A37BA4" w:rsidP="00A37BA4">
      <w:pPr>
        <w:pStyle w:val="EndNoteBibliography"/>
        <w:spacing w:line="480" w:lineRule="auto"/>
        <w:ind w:left="720" w:hanging="720"/>
        <w:rPr>
          <w:noProof/>
        </w:rPr>
      </w:pPr>
      <w:r w:rsidRPr="00C66427">
        <w:rPr>
          <w:noProof/>
        </w:rPr>
        <w:t xml:space="preserve">Widaman, K. F., &amp; Thompson, J. S. (2003). On specifying the null model for incremental fit indices in structural equation modeling. </w:t>
      </w:r>
      <w:r w:rsidRPr="00C66427">
        <w:rPr>
          <w:i/>
          <w:noProof/>
        </w:rPr>
        <w:t>Psychological Methods, 8</w:t>
      </w:r>
      <w:r w:rsidRPr="00C66427">
        <w:rPr>
          <w:noProof/>
        </w:rPr>
        <w:t xml:space="preserve">(1), 16. </w:t>
      </w:r>
      <w:hyperlink r:id="rId6" w:history="1">
        <w:r w:rsidRPr="003447CA">
          <w:rPr>
            <w:rStyle w:val="Hyperlink"/>
            <w:noProof/>
          </w:rPr>
          <w:t>https://doi.org/10.1037/1082-989X.8.1.16</w:t>
        </w:r>
      </w:hyperlink>
      <w:r w:rsidRPr="00C66427">
        <w:rPr>
          <w:noProof/>
        </w:rPr>
        <w:t>.</w:t>
      </w:r>
    </w:p>
    <w:p w14:paraId="1D6BE0BA" w14:textId="4E98FEBC" w:rsidR="00A37BA4" w:rsidRDefault="00A37BA4" w:rsidP="00A37BA4">
      <w:pPr>
        <w:pStyle w:val="EndNoteBibliography"/>
        <w:spacing w:line="480" w:lineRule="auto"/>
        <w:ind w:left="720" w:hanging="720"/>
        <w:rPr>
          <w:noProof/>
        </w:rPr>
      </w:pPr>
      <w:r w:rsidRPr="00C66427">
        <w:rPr>
          <w:noProof/>
        </w:rPr>
        <w:t xml:space="preserve">Widaman, K. F., Ferrer, E., &amp; Conger, R. D. (2010). Factorial invariance within longitudinal structural equation models: Measuring the same construct across time. </w:t>
      </w:r>
      <w:r w:rsidRPr="00C66427">
        <w:rPr>
          <w:i/>
          <w:noProof/>
        </w:rPr>
        <w:t>Child development Perspectives, 4</w:t>
      </w:r>
      <w:r w:rsidRPr="00C66427">
        <w:rPr>
          <w:noProof/>
        </w:rPr>
        <w:t>(1), 10-18. https://doi.org/10.1111/j.1750-8606.2009.00108.x</w:t>
      </w:r>
    </w:p>
    <w:p w14:paraId="4D4879DC" w14:textId="77777777" w:rsidR="00A37BA4" w:rsidRPr="00A37BA4" w:rsidRDefault="00A37BA4" w:rsidP="00A37BA4">
      <w:pPr>
        <w:overflowPunct w:val="0"/>
        <w:autoSpaceDE w:val="0"/>
        <w:autoSpaceDN w:val="0"/>
        <w:adjustRightInd w:val="0"/>
        <w:spacing w:after="0" w:line="480" w:lineRule="auto"/>
        <w:textAlignment w:val="baseline"/>
        <w:rPr>
          <w:rFonts w:ascii="Times New Roman" w:eastAsia="PMingLiU" w:hAnsi="Times New Roman" w:cs="Times New Roman"/>
          <w:kern w:val="0"/>
          <w14:ligatures w14:val="none"/>
        </w:rPr>
      </w:pPr>
    </w:p>
    <w:sectPr w:rsidR="00A37BA4" w:rsidRPr="00A37B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3CB9" w14:textId="77777777" w:rsidR="00E75CE7" w:rsidRDefault="00E75CE7" w:rsidP="00EC7D29">
      <w:pPr>
        <w:spacing w:after="0" w:line="240" w:lineRule="auto"/>
      </w:pPr>
      <w:r>
        <w:separator/>
      </w:r>
    </w:p>
  </w:endnote>
  <w:endnote w:type="continuationSeparator" w:id="0">
    <w:p w14:paraId="2CD701E2" w14:textId="77777777" w:rsidR="00E75CE7" w:rsidRDefault="00E75CE7" w:rsidP="00EC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F010C" w14:textId="77777777" w:rsidR="00E75CE7" w:rsidRDefault="00E75CE7" w:rsidP="00EC7D29">
      <w:pPr>
        <w:spacing w:after="0" w:line="240" w:lineRule="auto"/>
      </w:pPr>
      <w:r>
        <w:separator/>
      </w:r>
    </w:p>
  </w:footnote>
  <w:footnote w:type="continuationSeparator" w:id="0">
    <w:p w14:paraId="2E00E762" w14:textId="77777777" w:rsidR="00E75CE7" w:rsidRDefault="00E75CE7" w:rsidP="00EC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9955733"/>
      <w:docPartObj>
        <w:docPartGallery w:val="Page Numbers (Top of Page)"/>
        <w:docPartUnique/>
      </w:docPartObj>
    </w:sdtPr>
    <w:sdtContent>
      <w:p w14:paraId="7D1D81D5" w14:textId="77777777" w:rsidR="00EC7D29" w:rsidRDefault="00EC7D29" w:rsidP="00EC7D29">
        <w:pPr>
          <w:pStyle w:val="Header"/>
          <w:framePr w:wrap="none" w:vAnchor="text" w:hAnchor="margin" w:xAlign="right" w:y="1"/>
          <w:jc w:val="right"/>
          <w:rPr>
            <w:rStyle w:val="PageNumber"/>
          </w:rPr>
        </w:pPr>
        <w:r w:rsidRPr="00BA7D2F">
          <w:rPr>
            <w:rStyle w:val="PageNumber"/>
            <w:rFonts w:ascii="Times New Roman" w:hAnsi="Times New Roman" w:cs="Times New Roman"/>
          </w:rPr>
          <w:fldChar w:fldCharType="begin"/>
        </w:r>
        <w:r w:rsidRPr="00BA7D2F">
          <w:rPr>
            <w:rStyle w:val="PageNumber"/>
            <w:rFonts w:ascii="Times New Roman" w:hAnsi="Times New Roman" w:cs="Times New Roman"/>
          </w:rPr>
          <w:instrText xml:space="preserve"> PAGE </w:instrText>
        </w:r>
        <w:r w:rsidRPr="00BA7D2F">
          <w:rPr>
            <w:rStyle w:val="PageNumber"/>
            <w:rFonts w:ascii="Times New Roman" w:hAnsi="Times New Roman" w:cs="Times New Roman"/>
          </w:rPr>
          <w:fldChar w:fldCharType="separate"/>
        </w:r>
        <w:r>
          <w:rPr>
            <w:rStyle w:val="PageNumber"/>
            <w:rFonts w:ascii="Times New Roman" w:hAnsi="Times New Roman" w:cs="Times New Roman"/>
          </w:rPr>
          <w:t>1</w:t>
        </w:r>
        <w:r w:rsidRPr="00BA7D2F">
          <w:rPr>
            <w:rStyle w:val="PageNumber"/>
            <w:rFonts w:ascii="Times New Roman" w:hAnsi="Times New Roman" w:cs="Times New Roman"/>
          </w:rPr>
          <w:fldChar w:fldCharType="end"/>
        </w:r>
      </w:p>
    </w:sdtContent>
  </w:sdt>
  <w:p w14:paraId="700AB59F" w14:textId="77777777" w:rsidR="00EC7D29" w:rsidRPr="006917CA" w:rsidRDefault="00EC7D29" w:rsidP="00EC7D29">
    <w:pPr>
      <w:pStyle w:val="Header"/>
      <w:framePr w:wrap="none" w:vAnchor="text" w:hAnchor="margin" w:xAlign="right" w:y="1"/>
      <w:ind w:right="360"/>
      <w:rPr>
        <w:rStyle w:val="PageNumber"/>
        <w:rFonts w:ascii="Times New Roman" w:hAnsi="Times New Roman" w:cs="Times New Roman"/>
      </w:rPr>
    </w:pPr>
  </w:p>
  <w:p w14:paraId="65E68E85" w14:textId="6C81C9CF" w:rsidR="00EC7D29" w:rsidRPr="006917CA" w:rsidRDefault="00EC7D29" w:rsidP="00EC7D29">
    <w:pPr>
      <w:pStyle w:val="Header"/>
      <w:ind w:right="360"/>
    </w:pPr>
    <w:r w:rsidRPr="50DA20E6">
      <w:rPr>
        <w:rFonts w:ascii="Times New Roman" w:hAnsi="Times New Roman" w:cs="Times New Roman"/>
        <w:kern w:val="0"/>
        <w14:ligatures w14:val="none"/>
      </w:rPr>
      <w:t>TRAJECTORY PATTERNS OF ETHNIC-RACIAL IDENTITY</w:t>
    </w:r>
  </w:p>
  <w:p w14:paraId="755DDEB4" w14:textId="77777777" w:rsidR="00EC7D29" w:rsidRDefault="00EC7D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A4"/>
    <w:rsid w:val="00013779"/>
    <w:rsid w:val="000E0050"/>
    <w:rsid w:val="00190771"/>
    <w:rsid w:val="00190828"/>
    <w:rsid w:val="001A061D"/>
    <w:rsid w:val="002B7A52"/>
    <w:rsid w:val="003612B1"/>
    <w:rsid w:val="00395070"/>
    <w:rsid w:val="003A75B4"/>
    <w:rsid w:val="004751EB"/>
    <w:rsid w:val="004910DD"/>
    <w:rsid w:val="004E1CFC"/>
    <w:rsid w:val="00631B53"/>
    <w:rsid w:val="00633BB8"/>
    <w:rsid w:val="00654074"/>
    <w:rsid w:val="0070200F"/>
    <w:rsid w:val="007118FD"/>
    <w:rsid w:val="00800940"/>
    <w:rsid w:val="008D714B"/>
    <w:rsid w:val="008E316C"/>
    <w:rsid w:val="009966DF"/>
    <w:rsid w:val="009E1DF6"/>
    <w:rsid w:val="00A37BA4"/>
    <w:rsid w:val="00AB4504"/>
    <w:rsid w:val="00BD713C"/>
    <w:rsid w:val="00C1483E"/>
    <w:rsid w:val="00C54103"/>
    <w:rsid w:val="00CA177A"/>
    <w:rsid w:val="00D13616"/>
    <w:rsid w:val="00D24C49"/>
    <w:rsid w:val="00D566C3"/>
    <w:rsid w:val="00D91DF7"/>
    <w:rsid w:val="00D953A0"/>
    <w:rsid w:val="00E05851"/>
    <w:rsid w:val="00E4544F"/>
    <w:rsid w:val="00E7189C"/>
    <w:rsid w:val="00E75CE7"/>
    <w:rsid w:val="00E95385"/>
    <w:rsid w:val="00EC7D29"/>
    <w:rsid w:val="00EE4A07"/>
    <w:rsid w:val="00F26B2C"/>
    <w:rsid w:val="00F40D3D"/>
    <w:rsid w:val="00F80EF5"/>
    <w:rsid w:val="50DA20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9C72"/>
  <w15:chartTrackingRefBased/>
  <w15:docId w15:val="{30D0056D-0458-3A46-88A9-8C976014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BA4"/>
    <w:rPr>
      <w:rFonts w:eastAsiaTheme="majorEastAsia" w:cstheme="majorBidi"/>
      <w:color w:val="272727" w:themeColor="text1" w:themeTint="D8"/>
    </w:rPr>
  </w:style>
  <w:style w:type="paragraph" w:styleId="Title">
    <w:name w:val="Title"/>
    <w:basedOn w:val="Normal"/>
    <w:next w:val="Normal"/>
    <w:link w:val="TitleChar"/>
    <w:uiPriority w:val="10"/>
    <w:qFormat/>
    <w:rsid w:val="00A37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BA4"/>
    <w:pPr>
      <w:spacing w:before="160"/>
      <w:jc w:val="center"/>
    </w:pPr>
    <w:rPr>
      <w:i/>
      <w:iCs/>
      <w:color w:val="404040" w:themeColor="text1" w:themeTint="BF"/>
    </w:rPr>
  </w:style>
  <w:style w:type="character" w:customStyle="1" w:styleId="QuoteChar">
    <w:name w:val="Quote Char"/>
    <w:basedOn w:val="DefaultParagraphFont"/>
    <w:link w:val="Quote"/>
    <w:uiPriority w:val="29"/>
    <w:rsid w:val="00A37BA4"/>
    <w:rPr>
      <w:i/>
      <w:iCs/>
      <w:color w:val="404040" w:themeColor="text1" w:themeTint="BF"/>
    </w:rPr>
  </w:style>
  <w:style w:type="paragraph" w:styleId="ListParagraph">
    <w:name w:val="List Paragraph"/>
    <w:basedOn w:val="Normal"/>
    <w:uiPriority w:val="34"/>
    <w:qFormat/>
    <w:rsid w:val="00A37BA4"/>
    <w:pPr>
      <w:ind w:left="720"/>
      <w:contextualSpacing/>
    </w:pPr>
  </w:style>
  <w:style w:type="character" w:styleId="IntenseEmphasis">
    <w:name w:val="Intense Emphasis"/>
    <w:basedOn w:val="DefaultParagraphFont"/>
    <w:uiPriority w:val="21"/>
    <w:qFormat/>
    <w:rsid w:val="00A37BA4"/>
    <w:rPr>
      <w:i/>
      <w:iCs/>
      <w:color w:val="0F4761" w:themeColor="accent1" w:themeShade="BF"/>
    </w:rPr>
  </w:style>
  <w:style w:type="paragraph" w:styleId="IntenseQuote">
    <w:name w:val="Intense Quote"/>
    <w:basedOn w:val="Normal"/>
    <w:next w:val="Normal"/>
    <w:link w:val="IntenseQuoteChar"/>
    <w:uiPriority w:val="30"/>
    <w:qFormat/>
    <w:rsid w:val="00A37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BA4"/>
    <w:rPr>
      <w:i/>
      <w:iCs/>
      <w:color w:val="0F4761" w:themeColor="accent1" w:themeShade="BF"/>
    </w:rPr>
  </w:style>
  <w:style w:type="character" w:styleId="IntenseReference">
    <w:name w:val="Intense Reference"/>
    <w:basedOn w:val="DefaultParagraphFont"/>
    <w:uiPriority w:val="32"/>
    <w:qFormat/>
    <w:rsid w:val="00A37BA4"/>
    <w:rPr>
      <w:b/>
      <w:bCs/>
      <w:smallCaps/>
      <w:color w:val="0F4761" w:themeColor="accent1" w:themeShade="BF"/>
      <w:spacing w:val="5"/>
    </w:rPr>
  </w:style>
  <w:style w:type="paragraph" w:customStyle="1" w:styleId="EndNoteBibliography">
    <w:name w:val="EndNote Bibliography"/>
    <w:basedOn w:val="Normal"/>
    <w:link w:val="EndNoteBibliographyChar"/>
    <w:rsid w:val="00A37BA4"/>
    <w:pPr>
      <w:spacing w:after="0" w:line="240" w:lineRule="auto"/>
    </w:pPr>
    <w:rPr>
      <w:rFonts w:ascii="Times New Roman" w:eastAsia="PMingLiU" w:hAnsi="Times New Roman" w:cs="Times New Roman"/>
      <w:kern w:val="0"/>
      <w14:ligatures w14:val="none"/>
    </w:rPr>
  </w:style>
  <w:style w:type="character" w:customStyle="1" w:styleId="EndNoteBibliographyChar">
    <w:name w:val="EndNote Bibliography Char"/>
    <w:basedOn w:val="DefaultParagraphFont"/>
    <w:link w:val="EndNoteBibliography"/>
    <w:rsid w:val="00A37BA4"/>
    <w:rPr>
      <w:rFonts w:ascii="Times New Roman" w:eastAsia="PMingLiU" w:hAnsi="Times New Roman" w:cs="Times New Roman"/>
      <w:kern w:val="0"/>
      <w14:ligatures w14:val="none"/>
    </w:rPr>
  </w:style>
  <w:style w:type="character" w:styleId="Hyperlink">
    <w:name w:val="Hyperlink"/>
    <w:basedOn w:val="DefaultParagraphFont"/>
    <w:uiPriority w:val="99"/>
    <w:unhideWhenUsed/>
    <w:rsid w:val="00A37BA4"/>
    <w:rPr>
      <w:color w:val="467886" w:themeColor="hyperlink"/>
      <w:u w:val="single"/>
    </w:rPr>
  </w:style>
  <w:style w:type="character" w:styleId="UnresolvedMention">
    <w:name w:val="Unresolved Mention"/>
    <w:basedOn w:val="DefaultParagraphFont"/>
    <w:uiPriority w:val="99"/>
    <w:semiHidden/>
    <w:unhideWhenUsed/>
    <w:rsid w:val="00A37BA4"/>
    <w:rPr>
      <w:color w:val="605E5C"/>
      <w:shd w:val="clear" w:color="auto" w:fill="E1DFDD"/>
    </w:rPr>
  </w:style>
  <w:style w:type="paragraph" w:styleId="Header">
    <w:name w:val="header"/>
    <w:basedOn w:val="Normal"/>
    <w:link w:val="HeaderChar"/>
    <w:uiPriority w:val="99"/>
    <w:unhideWhenUsed/>
    <w:rsid w:val="00EC7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D29"/>
  </w:style>
  <w:style w:type="paragraph" w:styleId="Footer">
    <w:name w:val="footer"/>
    <w:basedOn w:val="Normal"/>
    <w:link w:val="FooterChar"/>
    <w:uiPriority w:val="99"/>
    <w:unhideWhenUsed/>
    <w:rsid w:val="00EC7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D29"/>
  </w:style>
  <w:style w:type="character" w:styleId="PageNumber">
    <w:name w:val="page number"/>
    <w:basedOn w:val="DefaultParagraphFont"/>
    <w:rsid w:val="00EC7D29"/>
  </w:style>
  <w:style w:type="paragraph" w:styleId="Revision">
    <w:name w:val="Revision"/>
    <w:hidden/>
    <w:uiPriority w:val="99"/>
    <w:semiHidden/>
    <w:rsid w:val="00631B53"/>
    <w:pPr>
      <w:spacing w:after="0" w:line="240" w:lineRule="auto"/>
    </w:pPr>
  </w:style>
  <w:style w:type="character" w:styleId="CommentReference">
    <w:name w:val="annotation reference"/>
    <w:basedOn w:val="DefaultParagraphFont"/>
    <w:uiPriority w:val="99"/>
    <w:semiHidden/>
    <w:unhideWhenUsed/>
    <w:rsid w:val="00631B53"/>
    <w:rPr>
      <w:sz w:val="16"/>
      <w:szCs w:val="16"/>
    </w:rPr>
  </w:style>
  <w:style w:type="paragraph" w:styleId="CommentText">
    <w:name w:val="annotation text"/>
    <w:basedOn w:val="Normal"/>
    <w:link w:val="CommentTextChar"/>
    <w:uiPriority w:val="99"/>
    <w:unhideWhenUsed/>
    <w:rsid w:val="00631B53"/>
    <w:pPr>
      <w:spacing w:line="240" w:lineRule="auto"/>
    </w:pPr>
    <w:rPr>
      <w:sz w:val="20"/>
      <w:szCs w:val="20"/>
    </w:rPr>
  </w:style>
  <w:style w:type="character" w:customStyle="1" w:styleId="CommentTextChar">
    <w:name w:val="Comment Text Char"/>
    <w:basedOn w:val="DefaultParagraphFont"/>
    <w:link w:val="CommentText"/>
    <w:uiPriority w:val="99"/>
    <w:rsid w:val="00631B53"/>
    <w:rPr>
      <w:sz w:val="20"/>
      <w:szCs w:val="20"/>
    </w:rPr>
  </w:style>
  <w:style w:type="paragraph" w:styleId="CommentSubject">
    <w:name w:val="annotation subject"/>
    <w:basedOn w:val="CommentText"/>
    <w:next w:val="CommentText"/>
    <w:link w:val="CommentSubjectChar"/>
    <w:uiPriority w:val="99"/>
    <w:semiHidden/>
    <w:unhideWhenUsed/>
    <w:rsid w:val="00631B53"/>
    <w:rPr>
      <w:b/>
      <w:bCs/>
    </w:rPr>
  </w:style>
  <w:style w:type="character" w:customStyle="1" w:styleId="CommentSubjectChar">
    <w:name w:val="Comment Subject Char"/>
    <w:basedOn w:val="CommentTextChar"/>
    <w:link w:val="CommentSubject"/>
    <w:uiPriority w:val="99"/>
    <w:semiHidden/>
    <w:rsid w:val="00631B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7/1082-989X.8.1.1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Tse</dc:creator>
  <cp:keywords/>
  <dc:description/>
  <cp:lastModifiedBy>HJ8637</cp:lastModifiedBy>
  <cp:revision>4</cp:revision>
  <cp:lastPrinted>2025-05-06T00:01:00Z</cp:lastPrinted>
  <dcterms:created xsi:type="dcterms:W3CDTF">2025-11-20T19:05:00Z</dcterms:created>
  <dcterms:modified xsi:type="dcterms:W3CDTF">2025-11-21T14:27:00Z</dcterms:modified>
</cp:coreProperties>
</file>