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8998A" w14:textId="77777777" w:rsidR="00ED74CE" w:rsidRPr="00120257" w:rsidRDefault="00ED74CE" w:rsidP="00ED74CE">
      <w:pPr>
        <w:pStyle w:val="Caption"/>
        <w:jc w:val="center"/>
        <w:rPr>
          <w:i w:val="0"/>
          <w:iCs w:val="0"/>
          <w:color w:val="000000" w:themeColor="text1"/>
          <w:sz w:val="24"/>
          <w:szCs w:val="24"/>
        </w:rPr>
      </w:pPr>
      <w:bookmarkStart w:id="0" w:name="_Toc149437191"/>
      <w:r w:rsidRPr="00120257">
        <w:rPr>
          <w:b/>
          <w:bCs/>
          <w:i w:val="0"/>
          <w:iCs w:val="0"/>
          <w:color w:val="000000" w:themeColor="text1"/>
          <w:sz w:val="24"/>
          <w:szCs w:val="24"/>
        </w:rPr>
        <w:t>Supplementary Materials</w:t>
      </w:r>
    </w:p>
    <w:p w14:paraId="42E6F5EF" w14:textId="77777777" w:rsidR="00ED74CE" w:rsidRPr="00120257" w:rsidRDefault="00ED74CE" w:rsidP="00ED74CE">
      <w:pPr>
        <w:pStyle w:val="Caption"/>
        <w:rPr>
          <w:b/>
          <w:bCs/>
          <w:i w:val="0"/>
          <w:iCs w:val="0"/>
          <w:color w:val="000000" w:themeColor="text1"/>
          <w:sz w:val="24"/>
          <w:szCs w:val="24"/>
        </w:rPr>
      </w:pPr>
      <w:r w:rsidRPr="00120257">
        <w:rPr>
          <w:b/>
          <w:bCs/>
          <w:i w:val="0"/>
          <w:iCs w:val="0"/>
          <w:color w:val="000000" w:themeColor="text1"/>
          <w:sz w:val="24"/>
          <w:szCs w:val="24"/>
        </w:rPr>
        <w:t>Table S1</w:t>
      </w:r>
    </w:p>
    <w:p w14:paraId="3175B182" w14:textId="77777777" w:rsidR="00ED74CE" w:rsidRPr="00120257" w:rsidRDefault="00ED74CE" w:rsidP="00ED74CE">
      <w:pPr>
        <w:pStyle w:val="Caption"/>
        <w:rPr>
          <w:color w:val="000000" w:themeColor="text1"/>
          <w:sz w:val="24"/>
          <w:szCs w:val="24"/>
        </w:rPr>
      </w:pPr>
      <w:r w:rsidRPr="00120257">
        <w:rPr>
          <w:color w:val="000000" w:themeColor="text1"/>
          <w:sz w:val="24"/>
          <w:szCs w:val="24"/>
        </w:rPr>
        <w:t>Summary of Assessment Tools</w:t>
      </w:r>
      <w:bookmarkEnd w:id="0"/>
    </w:p>
    <w:tbl>
      <w:tblPr>
        <w:tblStyle w:val="TableGrid"/>
        <w:tblW w:w="8926" w:type="dxa"/>
        <w:tblLook w:val="04A0" w:firstRow="1" w:lastRow="0" w:firstColumn="1" w:lastColumn="0" w:noHBand="0" w:noVBand="1"/>
      </w:tblPr>
      <w:tblGrid>
        <w:gridCol w:w="562"/>
        <w:gridCol w:w="6096"/>
        <w:gridCol w:w="2268"/>
      </w:tblGrid>
      <w:tr w:rsidR="00ED74CE" w:rsidRPr="00120257" w14:paraId="18B87945" w14:textId="77777777" w:rsidTr="005E4B11">
        <w:trPr>
          <w:trHeight w:val="283"/>
        </w:trPr>
        <w:tc>
          <w:tcPr>
            <w:tcW w:w="562" w:type="dxa"/>
            <w:noWrap/>
            <w:vAlign w:val="center"/>
            <w:hideMark/>
          </w:tcPr>
          <w:p w14:paraId="0B27A059" w14:textId="77777777" w:rsidR="00ED74CE" w:rsidRPr="00120257" w:rsidRDefault="00ED74CE" w:rsidP="005E4B11">
            <w:pPr>
              <w:rPr>
                <w:rFonts w:ascii="Times New Roman" w:hAnsi="Times New Roman" w:cs="Times New Roman"/>
                <w:color w:val="000000" w:themeColor="text1"/>
              </w:rPr>
            </w:pPr>
          </w:p>
        </w:tc>
        <w:tc>
          <w:tcPr>
            <w:tcW w:w="6096" w:type="dxa"/>
            <w:vAlign w:val="center"/>
            <w:hideMark/>
          </w:tcPr>
          <w:p w14:paraId="0A3F1AD3" w14:textId="77777777" w:rsidR="00ED74CE" w:rsidRPr="00120257" w:rsidRDefault="00ED74CE" w:rsidP="005E4B11">
            <w:pPr>
              <w:rPr>
                <w:rFonts w:ascii="Times New Roman" w:hAnsi="Times New Roman" w:cs="Times New Roman"/>
                <w:b/>
                <w:bCs/>
                <w:color w:val="000000" w:themeColor="text1"/>
              </w:rPr>
            </w:pPr>
            <w:r w:rsidRPr="00120257">
              <w:rPr>
                <w:rFonts w:ascii="Times New Roman" w:hAnsi="Times New Roman" w:cs="Times New Roman"/>
                <w:b/>
                <w:bCs/>
                <w:color w:val="000000" w:themeColor="text1"/>
              </w:rPr>
              <w:t>Assessment tools</w:t>
            </w:r>
          </w:p>
        </w:tc>
        <w:tc>
          <w:tcPr>
            <w:tcW w:w="2268" w:type="dxa"/>
            <w:vAlign w:val="center"/>
            <w:hideMark/>
          </w:tcPr>
          <w:p w14:paraId="31F4D5BD" w14:textId="77777777" w:rsidR="00ED74CE" w:rsidRPr="00120257" w:rsidRDefault="00ED74CE" w:rsidP="005E4B11">
            <w:pPr>
              <w:rPr>
                <w:rFonts w:ascii="Times New Roman" w:hAnsi="Times New Roman" w:cs="Times New Roman"/>
                <w:b/>
                <w:bCs/>
                <w:color w:val="000000" w:themeColor="text1"/>
              </w:rPr>
            </w:pPr>
            <w:r w:rsidRPr="00120257">
              <w:rPr>
                <w:rFonts w:ascii="Times New Roman" w:hAnsi="Times New Roman" w:cs="Times New Roman"/>
                <w:b/>
                <w:bCs/>
                <w:color w:val="000000" w:themeColor="text1"/>
              </w:rPr>
              <w:t>Mode of administration</w:t>
            </w:r>
          </w:p>
        </w:tc>
      </w:tr>
      <w:tr w:rsidR="00ED74CE" w:rsidRPr="00120257" w14:paraId="024E0E72" w14:textId="77777777" w:rsidTr="005E4B11">
        <w:trPr>
          <w:trHeight w:val="283"/>
        </w:trPr>
        <w:tc>
          <w:tcPr>
            <w:tcW w:w="562" w:type="dxa"/>
            <w:noWrap/>
            <w:vAlign w:val="center"/>
            <w:hideMark/>
          </w:tcPr>
          <w:p w14:paraId="78111C16"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w:t>
            </w:r>
          </w:p>
        </w:tc>
        <w:tc>
          <w:tcPr>
            <w:tcW w:w="6096" w:type="dxa"/>
            <w:vAlign w:val="center"/>
            <w:hideMark/>
          </w:tcPr>
          <w:p w14:paraId="436F77E5"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Emotional Availability Scales (</w:t>
            </w:r>
            <w:proofErr w:type="spellStart"/>
            <w:r w:rsidRPr="00120257">
              <w:rPr>
                <w:rFonts w:ascii="Times New Roman" w:hAnsi="Times New Roman" w:cs="Times New Roman"/>
                <w:color w:val="000000" w:themeColor="text1"/>
              </w:rPr>
              <w:t>Biringen</w:t>
            </w:r>
            <w:proofErr w:type="spellEnd"/>
            <w:r w:rsidRPr="00120257">
              <w:rPr>
                <w:rFonts w:ascii="Times New Roman" w:hAnsi="Times New Roman" w:cs="Times New Roman"/>
                <w:color w:val="000000" w:themeColor="text1"/>
              </w:rPr>
              <w:t xml:space="preserve"> et al., 2000)</w:t>
            </w:r>
          </w:p>
        </w:tc>
        <w:tc>
          <w:tcPr>
            <w:tcW w:w="2268" w:type="dxa"/>
            <w:vAlign w:val="center"/>
            <w:hideMark/>
          </w:tcPr>
          <w:p w14:paraId="2657686E"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7CDDC3B3" w14:textId="77777777" w:rsidTr="005E4B11">
        <w:trPr>
          <w:trHeight w:val="283"/>
        </w:trPr>
        <w:tc>
          <w:tcPr>
            <w:tcW w:w="562" w:type="dxa"/>
            <w:noWrap/>
            <w:vAlign w:val="center"/>
            <w:hideMark/>
          </w:tcPr>
          <w:p w14:paraId="078CCDA9"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2</w:t>
            </w:r>
          </w:p>
        </w:tc>
        <w:tc>
          <w:tcPr>
            <w:tcW w:w="6096" w:type="dxa"/>
            <w:vAlign w:val="center"/>
            <w:hideMark/>
          </w:tcPr>
          <w:p w14:paraId="3FBA803F" w14:textId="77777777" w:rsidR="00ED74CE" w:rsidRPr="00120257" w:rsidRDefault="00ED74CE" w:rsidP="005E4B11">
            <w:pPr>
              <w:rPr>
                <w:rFonts w:ascii="Times New Roman" w:hAnsi="Times New Roman" w:cs="Times New Roman"/>
                <w:color w:val="000000" w:themeColor="text1"/>
              </w:rPr>
            </w:pPr>
            <w:proofErr w:type="spellStart"/>
            <w:r w:rsidRPr="00120257">
              <w:rPr>
                <w:rFonts w:ascii="Times New Roman" w:hAnsi="Times New Roman" w:cs="Times New Roman"/>
                <w:color w:val="000000" w:themeColor="text1"/>
              </w:rPr>
              <w:t>StimQ</w:t>
            </w:r>
            <w:proofErr w:type="spellEnd"/>
            <w:r w:rsidRPr="00120257">
              <w:rPr>
                <w:rFonts w:ascii="Times New Roman" w:hAnsi="Times New Roman" w:cs="Times New Roman"/>
                <w:color w:val="000000" w:themeColor="text1"/>
              </w:rPr>
              <w:t>-Preschool (Dreyer et al., 1996)</w:t>
            </w:r>
          </w:p>
        </w:tc>
        <w:tc>
          <w:tcPr>
            <w:tcW w:w="2268" w:type="dxa"/>
            <w:vAlign w:val="center"/>
            <w:hideMark/>
          </w:tcPr>
          <w:p w14:paraId="70D6D607"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6FDD5309" w14:textId="77777777" w:rsidTr="005E4B11">
        <w:trPr>
          <w:trHeight w:val="283"/>
        </w:trPr>
        <w:tc>
          <w:tcPr>
            <w:tcW w:w="562" w:type="dxa"/>
            <w:noWrap/>
            <w:vAlign w:val="center"/>
            <w:hideMark/>
          </w:tcPr>
          <w:p w14:paraId="62A99F4A"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3</w:t>
            </w:r>
          </w:p>
        </w:tc>
        <w:tc>
          <w:tcPr>
            <w:tcW w:w="6096" w:type="dxa"/>
            <w:vAlign w:val="center"/>
            <w:hideMark/>
          </w:tcPr>
          <w:p w14:paraId="2050BE10"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 xml:space="preserve">The Dyadic Parent–Child Interaction Coding System (DPICS; </w:t>
            </w:r>
            <w:proofErr w:type="spellStart"/>
            <w:r w:rsidRPr="00120257">
              <w:rPr>
                <w:rFonts w:ascii="Times New Roman" w:hAnsi="Times New Roman" w:cs="Times New Roman"/>
                <w:color w:val="000000" w:themeColor="text1"/>
              </w:rPr>
              <w:t>Eyberg</w:t>
            </w:r>
            <w:proofErr w:type="spellEnd"/>
            <w:r w:rsidRPr="00120257">
              <w:rPr>
                <w:rFonts w:ascii="Times New Roman" w:hAnsi="Times New Roman" w:cs="Times New Roman"/>
                <w:color w:val="000000" w:themeColor="text1"/>
              </w:rPr>
              <w:t xml:space="preserve"> &amp; Robinson, 1981)</w:t>
            </w:r>
          </w:p>
        </w:tc>
        <w:tc>
          <w:tcPr>
            <w:tcW w:w="2268" w:type="dxa"/>
            <w:vAlign w:val="center"/>
            <w:hideMark/>
          </w:tcPr>
          <w:p w14:paraId="54984008"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0A077AA1" w14:textId="77777777" w:rsidTr="005E4B11">
        <w:trPr>
          <w:trHeight w:val="283"/>
        </w:trPr>
        <w:tc>
          <w:tcPr>
            <w:tcW w:w="562" w:type="dxa"/>
            <w:noWrap/>
            <w:vAlign w:val="center"/>
            <w:hideMark/>
          </w:tcPr>
          <w:p w14:paraId="18C78233"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4</w:t>
            </w:r>
          </w:p>
        </w:tc>
        <w:tc>
          <w:tcPr>
            <w:tcW w:w="6096" w:type="dxa"/>
            <w:vAlign w:val="center"/>
            <w:hideMark/>
          </w:tcPr>
          <w:p w14:paraId="38DA90A8"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 xml:space="preserve">The Parent–Child Interaction Rating System (PCIRS; </w:t>
            </w:r>
            <w:proofErr w:type="spellStart"/>
            <w:r w:rsidRPr="00120257">
              <w:rPr>
                <w:rFonts w:ascii="Times New Roman" w:hAnsi="Times New Roman" w:cs="Times New Roman"/>
                <w:color w:val="000000" w:themeColor="text1"/>
              </w:rPr>
              <w:t>Fenning</w:t>
            </w:r>
            <w:proofErr w:type="spellEnd"/>
            <w:r w:rsidRPr="00120257">
              <w:rPr>
                <w:rFonts w:ascii="Times New Roman" w:hAnsi="Times New Roman" w:cs="Times New Roman"/>
                <w:color w:val="000000" w:themeColor="text1"/>
              </w:rPr>
              <w:t xml:space="preserve"> &amp; Baker, 2012)</w:t>
            </w:r>
          </w:p>
        </w:tc>
        <w:tc>
          <w:tcPr>
            <w:tcW w:w="2268" w:type="dxa"/>
            <w:vAlign w:val="center"/>
            <w:hideMark/>
          </w:tcPr>
          <w:p w14:paraId="33EC445D"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4EDB9790" w14:textId="77777777" w:rsidTr="005E4B11">
        <w:trPr>
          <w:trHeight w:val="283"/>
        </w:trPr>
        <w:tc>
          <w:tcPr>
            <w:tcW w:w="562" w:type="dxa"/>
            <w:noWrap/>
            <w:vAlign w:val="center"/>
            <w:hideMark/>
          </w:tcPr>
          <w:p w14:paraId="5BF839F8"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5</w:t>
            </w:r>
          </w:p>
        </w:tc>
        <w:tc>
          <w:tcPr>
            <w:tcW w:w="6096" w:type="dxa"/>
            <w:vAlign w:val="center"/>
            <w:hideMark/>
          </w:tcPr>
          <w:p w14:paraId="5CD4C3DF"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 xml:space="preserve">Family Care Indicators (FCI; </w:t>
            </w:r>
            <w:proofErr w:type="spellStart"/>
            <w:r w:rsidRPr="00120257">
              <w:rPr>
                <w:rFonts w:ascii="Times New Roman" w:hAnsi="Times New Roman" w:cs="Times New Roman"/>
                <w:color w:val="000000" w:themeColor="text1"/>
              </w:rPr>
              <w:t>Hamadani</w:t>
            </w:r>
            <w:proofErr w:type="spellEnd"/>
            <w:r w:rsidRPr="00120257">
              <w:rPr>
                <w:rFonts w:ascii="Times New Roman" w:hAnsi="Times New Roman" w:cs="Times New Roman"/>
                <w:color w:val="000000" w:themeColor="text1"/>
              </w:rPr>
              <w:t xml:space="preserve"> et al., 2010)</w:t>
            </w:r>
          </w:p>
        </w:tc>
        <w:tc>
          <w:tcPr>
            <w:tcW w:w="2268" w:type="dxa"/>
            <w:vAlign w:val="center"/>
            <w:hideMark/>
          </w:tcPr>
          <w:p w14:paraId="696B279D"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4CDBDE23" w14:textId="77777777" w:rsidTr="005E4B11">
        <w:trPr>
          <w:trHeight w:val="283"/>
        </w:trPr>
        <w:tc>
          <w:tcPr>
            <w:tcW w:w="562" w:type="dxa"/>
            <w:noWrap/>
            <w:vAlign w:val="center"/>
            <w:hideMark/>
          </w:tcPr>
          <w:p w14:paraId="59524DDF"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6</w:t>
            </w:r>
          </w:p>
        </w:tc>
        <w:tc>
          <w:tcPr>
            <w:tcW w:w="6096" w:type="dxa"/>
            <w:vAlign w:val="center"/>
            <w:hideMark/>
          </w:tcPr>
          <w:p w14:paraId="458246B1" w14:textId="77777777" w:rsidR="00ED74CE" w:rsidRPr="00120257" w:rsidRDefault="00ED74CE" w:rsidP="005E4B11">
            <w:pPr>
              <w:rPr>
                <w:rFonts w:ascii="Times New Roman" w:eastAsia="SimSun" w:hAnsi="Times New Roman" w:cs="Times New Roman"/>
                <w:color w:val="000000" w:themeColor="text1"/>
              </w:rPr>
            </w:pPr>
            <w:r w:rsidRPr="00120257">
              <w:rPr>
                <w:rFonts w:ascii="Times New Roman" w:hAnsi="Times New Roman" w:cs="Times New Roman"/>
                <w:color w:val="000000" w:themeColor="text1"/>
              </w:rPr>
              <w:t>Parenting Questionnaire (Hindman &amp; Morrison, 2012).</w:t>
            </w:r>
          </w:p>
        </w:tc>
        <w:tc>
          <w:tcPr>
            <w:tcW w:w="2268" w:type="dxa"/>
            <w:vAlign w:val="center"/>
            <w:hideMark/>
          </w:tcPr>
          <w:p w14:paraId="31DED69C"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5D9EC4C2" w14:textId="77777777" w:rsidTr="005E4B11">
        <w:trPr>
          <w:trHeight w:val="283"/>
        </w:trPr>
        <w:tc>
          <w:tcPr>
            <w:tcW w:w="562" w:type="dxa"/>
            <w:noWrap/>
            <w:vAlign w:val="center"/>
            <w:hideMark/>
          </w:tcPr>
          <w:p w14:paraId="29E5B8C9"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7</w:t>
            </w:r>
          </w:p>
        </w:tc>
        <w:tc>
          <w:tcPr>
            <w:tcW w:w="6096" w:type="dxa"/>
            <w:vAlign w:val="center"/>
            <w:hideMark/>
          </w:tcPr>
          <w:p w14:paraId="6CEEC937"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The Maternal Scaffolding Coding System (Hoffman et al., 2006)</w:t>
            </w:r>
          </w:p>
        </w:tc>
        <w:tc>
          <w:tcPr>
            <w:tcW w:w="2268" w:type="dxa"/>
            <w:vAlign w:val="center"/>
            <w:hideMark/>
          </w:tcPr>
          <w:p w14:paraId="1FAA26CA"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20DF9DFA" w14:textId="77777777" w:rsidTr="005E4B11">
        <w:trPr>
          <w:trHeight w:val="283"/>
        </w:trPr>
        <w:tc>
          <w:tcPr>
            <w:tcW w:w="562" w:type="dxa"/>
            <w:noWrap/>
            <w:vAlign w:val="center"/>
            <w:hideMark/>
          </w:tcPr>
          <w:p w14:paraId="2EEF3B37"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8</w:t>
            </w:r>
          </w:p>
        </w:tc>
        <w:tc>
          <w:tcPr>
            <w:tcW w:w="6096" w:type="dxa"/>
            <w:vAlign w:val="center"/>
            <w:hideMark/>
          </w:tcPr>
          <w:p w14:paraId="2ABF86AC"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Chinese Parent–child Interaction Scale (CPCIS; Ip et al., 2018)</w:t>
            </w:r>
          </w:p>
        </w:tc>
        <w:tc>
          <w:tcPr>
            <w:tcW w:w="2268" w:type="dxa"/>
            <w:vAlign w:val="center"/>
            <w:hideMark/>
          </w:tcPr>
          <w:p w14:paraId="109E3839"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63025271" w14:textId="77777777" w:rsidTr="005E4B11">
        <w:trPr>
          <w:trHeight w:val="283"/>
        </w:trPr>
        <w:tc>
          <w:tcPr>
            <w:tcW w:w="562" w:type="dxa"/>
            <w:noWrap/>
            <w:vAlign w:val="center"/>
            <w:hideMark/>
          </w:tcPr>
          <w:p w14:paraId="3DBC4D4C"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9</w:t>
            </w:r>
          </w:p>
        </w:tc>
        <w:tc>
          <w:tcPr>
            <w:tcW w:w="6096" w:type="dxa"/>
            <w:vAlign w:val="center"/>
            <w:hideMark/>
          </w:tcPr>
          <w:p w14:paraId="7BEE2F67"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Observing Mediated Interactions (OMI; Klein, 2014)</w:t>
            </w:r>
          </w:p>
        </w:tc>
        <w:tc>
          <w:tcPr>
            <w:tcW w:w="2268" w:type="dxa"/>
            <w:vAlign w:val="center"/>
            <w:hideMark/>
          </w:tcPr>
          <w:p w14:paraId="7B9D779A"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11C08B2A" w14:textId="77777777" w:rsidTr="005E4B11">
        <w:trPr>
          <w:trHeight w:val="283"/>
        </w:trPr>
        <w:tc>
          <w:tcPr>
            <w:tcW w:w="562" w:type="dxa"/>
            <w:noWrap/>
            <w:vAlign w:val="center"/>
            <w:hideMark/>
          </w:tcPr>
          <w:p w14:paraId="6B21B0DC"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10</w:t>
            </w:r>
          </w:p>
        </w:tc>
        <w:tc>
          <w:tcPr>
            <w:tcW w:w="6096" w:type="dxa"/>
            <w:vAlign w:val="center"/>
            <w:hideMark/>
          </w:tcPr>
          <w:p w14:paraId="068AD2C6"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 xml:space="preserve">Home Executive Function Environment Scale (HEFE; </w:t>
            </w:r>
            <w:proofErr w:type="spellStart"/>
            <w:r w:rsidRPr="00120257">
              <w:rPr>
                <w:rFonts w:ascii="Times New Roman" w:hAnsi="Times New Roman" w:cs="Times New Roman"/>
                <w:color w:val="000000" w:themeColor="text1"/>
              </w:rPr>
              <w:t>Korucu</w:t>
            </w:r>
            <w:proofErr w:type="spellEnd"/>
            <w:r w:rsidRPr="00120257">
              <w:rPr>
                <w:rFonts w:ascii="Times New Roman" w:hAnsi="Times New Roman" w:cs="Times New Roman"/>
                <w:color w:val="000000" w:themeColor="text1"/>
              </w:rPr>
              <w:t xml:space="preserve"> et al., 2019)</w:t>
            </w:r>
          </w:p>
        </w:tc>
        <w:tc>
          <w:tcPr>
            <w:tcW w:w="2268" w:type="dxa"/>
            <w:vAlign w:val="center"/>
            <w:hideMark/>
          </w:tcPr>
          <w:p w14:paraId="16C4AA28"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3E83C75A" w14:textId="77777777" w:rsidTr="005E4B11">
        <w:trPr>
          <w:trHeight w:val="283"/>
        </w:trPr>
        <w:tc>
          <w:tcPr>
            <w:tcW w:w="562" w:type="dxa"/>
            <w:noWrap/>
            <w:vAlign w:val="center"/>
            <w:hideMark/>
          </w:tcPr>
          <w:p w14:paraId="22A77A70"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11</w:t>
            </w:r>
          </w:p>
        </w:tc>
        <w:tc>
          <w:tcPr>
            <w:tcW w:w="6096" w:type="dxa"/>
            <w:vAlign w:val="center"/>
            <w:hideMark/>
          </w:tcPr>
          <w:p w14:paraId="0E10ECAA"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HOME-21 (Lansford et al., 2023)</w:t>
            </w:r>
          </w:p>
        </w:tc>
        <w:tc>
          <w:tcPr>
            <w:tcW w:w="2268" w:type="dxa"/>
            <w:vAlign w:val="center"/>
            <w:hideMark/>
          </w:tcPr>
          <w:p w14:paraId="3A53DE4B"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74C8C935" w14:textId="77777777" w:rsidTr="005E4B11">
        <w:trPr>
          <w:trHeight w:val="283"/>
        </w:trPr>
        <w:tc>
          <w:tcPr>
            <w:tcW w:w="562" w:type="dxa"/>
            <w:noWrap/>
            <w:vAlign w:val="center"/>
            <w:hideMark/>
          </w:tcPr>
          <w:p w14:paraId="608394F2"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12</w:t>
            </w:r>
          </w:p>
        </w:tc>
        <w:tc>
          <w:tcPr>
            <w:tcW w:w="6096" w:type="dxa"/>
            <w:vAlign w:val="center"/>
            <w:hideMark/>
          </w:tcPr>
          <w:p w14:paraId="32F5EC2B" w14:textId="77777777" w:rsidR="00ED74CE" w:rsidRPr="00120257" w:rsidRDefault="00ED74CE" w:rsidP="005E4B11">
            <w:pPr>
              <w:rPr>
                <w:rFonts w:ascii="Times New Roman" w:eastAsia="SimSun" w:hAnsi="Times New Roman" w:cs="Times New Roman"/>
                <w:color w:val="000000" w:themeColor="text1"/>
              </w:rPr>
            </w:pPr>
            <w:r w:rsidRPr="00120257">
              <w:rPr>
                <w:rFonts w:ascii="Times New Roman" w:hAnsi="Times New Roman" w:cs="Times New Roman"/>
                <w:color w:val="000000" w:themeColor="text1"/>
              </w:rPr>
              <w:t>MULTIPASS (Marfo, 1992)</w:t>
            </w:r>
          </w:p>
        </w:tc>
        <w:tc>
          <w:tcPr>
            <w:tcW w:w="2268" w:type="dxa"/>
            <w:vAlign w:val="center"/>
            <w:hideMark/>
          </w:tcPr>
          <w:p w14:paraId="1F7208D0"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4512A374" w14:textId="77777777" w:rsidTr="005E4B11">
        <w:trPr>
          <w:trHeight w:val="283"/>
        </w:trPr>
        <w:tc>
          <w:tcPr>
            <w:tcW w:w="562" w:type="dxa"/>
            <w:noWrap/>
            <w:vAlign w:val="center"/>
            <w:hideMark/>
          </w:tcPr>
          <w:p w14:paraId="55DBF88E"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13</w:t>
            </w:r>
          </w:p>
        </w:tc>
        <w:tc>
          <w:tcPr>
            <w:tcW w:w="6096" w:type="dxa"/>
            <w:vAlign w:val="center"/>
            <w:hideMark/>
          </w:tcPr>
          <w:p w14:paraId="72DB34A0"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Questionnaire on HLE used in the E4Kids Study (Niklas &amp; Nguyen et al., 2016)</w:t>
            </w:r>
          </w:p>
        </w:tc>
        <w:tc>
          <w:tcPr>
            <w:tcW w:w="2268" w:type="dxa"/>
            <w:vAlign w:val="center"/>
            <w:hideMark/>
          </w:tcPr>
          <w:p w14:paraId="5E7EE48B"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6E5809DF" w14:textId="77777777" w:rsidTr="005E4B11">
        <w:trPr>
          <w:trHeight w:val="283"/>
        </w:trPr>
        <w:tc>
          <w:tcPr>
            <w:tcW w:w="562" w:type="dxa"/>
            <w:noWrap/>
            <w:vAlign w:val="center"/>
            <w:hideMark/>
          </w:tcPr>
          <w:p w14:paraId="771575C0"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14</w:t>
            </w:r>
          </w:p>
        </w:tc>
        <w:tc>
          <w:tcPr>
            <w:tcW w:w="6096" w:type="dxa"/>
            <w:vAlign w:val="center"/>
            <w:hideMark/>
          </w:tcPr>
          <w:p w14:paraId="0D533413"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NICHD Mother–Child Interaction (NICHD Early Child Care Research Network, 2003)</w:t>
            </w:r>
          </w:p>
        </w:tc>
        <w:tc>
          <w:tcPr>
            <w:tcW w:w="2268" w:type="dxa"/>
            <w:vAlign w:val="center"/>
            <w:hideMark/>
          </w:tcPr>
          <w:p w14:paraId="4C0170FA"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7D9EBBF2" w14:textId="77777777" w:rsidTr="005E4B11">
        <w:trPr>
          <w:trHeight w:val="283"/>
        </w:trPr>
        <w:tc>
          <w:tcPr>
            <w:tcW w:w="562" w:type="dxa"/>
            <w:noWrap/>
            <w:vAlign w:val="center"/>
            <w:hideMark/>
          </w:tcPr>
          <w:p w14:paraId="427FB529"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15</w:t>
            </w:r>
          </w:p>
        </w:tc>
        <w:tc>
          <w:tcPr>
            <w:tcW w:w="6096" w:type="dxa"/>
            <w:vAlign w:val="center"/>
            <w:hideMark/>
          </w:tcPr>
          <w:p w14:paraId="3855B731"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Responsive Interactions for Learning–Version for Parents (RIFL-P; Prime et al., 2015)</w:t>
            </w:r>
          </w:p>
        </w:tc>
        <w:tc>
          <w:tcPr>
            <w:tcW w:w="2268" w:type="dxa"/>
            <w:vAlign w:val="center"/>
            <w:hideMark/>
          </w:tcPr>
          <w:p w14:paraId="4B61AFB6"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7569EFFE" w14:textId="77777777" w:rsidTr="005E4B11">
        <w:trPr>
          <w:trHeight w:val="283"/>
        </w:trPr>
        <w:tc>
          <w:tcPr>
            <w:tcW w:w="562" w:type="dxa"/>
            <w:noWrap/>
            <w:vAlign w:val="center"/>
            <w:hideMark/>
          </w:tcPr>
          <w:p w14:paraId="4D9D2328"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16</w:t>
            </w:r>
          </w:p>
        </w:tc>
        <w:tc>
          <w:tcPr>
            <w:tcW w:w="6096" w:type="dxa"/>
            <w:vAlign w:val="center"/>
            <w:hideMark/>
          </w:tcPr>
          <w:p w14:paraId="205A931E"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 xml:space="preserve">Parenting Interactions with Children: Checklist of Observations Linked to Outcomes (PICCOLO; </w:t>
            </w:r>
            <w:proofErr w:type="spellStart"/>
            <w:r w:rsidRPr="00120257">
              <w:rPr>
                <w:rFonts w:ascii="Times New Roman" w:hAnsi="Times New Roman" w:cs="Times New Roman"/>
                <w:color w:val="000000" w:themeColor="text1"/>
              </w:rPr>
              <w:t>Roggman</w:t>
            </w:r>
            <w:proofErr w:type="spellEnd"/>
            <w:r w:rsidRPr="00120257">
              <w:rPr>
                <w:rFonts w:ascii="Times New Roman" w:hAnsi="Times New Roman" w:cs="Times New Roman"/>
                <w:color w:val="000000" w:themeColor="text1"/>
              </w:rPr>
              <w:t xml:space="preserve"> et al., 2013)</w:t>
            </w:r>
          </w:p>
        </w:tc>
        <w:tc>
          <w:tcPr>
            <w:tcW w:w="2268" w:type="dxa"/>
            <w:vAlign w:val="center"/>
            <w:hideMark/>
          </w:tcPr>
          <w:p w14:paraId="4DCABAB7"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2393A01E" w14:textId="77777777" w:rsidTr="005E4B11">
        <w:trPr>
          <w:trHeight w:val="283"/>
        </w:trPr>
        <w:tc>
          <w:tcPr>
            <w:tcW w:w="562" w:type="dxa"/>
            <w:noWrap/>
            <w:vAlign w:val="center"/>
            <w:hideMark/>
          </w:tcPr>
          <w:p w14:paraId="7C28EA97"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17</w:t>
            </w:r>
          </w:p>
        </w:tc>
        <w:tc>
          <w:tcPr>
            <w:tcW w:w="6096" w:type="dxa"/>
            <w:vAlign w:val="center"/>
            <w:hideMark/>
          </w:tcPr>
          <w:p w14:paraId="48BCA4B5"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Parenting and Family Adjustment Scales (PAFAS; Sanders et al., 2014)</w:t>
            </w:r>
          </w:p>
        </w:tc>
        <w:tc>
          <w:tcPr>
            <w:tcW w:w="2268" w:type="dxa"/>
            <w:vAlign w:val="center"/>
            <w:hideMark/>
          </w:tcPr>
          <w:p w14:paraId="0807855B"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r w:rsidR="00ED74CE" w:rsidRPr="00120257" w14:paraId="11B4EB05" w14:textId="77777777" w:rsidTr="005E4B11">
        <w:trPr>
          <w:trHeight w:val="283"/>
        </w:trPr>
        <w:tc>
          <w:tcPr>
            <w:tcW w:w="562" w:type="dxa"/>
            <w:noWrap/>
            <w:vAlign w:val="center"/>
            <w:hideMark/>
          </w:tcPr>
          <w:p w14:paraId="7172713E"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18</w:t>
            </w:r>
          </w:p>
        </w:tc>
        <w:tc>
          <w:tcPr>
            <w:tcW w:w="6096" w:type="dxa"/>
            <w:vAlign w:val="center"/>
            <w:hideMark/>
          </w:tcPr>
          <w:p w14:paraId="4E6F4944" w14:textId="78BC2524"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 xml:space="preserve">Coding Interactive Behavior (CIB; </w:t>
            </w:r>
            <w:r w:rsidR="00AB1E79">
              <w:rPr>
                <w:rFonts w:ascii="Times New Roman" w:hAnsi="Times New Roman" w:cs="Times New Roman" w:hint="eastAsia"/>
                <w:color w:val="000000" w:themeColor="text1"/>
              </w:rPr>
              <w:t>Feldman, 1998</w:t>
            </w:r>
            <w:r w:rsidRPr="00120257">
              <w:rPr>
                <w:rFonts w:ascii="Times New Roman" w:hAnsi="Times New Roman" w:cs="Times New Roman"/>
                <w:color w:val="000000" w:themeColor="text1"/>
              </w:rPr>
              <w:t>)</w:t>
            </w:r>
          </w:p>
        </w:tc>
        <w:tc>
          <w:tcPr>
            <w:tcW w:w="2268" w:type="dxa"/>
            <w:vAlign w:val="center"/>
            <w:hideMark/>
          </w:tcPr>
          <w:p w14:paraId="1E5A8534"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Observation</w:t>
            </w:r>
          </w:p>
        </w:tc>
      </w:tr>
      <w:tr w:rsidR="00ED74CE" w:rsidRPr="00120257" w14:paraId="4CF6DB99" w14:textId="77777777" w:rsidTr="005E4B11">
        <w:trPr>
          <w:trHeight w:val="283"/>
        </w:trPr>
        <w:tc>
          <w:tcPr>
            <w:tcW w:w="562" w:type="dxa"/>
            <w:noWrap/>
            <w:vAlign w:val="center"/>
            <w:hideMark/>
          </w:tcPr>
          <w:p w14:paraId="64A8CB19"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19</w:t>
            </w:r>
          </w:p>
        </w:tc>
        <w:tc>
          <w:tcPr>
            <w:tcW w:w="6096" w:type="dxa"/>
            <w:vAlign w:val="center"/>
            <w:hideMark/>
          </w:tcPr>
          <w:p w14:paraId="3A846555" w14:textId="77777777" w:rsidR="00ED74CE" w:rsidRPr="00120257" w:rsidRDefault="00ED74CE" w:rsidP="005E4B11">
            <w:pPr>
              <w:rPr>
                <w:rFonts w:ascii="Times New Roman" w:eastAsia="SimSun" w:hAnsi="Times New Roman" w:cs="Times New Roman"/>
                <w:color w:val="000000" w:themeColor="text1"/>
              </w:rPr>
            </w:pPr>
            <w:r w:rsidRPr="00120257">
              <w:rPr>
                <w:rFonts w:ascii="Times New Roman" w:hAnsi="Times New Roman" w:cs="Times New Roman"/>
                <w:color w:val="000000" w:themeColor="text1"/>
              </w:rPr>
              <w:t xml:space="preserve">Family Environment Questionnaire (FEQ; </w:t>
            </w:r>
            <w:proofErr w:type="spellStart"/>
            <w:r w:rsidRPr="00120257">
              <w:rPr>
                <w:rFonts w:ascii="Times New Roman" w:hAnsi="Times New Roman" w:cs="Times New Roman"/>
                <w:color w:val="000000" w:themeColor="text1"/>
              </w:rPr>
              <w:t>Zupančič</w:t>
            </w:r>
            <w:proofErr w:type="spellEnd"/>
            <w:r w:rsidRPr="00120257">
              <w:rPr>
                <w:rFonts w:ascii="Times New Roman" w:hAnsi="Times New Roman" w:cs="Times New Roman"/>
                <w:color w:val="000000" w:themeColor="text1"/>
              </w:rPr>
              <w:t xml:space="preserve"> et al., 2004)</w:t>
            </w:r>
          </w:p>
        </w:tc>
        <w:tc>
          <w:tcPr>
            <w:tcW w:w="2268" w:type="dxa"/>
            <w:vAlign w:val="center"/>
            <w:hideMark/>
          </w:tcPr>
          <w:p w14:paraId="04305343" w14:textId="77777777" w:rsidR="00ED74CE" w:rsidRPr="00120257" w:rsidRDefault="00ED74CE" w:rsidP="005E4B11">
            <w:pPr>
              <w:rPr>
                <w:rFonts w:ascii="Times New Roman" w:hAnsi="Times New Roman" w:cs="Times New Roman"/>
                <w:color w:val="000000" w:themeColor="text1"/>
              </w:rPr>
            </w:pPr>
            <w:r w:rsidRPr="00120257">
              <w:rPr>
                <w:rFonts w:ascii="Times New Roman" w:hAnsi="Times New Roman" w:cs="Times New Roman"/>
                <w:color w:val="000000" w:themeColor="text1"/>
              </w:rPr>
              <w:t>Caregiver‐reported</w:t>
            </w:r>
          </w:p>
        </w:tc>
      </w:tr>
    </w:tbl>
    <w:p w14:paraId="35536781" w14:textId="77777777" w:rsidR="00ED74CE" w:rsidRPr="00120257" w:rsidRDefault="00ED74CE" w:rsidP="00ED74CE">
      <w:pPr>
        <w:spacing w:line="360" w:lineRule="auto"/>
        <w:outlineLvl w:val="2"/>
        <w:rPr>
          <w:rFonts w:ascii="Times New Roman" w:hAnsi="Times New Roman" w:cs="Times New Roman"/>
          <w:b/>
          <w:bCs/>
          <w:color w:val="000000" w:themeColor="text1"/>
        </w:rPr>
      </w:pPr>
    </w:p>
    <w:p w14:paraId="5BB6A16B" w14:textId="77777777" w:rsidR="00ED74CE" w:rsidRPr="00120257" w:rsidRDefault="00ED74CE" w:rsidP="00ED74CE">
      <w:pPr>
        <w:pStyle w:val="Caption"/>
        <w:rPr>
          <w:b/>
          <w:bCs/>
          <w:i w:val="0"/>
          <w:iCs w:val="0"/>
          <w:color w:val="000000" w:themeColor="text1"/>
          <w:sz w:val="24"/>
          <w:szCs w:val="24"/>
        </w:rPr>
      </w:pPr>
    </w:p>
    <w:p w14:paraId="085B72BF" w14:textId="77777777" w:rsidR="00ED74CE" w:rsidRPr="00120257" w:rsidRDefault="00ED74CE" w:rsidP="00ED74CE">
      <w:pPr>
        <w:rPr>
          <w:rFonts w:ascii="Times New Roman" w:hAnsi="Times New Roman" w:cs="Times New Roman"/>
          <w:color w:val="000000" w:themeColor="text1"/>
        </w:rPr>
      </w:pPr>
    </w:p>
    <w:p w14:paraId="21B9A99A" w14:textId="77777777" w:rsidR="00C242F7" w:rsidRDefault="00C242F7"/>
    <w:p w14:paraId="52F4C46D" w14:textId="77777777" w:rsidR="00ED74CE" w:rsidRDefault="00ED74CE"/>
    <w:p w14:paraId="1A1E49F6" w14:textId="77777777" w:rsidR="00ED74CE" w:rsidRDefault="00ED74CE">
      <w:pPr>
        <w:sectPr w:rsidR="00ED74CE">
          <w:pgSz w:w="11906" w:h="16838"/>
          <w:pgMar w:top="1440" w:right="1440" w:bottom="1440" w:left="1440" w:header="708" w:footer="708" w:gutter="0"/>
          <w:cols w:space="708"/>
          <w:docGrid w:linePitch="360"/>
        </w:sectPr>
      </w:pPr>
    </w:p>
    <w:p w14:paraId="0D1A0CDC" w14:textId="77777777" w:rsidR="00ED74CE" w:rsidRPr="00120257" w:rsidRDefault="00ED74CE" w:rsidP="00ED74CE">
      <w:pPr>
        <w:pStyle w:val="Caption"/>
        <w:rPr>
          <w:b/>
          <w:bCs/>
          <w:i w:val="0"/>
          <w:iCs w:val="0"/>
          <w:color w:val="000000" w:themeColor="text1"/>
          <w:sz w:val="24"/>
          <w:szCs w:val="24"/>
        </w:rPr>
      </w:pPr>
      <w:r w:rsidRPr="00120257">
        <w:rPr>
          <w:b/>
          <w:bCs/>
          <w:i w:val="0"/>
          <w:iCs w:val="0"/>
          <w:color w:val="000000" w:themeColor="text1"/>
          <w:sz w:val="24"/>
          <w:szCs w:val="24"/>
        </w:rPr>
        <w:lastRenderedPageBreak/>
        <w:t>Table S2</w:t>
      </w:r>
    </w:p>
    <w:p w14:paraId="3B6C16E9" w14:textId="77777777" w:rsidR="00ED74CE" w:rsidRPr="00120257" w:rsidRDefault="00ED74CE" w:rsidP="00ED74CE">
      <w:pPr>
        <w:pStyle w:val="Caption"/>
        <w:rPr>
          <w:color w:val="000000" w:themeColor="text1"/>
          <w:sz w:val="24"/>
          <w:szCs w:val="24"/>
        </w:rPr>
      </w:pPr>
      <w:r w:rsidRPr="00120257">
        <w:rPr>
          <w:color w:val="000000" w:themeColor="text1"/>
          <w:sz w:val="24"/>
          <w:szCs w:val="24"/>
        </w:rPr>
        <w:t>The Procedure of Observation Task</w:t>
      </w:r>
    </w:p>
    <w:tbl>
      <w:tblPr>
        <w:tblStyle w:val="TableGrid"/>
        <w:tblW w:w="13887" w:type="dxa"/>
        <w:tblLook w:val="04A0" w:firstRow="1" w:lastRow="0" w:firstColumn="1" w:lastColumn="0" w:noHBand="0" w:noVBand="1"/>
      </w:tblPr>
      <w:tblGrid>
        <w:gridCol w:w="1189"/>
        <w:gridCol w:w="4193"/>
        <w:gridCol w:w="8505"/>
      </w:tblGrid>
      <w:tr w:rsidR="00ED74CE" w:rsidRPr="00120257" w14:paraId="264E886E" w14:textId="77777777" w:rsidTr="005E4B11">
        <w:tc>
          <w:tcPr>
            <w:tcW w:w="1189" w:type="dxa"/>
          </w:tcPr>
          <w:p w14:paraId="3CB7AAF5" w14:textId="77777777" w:rsidR="00ED74CE" w:rsidRPr="00120257" w:rsidRDefault="00ED74CE" w:rsidP="005E4B11">
            <w:pPr>
              <w:spacing w:line="276" w:lineRule="auto"/>
              <w:rPr>
                <w:rFonts w:ascii="Times New Roman" w:hAnsi="Times New Roman" w:cs="Times New Roman"/>
                <w:b/>
                <w:bCs/>
                <w:color w:val="000000" w:themeColor="text1"/>
              </w:rPr>
            </w:pPr>
          </w:p>
        </w:tc>
        <w:tc>
          <w:tcPr>
            <w:tcW w:w="4193" w:type="dxa"/>
          </w:tcPr>
          <w:p w14:paraId="6D264953" w14:textId="77777777" w:rsidR="00ED74CE" w:rsidRPr="00120257" w:rsidRDefault="00ED74CE" w:rsidP="005E4B11">
            <w:pPr>
              <w:spacing w:line="276" w:lineRule="auto"/>
              <w:rPr>
                <w:rFonts w:ascii="Times New Roman" w:hAnsi="Times New Roman" w:cs="Times New Roman"/>
                <w:b/>
                <w:bCs/>
                <w:color w:val="000000" w:themeColor="text1"/>
              </w:rPr>
            </w:pPr>
            <w:r w:rsidRPr="00120257">
              <w:rPr>
                <w:rFonts w:ascii="Times New Roman" w:hAnsi="Times New Roman" w:cs="Times New Roman"/>
                <w:b/>
                <w:bCs/>
                <w:color w:val="000000" w:themeColor="text1"/>
              </w:rPr>
              <w:t>Verbal Instructions</w:t>
            </w:r>
          </w:p>
        </w:tc>
        <w:tc>
          <w:tcPr>
            <w:tcW w:w="8505" w:type="dxa"/>
          </w:tcPr>
          <w:p w14:paraId="70D7EA90" w14:textId="77777777" w:rsidR="00ED74CE" w:rsidRPr="00120257" w:rsidRDefault="00ED74CE" w:rsidP="005E4B11">
            <w:pPr>
              <w:spacing w:line="276" w:lineRule="auto"/>
              <w:rPr>
                <w:rFonts w:ascii="Times New Roman" w:hAnsi="Times New Roman" w:cs="Times New Roman"/>
                <w:b/>
                <w:bCs/>
                <w:color w:val="000000" w:themeColor="text1"/>
              </w:rPr>
            </w:pPr>
            <w:r w:rsidRPr="00120257">
              <w:rPr>
                <w:rFonts w:ascii="Times New Roman" w:hAnsi="Times New Roman" w:cs="Times New Roman"/>
                <w:b/>
                <w:bCs/>
                <w:color w:val="000000" w:themeColor="text1"/>
              </w:rPr>
              <w:t>Task Set-up</w:t>
            </w:r>
          </w:p>
        </w:tc>
      </w:tr>
      <w:tr w:rsidR="00ED74CE" w:rsidRPr="00120257" w14:paraId="3C54CFF3" w14:textId="77777777" w:rsidTr="005E4B11">
        <w:tc>
          <w:tcPr>
            <w:tcW w:w="1189" w:type="dxa"/>
          </w:tcPr>
          <w:p w14:paraId="2DD4B004" w14:textId="77777777" w:rsidR="00ED74CE" w:rsidRPr="00120257" w:rsidRDefault="00ED74CE" w:rsidP="005E4B11">
            <w:pPr>
              <w:spacing w:line="276" w:lineRule="auto"/>
              <w:rPr>
                <w:rFonts w:ascii="Times New Roman" w:hAnsi="Times New Roman" w:cs="Times New Roman"/>
                <w:color w:val="000000" w:themeColor="text1"/>
              </w:rPr>
            </w:pPr>
          </w:p>
        </w:tc>
        <w:tc>
          <w:tcPr>
            <w:tcW w:w="12698" w:type="dxa"/>
            <w:gridSpan w:val="2"/>
          </w:tcPr>
          <w:p w14:paraId="53714AF1"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1. Free Play with blocks (4 minutes + 1 minute for tidying up the blocks)</w:t>
            </w:r>
          </w:p>
        </w:tc>
      </w:tr>
      <w:tr w:rsidR="00ED74CE" w:rsidRPr="00120257" w14:paraId="0D7AEF8E" w14:textId="77777777" w:rsidTr="005E4B11">
        <w:tc>
          <w:tcPr>
            <w:tcW w:w="1189" w:type="dxa"/>
          </w:tcPr>
          <w:p w14:paraId="1CBA734C"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Procedure</w:t>
            </w:r>
          </w:p>
        </w:tc>
        <w:tc>
          <w:tcPr>
            <w:tcW w:w="4193" w:type="dxa"/>
          </w:tcPr>
          <w:p w14:paraId="37E5F22B" w14:textId="77777777" w:rsidR="00ED74CE" w:rsidRPr="00120257" w:rsidRDefault="00ED74CE" w:rsidP="005E4B11">
            <w:pPr>
              <w:spacing w:line="276" w:lineRule="auto"/>
              <w:rPr>
                <w:rFonts w:ascii="Times New Roman" w:hAnsi="Times New Roman" w:cs="Times New Roman"/>
                <w:color w:val="000000" w:themeColor="text1"/>
              </w:rPr>
            </w:pPr>
            <w:bookmarkStart w:id="1" w:name="OLE_LINK13"/>
            <w:bookmarkStart w:id="2" w:name="OLE_LINK14"/>
            <w:r w:rsidRPr="00120257">
              <w:rPr>
                <w:rFonts w:ascii="Times New Roman" w:hAnsi="Times New Roman" w:cs="Times New Roman"/>
                <w:color w:val="000000" w:themeColor="text1"/>
              </w:rPr>
              <w:t>Here are some blocks. You can play together for 4 minutes, just like you normally do.</w:t>
            </w:r>
            <w:bookmarkEnd w:id="1"/>
            <w:bookmarkEnd w:id="2"/>
          </w:p>
        </w:tc>
        <w:tc>
          <w:tcPr>
            <w:tcW w:w="8505" w:type="dxa"/>
          </w:tcPr>
          <w:p w14:paraId="0B882102"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1. The test administrator places the blocks in front of the caregiver and the child.</w:t>
            </w:r>
          </w:p>
          <w:p w14:paraId="006704D9"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2. Give the instruction.</w:t>
            </w:r>
          </w:p>
          <w:p w14:paraId="0B31B860"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3. After 4 minutes, remind the caregiver and child that the free play time has ended and prepare for the next task. Ask the caregiver and child to help tidy up the blocks.</w:t>
            </w:r>
          </w:p>
        </w:tc>
      </w:tr>
      <w:tr w:rsidR="00ED74CE" w:rsidRPr="00120257" w14:paraId="2BC43065" w14:textId="77777777" w:rsidTr="005E4B11">
        <w:tc>
          <w:tcPr>
            <w:tcW w:w="1189" w:type="dxa"/>
          </w:tcPr>
          <w:p w14:paraId="4044D0AD" w14:textId="77777777" w:rsidR="00ED74CE" w:rsidRPr="00120257" w:rsidRDefault="00ED74CE" w:rsidP="005E4B11">
            <w:pPr>
              <w:spacing w:line="276" w:lineRule="auto"/>
              <w:rPr>
                <w:rFonts w:ascii="Times New Roman" w:hAnsi="Times New Roman" w:cs="Times New Roman"/>
                <w:color w:val="000000" w:themeColor="text1"/>
              </w:rPr>
            </w:pPr>
          </w:p>
        </w:tc>
        <w:tc>
          <w:tcPr>
            <w:tcW w:w="12698" w:type="dxa"/>
            <w:gridSpan w:val="2"/>
          </w:tcPr>
          <w:p w14:paraId="2B064CFC"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2. Paper Boat Folding Task (5 minutes)</w:t>
            </w:r>
          </w:p>
        </w:tc>
      </w:tr>
      <w:tr w:rsidR="00ED74CE" w:rsidRPr="00120257" w14:paraId="5BE560C1" w14:textId="77777777" w:rsidTr="005E4B11">
        <w:trPr>
          <w:trHeight w:val="4727"/>
        </w:trPr>
        <w:tc>
          <w:tcPr>
            <w:tcW w:w="1189" w:type="dxa"/>
          </w:tcPr>
          <w:p w14:paraId="20816C28"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Procedure</w:t>
            </w:r>
          </w:p>
        </w:tc>
        <w:tc>
          <w:tcPr>
            <w:tcW w:w="4193" w:type="dxa"/>
          </w:tcPr>
          <w:p w14:paraId="201F0FBA" w14:textId="77777777" w:rsidR="00ED74CE" w:rsidRPr="00120257" w:rsidRDefault="00ED74CE" w:rsidP="005E4B11">
            <w:pPr>
              <w:spacing w:line="276" w:lineRule="auto"/>
              <w:rPr>
                <w:rFonts w:ascii="Times New Roman" w:hAnsi="Times New Roman" w:cs="Times New Roman"/>
                <w:b/>
                <w:bCs/>
                <w:color w:val="000000" w:themeColor="text1"/>
              </w:rPr>
            </w:pPr>
            <w:r w:rsidRPr="00120257">
              <w:rPr>
                <w:rFonts w:ascii="Times New Roman" w:hAnsi="Times New Roman" w:cs="Times New Roman"/>
                <w:color w:val="000000" w:themeColor="text1"/>
              </w:rPr>
              <w:t>Next, please complete a paper boat folding task.</w:t>
            </w:r>
            <w:r w:rsidRPr="00120257">
              <w:rPr>
                <w:rFonts w:ascii="Times New Roman" w:hAnsi="Times New Roman" w:cs="Times New Roman"/>
                <w:color w:val="000000" w:themeColor="text1"/>
              </w:rPr>
              <w:br/>
            </w:r>
            <w:r w:rsidRPr="00120257">
              <w:rPr>
                <w:rFonts w:ascii="Times New Roman" w:hAnsi="Times New Roman" w:cs="Times New Roman"/>
                <w:b/>
                <w:bCs/>
                <w:color w:val="000000" w:themeColor="text1"/>
              </w:rPr>
              <w:t>[The test administrator shows a picture to the caregiver and the child</w:t>
            </w:r>
            <w:bookmarkStart w:id="3" w:name="OLE_LINK21"/>
            <w:bookmarkStart w:id="4" w:name="OLE_LINK22"/>
            <w:r w:rsidRPr="00120257">
              <w:rPr>
                <w:rFonts w:ascii="Times New Roman" w:hAnsi="Times New Roman" w:cs="Times New Roman"/>
                <w:b/>
                <w:bCs/>
                <w:color w:val="000000" w:themeColor="text1"/>
              </w:rPr>
              <w:t>]</w:t>
            </w:r>
          </w:p>
          <w:p w14:paraId="62AB1A33"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 xml:space="preserve">This picture shows the steps for folding a small boat. It might be a little challenging. </w:t>
            </w:r>
            <w:r w:rsidRPr="00120257">
              <w:rPr>
                <w:rStyle w:val="Strong"/>
                <w:rFonts w:ascii="Times New Roman" w:hAnsi="Times New Roman" w:cs="Times New Roman"/>
                <w:color w:val="000000" w:themeColor="text1"/>
              </w:rPr>
              <w:t>[To the caregiver]</w:t>
            </w:r>
            <w:r w:rsidRPr="00120257">
              <w:rPr>
                <w:rFonts w:ascii="Times New Roman" w:hAnsi="Times New Roman" w:cs="Times New Roman"/>
                <w:color w:val="000000" w:themeColor="text1"/>
              </w:rPr>
              <w:t xml:space="preserve"> You can offer guidance and support to the child. Please keep in mind that you have five minutes to finish folding the boat."</w:t>
            </w:r>
            <w:bookmarkEnd w:id="3"/>
            <w:bookmarkEnd w:id="4"/>
          </w:p>
        </w:tc>
        <w:tc>
          <w:tcPr>
            <w:tcW w:w="8505" w:type="dxa"/>
          </w:tcPr>
          <w:p w14:paraId="5919093E"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b/>
                <w:bCs/>
                <w:noProof/>
                <w:color w:val="000000" w:themeColor="text1"/>
                <w:lang w:eastAsia="zh-TW"/>
              </w:rPr>
              <w:drawing>
                <wp:anchor distT="0" distB="0" distL="114300" distR="114300" simplePos="0" relativeHeight="251659264" behindDoc="0" locked="0" layoutInCell="1" allowOverlap="1" wp14:anchorId="4C7A48F7" wp14:editId="0A4E14B5">
                  <wp:simplePos x="0" y="0"/>
                  <wp:positionH relativeFrom="column">
                    <wp:posOffset>3223659</wp:posOffset>
                  </wp:positionH>
                  <wp:positionV relativeFrom="paragraph">
                    <wp:posOffset>50165</wp:posOffset>
                  </wp:positionV>
                  <wp:extent cx="1942465" cy="2592070"/>
                  <wp:effectExtent l="0" t="0" r="635" b="0"/>
                  <wp:wrapThrough wrapText="bothSides">
                    <wp:wrapPolygon edited="0">
                      <wp:start x="0" y="0"/>
                      <wp:lineTo x="0" y="21484"/>
                      <wp:lineTo x="21466" y="21484"/>
                      <wp:lineTo x="21466" y="0"/>
                      <wp:lineTo x="0" y="0"/>
                    </wp:wrapPolygon>
                  </wp:wrapThrough>
                  <wp:docPr id="326818360" name="Picture 1" descr="A collage of a paper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09448" name="Picture 1" descr="A collage of a paper boa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42465" cy="2592070"/>
                          </a:xfrm>
                          <a:prstGeom prst="rect">
                            <a:avLst/>
                          </a:prstGeom>
                        </pic:spPr>
                      </pic:pic>
                    </a:graphicData>
                  </a:graphic>
                  <wp14:sizeRelH relativeFrom="page">
                    <wp14:pctWidth>0</wp14:pctWidth>
                  </wp14:sizeRelH>
                  <wp14:sizeRelV relativeFrom="page">
                    <wp14:pctHeight>0</wp14:pctHeight>
                  </wp14:sizeRelV>
                </wp:anchor>
              </w:drawing>
            </w:r>
            <w:r w:rsidRPr="00120257">
              <w:rPr>
                <w:rFonts w:ascii="Times New Roman" w:hAnsi="Times New Roman" w:cs="Times New Roman"/>
                <w:color w:val="000000" w:themeColor="text1"/>
              </w:rPr>
              <w:t>1. The test administrator places the steps for folding the boat in front of the caregiver and the child until the task is completed.</w:t>
            </w:r>
          </w:p>
          <w:p w14:paraId="30846CE3"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2. Give the instruction.</w:t>
            </w:r>
          </w:p>
          <w:p w14:paraId="63520060" w14:textId="77777777" w:rsidR="00ED74CE" w:rsidRPr="00120257" w:rsidRDefault="00ED74CE" w:rsidP="005E4B11">
            <w:pPr>
              <w:spacing w:line="276" w:lineRule="auto"/>
              <w:rPr>
                <w:rFonts w:ascii="Times New Roman" w:hAnsi="Times New Roman" w:cs="Times New Roman"/>
                <w:color w:val="000000" w:themeColor="text1"/>
              </w:rPr>
            </w:pPr>
            <w:r w:rsidRPr="00120257">
              <w:rPr>
                <w:rFonts w:ascii="Times New Roman" w:hAnsi="Times New Roman" w:cs="Times New Roman"/>
                <w:color w:val="000000" w:themeColor="text1"/>
              </w:rPr>
              <w:t>3. If the caregiver and child have not completed the task within 5 minutes, remind them that the time is up. If the caregiver and child insist on completing the task, they can extend the time up to 6 minutes.</w:t>
            </w:r>
          </w:p>
        </w:tc>
      </w:tr>
    </w:tbl>
    <w:p w14:paraId="2B5AAB50" w14:textId="77777777" w:rsidR="00ED74CE" w:rsidRDefault="00ED74CE" w:rsidP="00ED74CE">
      <w:pPr>
        <w:rPr>
          <w:rFonts w:ascii="Times New Roman" w:hAnsi="Times New Roman" w:cs="Times New Roman"/>
          <w:color w:val="000000" w:themeColor="text1"/>
        </w:rPr>
      </w:pPr>
    </w:p>
    <w:p w14:paraId="09BDABF3" w14:textId="77777777" w:rsidR="00ED74CE" w:rsidRPr="00120257" w:rsidRDefault="00ED74CE" w:rsidP="00ED74CE">
      <w:pPr>
        <w:rPr>
          <w:rFonts w:ascii="Times New Roman" w:hAnsi="Times New Roman" w:cs="Times New Roman" w:hint="eastAsia"/>
          <w:color w:val="000000" w:themeColor="text1"/>
        </w:rPr>
        <w:sectPr w:rsidR="00ED74CE" w:rsidRPr="00120257" w:rsidSect="00ED74CE">
          <w:pgSz w:w="16838" w:h="11906" w:orient="landscape"/>
          <w:pgMar w:top="1440" w:right="1440" w:bottom="1440" w:left="1440" w:header="708" w:footer="708" w:gutter="0"/>
          <w:cols w:space="708"/>
          <w:docGrid w:linePitch="360"/>
        </w:sectPr>
      </w:pPr>
    </w:p>
    <w:p w14:paraId="1BD803CD" w14:textId="77777777" w:rsidR="00ED74CE" w:rsidRPr="00120257" w:rsidRDefault="00ED74CE" w:rsidP="00ED74CE">
      <w:pPr>
        <w:pStyle w:val="Caption"/>
        <w:rPr>
          <w:b/>
          <w:bCs/>
          <w:i w:val="0"/>
          <w:iCs w:val="0"/>
          <w:color w:val="000000" w:themeColor="text1"/>
          <w:sz w:val="24"/>
          <w:szCs w:val="24"/>
        </w:rPr>
      </w:pPr>
      <w:r w:rsidRPr="00120257">
        <w:rPr>
          <w:b/>
          <w:bCs/>
          <w:i w:val="0"/>
          <w:iCs w:val="0"/>
          <w:color w:val="000000" w:themeColor="text1"/>
          <w:sz w:val="24"/>
          <w:szCs w:val="24"/>
        </w:rPr>
        <w:lastRenderedPageBreak/>
        <w:t>Table S3</w:t>
      </w:r>
    </w:p>
    <w:p w14:paraId="49169A7A" w14:textId="77777777" w:rsidR="00ED74CE" w:rsidRPr="00120257" w:rsidRDefault="00ED74CE" w:rsidP="00ED74CE">
      <w:pPr>
        <w:rPr>
          <w:rFonts w:ascii="Times New Roman" w:hAnsi="Times New Roman" w:cs="Times New Roman"/>
          <w:i/>
          <w:iCs/>
          <w:color w:val="000000" w:themeColor="text1"/>
        </w:rPr>
      </w:pPr>
      <w:r w:rsidRPr="00120257">
        <w:rPr>
          <w:rFonts w:ascii="Times New Roman" w:hAnsi="Times New Roman" w:cs="Times New Roman"/>
          <w:i/>
          <w:iCs/>
          <w:color w:val="000000" w:themeColor="text1"/>
        </w:rPr>
        <w:t>Visual Presentation of the Item Reduction Process in the E-Delphi Study</w:t>
      </w:r>
    </w:p>
    <w:p w14:paraId="03310D58" w14:textId="77777777" w:rsidR="00ED74CE" w:rsidRPr="00120257" w:rsidRDefault="00ED74CE" w:rsidP="00ED74CE">
      <w:pPr>
        <w:rPr>
          <w:rFonts w:ascii="Times New Roman" w:hAnsi="Times New Roman" w:cs="Times New Roman"/>
          <w:i/>
          <w:iCs/>
          <w:color w:val="000000" w:themeColor="text1"/>
        </w:rPr>
      </w:pPr>
    </w:p>
    <w:tbl>
      <w:tblPr>
        <w:tblW w:w="9067" w:type="dxa"/>
        <w:tblLayout w:type="fixed"/>
        <w:tblLook w:val="04A0" w:firstRow="1" w:lastRow="0" w:firstColumn="1" w:lastColumn="0" w:noHBand="0" w:noVBand="1"/>
      </w:tblPr>
      <w:tblGrid>
        <w:gridCol w:w="2076"/>
        <w:gridCol w:w="3022"/>
        <w:gridCol w:w="3969"/>
      </w:tblGrid>
      <w:tr w:rsidR="00ED74CE" w:rsidRPr="00120257" w14:paraId="37CF0205"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BD9A657"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Round 1</w:t>
            </w:r>
          </w:p>
        </w:tc>
      </w:tr>
      <w:tr w:rsidR="00ED74CE" w:rsidRPr="00120257" w14:paraId="1467D0E1"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8D3CF2"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Availability of Learning Resources (15 items)</w:t>
            </w:r>
          </w:p>
        </w:tc>
      </w:tr>
      <w:tr w:rsidR="00ED74CE" w:rsidRPr="00120257" w14:paraId="30425DA1"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6DC50DB8"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Reason for Item Exclusion</w:t>
            </w:r>
          </w:p>
        </w:tc>
        <w:tc>
          <w:tcPr>
            <w:tcW w:w="3022" w:type="dxa"/>
            <w:tcBorders>
              <w:top w:val="nil"/>
              <w:left w:val="nil"/>
              <w:bottom w:val="single" w:sz="4" w:space="0" w:color="auto"/>
              <w:right w:val="single" w:sz="4" w:space="0" w:color="auto"/>
            </w:tcBorders>
            <w:shd w:val="clear" w:color="auto" w:fill="auto"/>
            <w:vAlign w:val="center"/>
            <w:hideMark/>
          </w:tcPr>
          <w:p w14:paraId="3BAC3EB6"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Original Item</w:t>
            </w:r>
          </w:p>
        </w:tc>
        <w:tc>
          <w:tcPr>
            <w:tcW w:w="3969" w:type="dxa"/>
            <w:tcBorders>
              <w:top w:val="nil"/>
              <w:left w:val="nil"/>
              <w:bottom w:val="single" w:sz="4" w:space="0" w:color="auto"/>
              <w:right w:val="single" w:sz="4" w:space="0" w:color="auto"/>
            </w:tcBorders>
            <w:shd w:val="clear" w:color="auto" w:fill="auto"/>
            <w:vAlign w:val="center"/>
            <w:hideMark/>
          </w:tcPr>
          <w:p w14:paraId="59EE9120"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Rationale for Decision</w:t>
            </w:r>
          </w:p>
        </w:tc>
      </w:tr>
      <w:tr w:rsidR="00ED74CE" w:rsidRPr="00120257" w14:paraId="43A4DCD5"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7D0EBDA1"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Limited relevance to cognitive development (n = 4)</w:t>
            </w:r>
          </w:p>
        </w:tc>
        <w:tc>
          <w:tcPr>
            <w:tcW w:w="3022" w:type="dxa"/>
            <w:tcBorders>
              <w:top w:val="nil"/>
              <w:left w:val="nil"/>
              <w:bottom w:val="single" w:sz="4" w:space="0" w:color="auto"/>
              <w:right w:val="single" w:sz="4" w:space="0" w:color="auto"/>
            </w:tcBorders>
            <w:shd w:val="clear" w:color="auto" w:fill="auto"/>
            <w:vAlign w:val="center"/>
            <w:hideMark/>
          </w:tcPr>
          <w:p w14:paraId="398DC904"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Play with toys made by an adult</w:t>
            </w:r>
            <w:r w:rsidRPr="00120257">
              <w:rPr>
                <w:rFonts w:ascii="Times New Roman" w:eastAsia="Times New Roman" w:hAnsi="Times New Roman" w:cs="Times New Roman"/>
                <w:color w:val="000000" w:themeColor="text1"/>
                <w:kern w:val="0"/>
                <w:sz w:val="22"/>
                <w:szCs w:val="22"/>
                <w:lang w:val="en-HK"/>
                <w14:ligatures w14:val="none"/>
              </w:rPr>
              <w:br/>
              <w:t>2) Play with household objects</w:t>
            </w:r>
            <w:r w:rsidRPr="00120257">
              <w:rPr>
                <w:rFonts w:ascii="Times New Roman" w:eastAsia="Times New Roman" w:hAnsi="Times New Roman" w:cs="Times New Roman"/>
                <w:color w:val="000000" w:themeColor="text1"/>
                <w:kern w:val="0"/>
                <w:sz w:val="22"/>
                <w:szCs w:val="22"/>
                <w:lang w:val="en-HK"/>
                <w14:ligatures w14:val="none"/>
              </w:rPr>
              <w:br/>
              <w:t>3) Play with things from outside</w:t>
            </w:r>
            <w:r w:rsidRPr="00120257">
              <w:rPr>
                <w:rFonts w:ascii="Times New Roman" w:eastAsia="Times New Roman" w:hAnsi="Times New Roman" w:cs="Times New Roman"/>
                <w:color w:val="000000" w:themeColor="text1"/>
                <w:kern w:val="0"/>
                <w:sz w:val="22"/>
                <w:szCs w:val="22"/>
                <w:lang w:val="en-HK"/>
                <w14:ligatures w14:val="none"/>
              </w:rPr>
              <w:br/>
              <w:t>4) Number of books in the household</w:t>
            </w:r>
          </w:p>
        </w:tc>
        <w:tc>
          <w:tcPr>
            <w:tcW w:w="3969" w:type="dxa"/>
            <w:tcBorders>
              <w:top w:val="nil"/>
              <w:left w:val="nil"/>
              <w:bottom w:val="single" w:sz="4" w:space="0" w:color="auto"/>
              <w:right w:val="single" w:sz="4" w:space="0" w:color="auto"/>
            </w:tcBorders>
            <w:shd w:val="clear" w:color="auto" w:fill="auto"/>
            <w:vAlign w:val="center"/>
            <w:hideMark/>
          </w:tcPr>
          <w:p w14:paraId="0F657E24"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1) -3) The significance of plaything materials in child development was unclear. </w:t>
            </w:r>
            <w:r w:rsidRPr="00120257">
              <w:rPr>
                <w:rFonts w:ascii="Times New Roman" w:eastAsia="Times New Roman" w:hAnsi="Times New Roman" w:cs="Times New Roman"/>
                <w:color w:val="000000" w:themeColor="text1"/>
                <w:kern w:val="0"/>
                <w:sz w:val="22"/>
                <w:szCs w:val="22"/>
                <w:lang w:val="en-HK"/>
                <w14:ligatures w14:val="none"/>
              </w:rPr>
              <w:br/>
              <w:t>4)  The number of books in the household is related to socioeconomic status and is not directly linked to child learning.</w:t>
            </w:r>
          </w:p>
        </w:tc>
      </w:tr>
      <w:tr w:rsidR="00ED74CE" w:rsidRPr="00120257" w14:paraId="7FC5C923"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26B8A23C"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Overlap of items (n = 1)</w:t>
            </w:r>
          </w:p>
        </w:tc>
        <w:tc>
          <w:tcPr>
            <w:tcW w:w="3022" w:type="dxa"/>
            <w:tcBorders>
              <w:top w:val="nil"/>
              <w:left w:val="nil"/>
              <w:bottom w:val="single" w:sz="4" w:space="0" w:color="auto"/>
              <w:right w:val="single" w:sz="4" w:space="0" w:color="auto"/>
            </w:tcBorders>
            <w:shd w:val="clear" w:color="auto" w:fill="auto"/>
            <w:vAlign w:val="center"/>
            <w:hideMark/>
          </w:tcPr>
          <w:p w14:paraId="14349CE2"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The number of picture books</w:t>
            </w:r>
          </w:p>
        </w:tc>
        <w:tc>
          <w:tcPr>
            <w:tcW w:w="3969" w:type="dxa"/>
            <w:tcBorders>
              <w:top w:val="nil"/>
              <w:left w:val="nil"/>
              <w:bottom w:val="single" w:sz="4" w:space="0" w:color="auto"/>
              <w:right w:val="single" w:sz="4" w:space="0" w:color="auto"/>
            </w:tcBorders>
            <w:shd w:val="clear" w:color="auto" w:fill="auto"/>
            <w:vAlign w:val="center"/>
            <w:hideMark/>
          </w:tcPr>
          <w:p w14:paraId="41734FB6"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Children's books include picture books, so the two items were merged to avoid redundancy.</w:t>
            </w:r>
          </w:p>
        </w:tc>
      </w:tr>
      <w:tr w:rsidR="00ED74CE" w:rsidRPr="00120257" w14:paraId="63CE5045"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61C2439E"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Uncommon in Chinese families (n = 1)</w:t>
            </w:r>
          </w:p>
        </w:tc>
        <w:tc>
          <w:tcPr>
            <w:tcW w:w="3022" w:type="dxa"/>
            <w:tcBorders>
              <w:top w:val="nil"/>
              <w:left w:val="nil"/>
              <w:bottom w:val="single" w:sz="4" w:space="0" w:color="auto"/>
              <w:right w:val="single" w:sz="4" w:space="0" w:color="auto"/>
            </w:tcBorders>
            <w:shd w:val="clear" w:color="auto" w:fill="auto"/>
            <w:vAlign w:val="center"/>
            <w:hideMark/>
          </w:tcPr>
          <w:p w14:paraId="74A8E0A2"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Receiving magazines regularly</w:t>
            </w:r>
          </w:p>
        </w:tc>
        <w:tc>
          <w:tcPr>
            <w:tcW w:w="3969" w:type="dxa"/>
            <w:tcBorders>
              <w:top w:val="nil"/>
              <w:left w:val="nil"/>
              <w:bottom w:val="single" w:sz="4" w:space="0" w:color="auto"/>
              <w:right w:val="single" w:sz="4" w:space="0" w:color="auto"/>
            </w:tcBorders>
            <w:shd w:val="clear" w:color="auto" w:fill="auto"/>
            <w:vAlign w:val="center"/>
            <w:hideMark/>
          </w:tcPr>
          <w:p w14:paraId="0DBE97B2"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Receiving magazines is uncommon in Chinese households, making the item irrelevant.</w:t>
            </w:r>
          </w:p>
        </w:tc>
      </w:tr>
      <w:tr w:rsidR="00ED74CE" w:rsidRPr="00120257" w14:paraId="392E3104"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7CEA414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New items added (n=3)</w:t>
            </w:r>
          </w:p>
        </w:tc>
        <w:tc>
          <w:tcPr>
            <w:tcW w:w="3022" w:type="dxa"/>
            <w:tcBorders>
              <w:top w:val="nil"/>
              <w:left w:val="nil"/>
              <w:bottom w:val="single" w:sz="4" w:space="0" w:color="auto"/>
              <w:right w:val="single" w:sz="4" w:space="0" w:color="auto"/>
            </w:tcBorders>
            <w:shd w:val="clear" w:color="auto" w:fill="auto"/>
            <w:vAlign w:val="center"/>
            <w:hideMark/>
          </w:tcPr>
          <w:p w14:paraId="41D7354F"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Three new screen time-related items </w:t>
            </w:r>
            <w:r>
              <w:rPr>
                <w:rFonts w:ascii="Times New Roman" w:eastAsia="Times New Roman" w:hAnsi="Times New Roman" w:cs="Times New Roman"/>
                <w:color w:val="000000" w:themeColor="text1"/>
                <w:kern w:val="0"/>
                <w:sz w:val="22"/>
                <w:szCs w:val="22"/>
                <w:lang w:val="en-HK"/>
                <w14:ligatures w14:val="none"/>
              </w:rPr>
              <w:t xml:space="preserve">were </w:t>
            </w:r>
            <w:r w:rsidRPr="00120257">
              <w:rPr>
                <w:rFonts w:ascii="Times New Roman" w:eastAsia="Times New Roman" w:hAnsi="Times New Roman" w:cs="Times New Roman"/>
                <w:color w:val="000000" w:themeColor="text1"/>
                <w:kern w:val="0"/>
                <w:sz w:val="22"/>
                <w:szCs w:val="22"/>
                <w:lang w:val="en-HK"/>
                <w14:ligatures w14:val="none"/>
              </w:rPr>
              <w:t>added to the ALR dimension.</w:t>
            </w:r>
          </w:p>
        </w:tc>
        <w:tc>
          <w:tcPr>
            <w:tcW w:w="3969" w:type="dxa"/>
            <w:tcBorders>
              <w:top w:val="nil"/>
              <w:left w:val="nil"/>
              <w:bottom w:val="single" w:sz="4" w:space="0" w:color="auto"/>
              <w:right w:val="single" w:sz="4" w:space="0" w:color="auto"/>
            </w:tcBorders>
            <w:shd w:val="clear" w:color="auto" w:fill="auto"/>
            <w:vAlign w:val="center"/>
            <w:hideMark/>
          </w:tcPr>
          <w:p w14:paraId="7824DC8E"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r>
      <w:tr w:rsidR="00ED74CE" w:rsidRPr="00120257" w14:paraId="7CE00A84"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C1B42D7"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Frequency of Learning Activities (33 items)</w:t>
            </w:r>
          </w:p>
        </w:tc>
      </w:tr>
      <w:tr w:rsidR="00ED74CE" w:rsidRPr="00120257" w14:paraId="4FA2DB26"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3A00770B"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Reason for Item Exclusion</w:t>
            </w:r>
          </w:p>
        </w:tc>
        <w:tc>
          <w:tcPr>
            <w:tcW w:w="3022" w:type="dxa"/>
            <w:tcBorders>
              <w:top w:val="nil"/>
              <w:left w:val="nil"/>
              <w:bottom w:val="single" w:sz="4" w:space="0" w:color="auto"/>
              <w:right w:val="single" w:sz="4" w:space="0" w:color="auto"/>
            </w:tcBorders>
            <w:shd w:val="clear" w:color="auto" w:fill="auto"/>
            <w:vAlign w:val="center"/>
            <w:hideMark/>
          </w:tcPr>
          <w:p w14:paraId="3EE3BC09"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Original Item</w:t>
            </w:r>
          </w:p>
        </w:tc>
        <w:tc>
          <w:tcPr>
            <w:tcW w:w="3969" w:type="dxa"/>
            <w:tcBorders>
              <w:top w:val="nil"/>
              <w:left w:val="nil"/>
              <w:bottom w:val="single" w:sz="4" w:space="0" w:color="auto"/>
              <w:right w:val="single" w:sz="4" w:space="0" w:color="auto"/>
            </w:tcBorders>
            <w:shd w:val="clear" w:color="auto" w:fill="auto"/>
            <w:vAlign w:val="center"/>
            <w:hideMark/>
          </w:tcPr>
          <w:p w14:paraId="41B17358"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Rationale for Decision</w:t>
            </w:r>
          </w:p>
        </w:tc>
      </w:tr>
      <w:tr w:rsidR="00ED74CE" w:rsidRPr="00120257" w14:paraId="2258299E"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35BE1506"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Limited relevance to cognitive development (n = 3)</w:t>
            </w:r>
          </w:p>
        </w:tc>
        <w:tc>
          <w:tcPr>
            <w:tcW w:w="3022" w:type="dxa"/>
            <w:tcBorders>
              <w:top w:val="nil"/>
              <w:left w:val="nil"/>
              <w:bottom w:val="single" w:sz="4" w:space="0" w:color="auto"/>
              <w:right w:val="single" w:sz="4" w:space="0" w:color="auto"/>
            </w:tcBorders>
            <w:shd w:val="clear" w:color="auto" w:fill="auto"/>
            <w:vAlign w:val="center"/>
            <w:hideMark/>
          </w:tcPr>
          <w:p w14:paraId="58396750"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Explain the reasons for good manners</w:t>
            </w:r>
            <w:r w:rsidRPr="00120257">
              <w:rPr>
                <w:rFonts w:ascii="Times New Roman" w:eastAsia="Times New Roman" w:hAnsi="Times New Roman" w:cs="Times New Roman"/>
                <w:color w:val="000000" w:themeColor="text1"/>
                <w:kern w:val="0"/>
                <w:sz w:val="22"/>
                <w:szCs w:val="22"/>
                <w:lang w:val="en-HK"/>
                <w14:ligatures w14:val="none"/>
              </w:rPr>
              <w:br/>
              <w:t>2) Do activities using a computer, tablet, or other digital devices</w:t>
            </w:r>
            <w:r w:rsidRPr="00120257">
              <w:rPr>
                <w:rFonts w:ascii="Times New Roman" w:eastAsia="Times New Roman" w:hAnsi="Times New Roman" w:cs="Times New Roman"/>
                <w:color w:val="000000" w:themeColor="text1"/>
                <w:kern w:val="0"/>
                <w:sz w:val="22"/>
                <w:szCs w:val="22"/>
                <w:lang w:val="en-HK"/>
                <w14:ligatures w14:val="none"/>
              </w:rPr>
              <w:br/>
              <w:t>3) Go to the grocery store</w:t>
            </w:r>
          </w:p>
        </w:tc>
        <w:tc>
          <w:tcPr>
            <w:tcW w:w="3969" w:type="dxa"/>
            <w:tcBorders>
              <w:top w:val="nil"/>
              <w:left w:val="nil"/>
              <w:bottom w:val="single" w:sz="4" w:space="0" w:color="auto"/>
              <w:right w:val="single" w:sz="4" w:space="0" w:color="auto"/>
            </w:tcBorders>
            <w:shd w:val="clear" w:color="auto" w:fill="auto"/>
            <w:vAlign w:val="center"/>
            <w:hideMark/>
          </w:tcPr>
          <w:p w14:paraId="2D3D43A0"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There is no clear evidence linking explaining the reasons for good manners to cognitive development.</w:t>
            </w:r>
            <w:r w:rsidRPr="00120257">
              <w:rPr>
                <w:rFonts w:ascii="Times New Roman" w:eastAsia="Times New Roman" w:hAnsi="Times New Roman" w:cs="Times New Roman"/>
                <w:color w:val="000000" w:themeColor="text1"/>
                <w:kern w:val="0"/>
                <w:sz w:val="22"/>
                <w:szCs w:val="22"/>
                <w:lang w:val="en-HK"/>
                <w14:ligatures w14:val="none"/>
              </w:rPr>
              <w:br/>
              <w:t>2) The activity itself is important for child development, but the medium used (e.g., digital devices) is less important than the nature of the activity.</w:t>
            </w:r>
            <w:r w:rsidRPr="00120257">
              <w:rPr>
                <w:rFonts w:ascii="Times New Roman" w:eastAsia="Times New Roman" w:hAnsi="Times New Roman" w:cs="Times New Roman"/>
                <w:color w:val="000000" w:themeColor="text1"/>
                <w:kern w:val="0"/>
                <w:sz w:val="22"/>
                <w:szCs w:val="22"/>
                <w:lang w:val="en-HK"/>
                <w14:ligatures w14:val="none"/>
              </w:rPr>
              <w:br/>
              <w:t xml:space="preserve">3) The cognitive benefits of going to the grocery store are unclear. What caregivers do at the grocery store is more important. </w:t>
            </w:r>
          </w:p>
        </w:tc>
      </w:tr>
      <w:tr w:rsidR="00ED74CE" w:rsidRPr="00120257" w14:paraId="2EA99EB6"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2B4159BB"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Overlap of items (n = 3)</w:t>
            </w:r>
          </w:p>
        </w:tc>
        <w:tc>
          <w:tcPr>
            <w:tcW w:w="3022" w:type="dxa"/>
            <w:tcBorders>
              <w:top w:val="nil"/>
              <w:left w:val="nil"/>
              <w:bottom w:val="single" w:sz="4" w:space="0" w:color="auto"/>
              <w:right w:val="single" w:sz="4" w:space="0" w:color="auto"/>
            </w:tcBorders>
            <w:shd w:val="clear" w:color="auto" w:fill="auto"/>
            <w:vAlign w:val="center"/>
            <w:hideMark/>
          </w:tcPr>
          <w:p w14:paraId="051C31C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Play with puzzles</w:t>
            </w:r>
            <w:r w:rsidRPr="00120257">
              <w:rPr>
                <w:rFonts w:ascii="Times New Roman" w:eastAsia="Times New Roman" w:hAnsi="Times New Roman" w:cs="Times New Roman"/>
                <w:color w:val="000000" w:themeColor="text1"/>
                <w:kern w:val="0"/>
                <w:sz w:val="22"/>
                <w:szCs w:val="22"/>
                <w:lang w:val="en-HK"/>
                <w14:ligatures w14:val="none"/>
              </w:rPr>
              <w:br/>
              <w:t>2) Sing songs that involve action and movement</w:t>
            </w:r>
            <w:r w:rsidRPr="00120257">
              <w:rPr>
                <w:rFonts w:ascii="Times New Roman" w:eastAsia="Times New Roman" w:hAnsi="Times New Roman" w:cs="Times New Roman"/>
                <w:color w:val="000000" w:themeColor="text1"/>
                <w:kern w:val="0"/>
                <w:sz w:val="22"/>
                <w:szCs w:val="22"/>
                <w:lang w:val="en-HK"/>
                <w14:ligatures w14:val="none"/>
              </w:rPr>
              <w:br/>
              <w:t>3) Play with natural materials</w:t>
            </w:r>
          </w:p>
        </w:tc>
        <w:tc>
          <w:tcPr>
            <w:tcW w:w="3969" w:type="dxa"/>
            <w:tcBorders>
              <w:top w:val="nil"/>
              <w:left w:val="nil"/>
              <w:bottom w:val="single" w:sz="4" w:space="0" w:color="auto"/>
              <w:right w:val="single" w:sz="4" w:space="0" w:color="auto"/>
            </w:tcBorders>
            <w:shd w:val="clear" w:color="auto" w:fill="auto"/>
            <w:vAlign w:val="center"/>
            <w:hideMark/>
          </w:tcPr>
          <w:p w14:paraId="25AE66C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The item "Play with puzzles" was removed, as it overlaps with "</w:t>
            </w:r>
            <w:r>
              <w:rPr>
                <w:rFonts w:ascii="Times New Roman" w:eastAsia="Times New Roman" w:hAnsi="Times New Roman" w:cs="Times New Roman"/>
                <w:color w:val="000000" w:themeColor="text1"/>
                <w:kern w:val="0"/>
                <w:sz w:val="22"/>
                <w:szCs w:val="22"/>
                <w:lang w:val="en-HK"/>
                <w14:ligatures w14:val="none"/>
              </w:rPr>
              <w:t>Play</w:t>
            </w:r>
            <w:r w:rsidRPr="00120257">
              <w:rPr>
                <w:rFonts w:ascii="Times New Roman" w:eastAsia="Times New Roman" w:hAnsi="Times New Roman" w:cs="Times New Roman"/>
                <w:color w:val="000000" w:themeColor="text1"/>
                <w:kern w:val="0"/>
                <w:sz w:val="22"/>
                <w:szCs w:val="22"/>
                <w:lang w:val="en-HK"/>
                <w14:ligatures w14:val="none"/>
              </w:rPr>
              <w:t xml:space="preserve"> games that require concentration," which also involves concentration</w:t>
            </w:r>
            <w:r w:rsidRPr="00120257">
              <w:rPr>
                <w:rFonts w:ascii="Times New Roman" w:eastAsia="Times New Roman" w:hAnsi="Times New Roman" w:cs="Times New Roman"/>
                <w:color w:val="000000" w:themeColor="text1"/>
                <w:kern w:val="0"/>
                <w:sz w:val="22"/>
                <w:szCs w:val="22"/>
                <w:lang w:val="en-HK"/>
                <w14:ligatures w14:val="none"/>
              </w:rPr>
              <w:br/>
              <w:t xml:space="preserve">2) "Sing songs that involve action and movement." was removed as it is a component of musical activities </w:t>
            </w:r>
            <w:r w:rsidRPr="00120257">
              <w:rPr>
                <w:rFonts w:ascii="Times New Roman" w:eastAsia="Times New Roman" w:hAnsi="Times New Roman" w:cs="Times New Roman"/>
                <w:color w:val="000000" w:themeColor="text1"/>
                <w:kern w:val="0"/>
                <w:sz w:val="22"/>
                <w:szCs w:val="22"/>
                <w:lang w:val="en-HK"/>
                <w14:ligatures w14:val="none"/>
              </w:rPr>
              <w:br/>
              <w:t>3)  The use of natural materials focuses on the materials themselves, while "Draw pictures or do other art or craft activities" emphasizes the activities, which can also include the use of natural materials.</w:t>
            </w:r>
          </w:p>
        </w:tc>
      </w:tr>
      <w:tr w:rsidR="00ED74CE" w:rsidRPr="00120257" w14:paraId="0E150968"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3C3A6B5B"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 xml:space="preserve">Uncommon in Chinese families (n =2) </w:t>
            </w:r>
          </w:p>
        </w:tc>
        <w:tc>
          <w:tcPr>
            <w:tcW w:w="3022" w:type="dxa"/>
            <w:tcBorders>
              <w:top w:val="nil"/>
              <w:left w:val="nil"/>
              <w:bottom w:val="single" w:sz="4" w:space="0" w:color="auto"/>
              <w:right w:val="single" w:sz="4" w:space="0" w:color="auto"/>
            </w:tcBorders>
            <w:shd w:val="clear" w:color="auto" w:fill="auto"/>
            <w:vAlign w:val="center"/>
            <w:hideMark/>
          </w:tcPr>
          <w:p w14:paraId="2835679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Teach your child to write the English alphabet</w:t>
            </w:r>
            <w:r w:rsidRPr="00120257">
              <w:rPr>
                <w:rFonts w:ascii="Times New Roman" w:eastAsia="Times New Roman" w:hAnsi="Times New Roman" w:cs="Times New Roman"/>
                <w:color w:val="000000" w:themeColor="text1"/>
                <w:kern w:val="0"/>
                <w:sz w:val="22"/>
                <w:szCs w:val="22"/>
                <w:lang w:val="en-HK"/>
                <w14:ligatures w14:val="none"/>
              </w:rPr>
              <w:br/>
              <w:t>2) Teach your child about spatial relationships</w:t>
            </w:r>
          </w:p>
        </w:tc>
        <w:tc>
          <w:tcPr>
            <w:tcW w:w="3969" w:type="dxa"/>
            <w:tcBorders>
              <w:top w:val="nil"/>
              <w:left w:val="nil"/>
              <w:bottom w:val="single" w:sz="4" w:space="0" w:color="auto"/>
              <w:right w:val="single" w:sz="4" w:space="0" w:color="auto"/>
            </w:tcBorders>
            <w:shd w:val="clear" w:color="auto" w:fill="auto"/>
            <w:vAlign w:val="center"/>
            <w:hideMark/>
          </w:tcPr>
          <w:p w14:paraId="23D3C40E"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In Chinese families, it is less common to teach English writing at home, as parents may not have the necessary skills to teach English.</w:t>
            </w:r>
            <w:r w:rsidRPr="00120257">
              <w:rPr>
                <w:rFonts w:ascii="Times New Roman" w:eastAsia="Times New Roman" w:hAnsi="Times New Roman" w:cs="Times New Roman"/>
                <w:color w:val="000000" w:themeColor="text1"/>
                <w:kern w:val="0"/>
                <w:sz w:val="22"/>
                <w:szCs w:val="22"/>
                <w:lang w:val="en-HK"/>
                <w14:ligatures w14:val="none"/>
              </w:rPr>
              <w:br/>
              <w:t xml:space="preserve">2) The concept of spatial relationships is </w:t>
            </w:r>
            <w:r w:rsidRPr="00120257">
              <w:rPr>
                <w:rFonts w:ascii="Times New Roman" w:eastAsia="Times New Roman" w:hAnsi="Times New Roman" w:cs="Times New Roman"/>
                <w:color w:val="000000" w:themeColor="text1"/>
                <w:kern w:val="0"/>
                <w:sz w:val="22"/>
                <w:szCs w:val="22"/>
                <w:lang w:val="en-HK"/>
                <w14:ligatures w14:val="none"/>
              </w:rPr>
              <w:lastRenderedPageBreak/>
              <w:t>too abstract for most Chinese families. Instead, they teach shapes and sizes more often.</w:t>
            </w:r>
          </w:p>
        </w:tc>
      </w:tr>
      <w:tr w:rsidR="00ED74CE" w:rsidRPr="00120257" w14:paraId="7AD6F9CC"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581696B9"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lastRenderedPageBreak/>
              <w:t>Age-inappropriateness (n = 1)</w:t>
            </w:r>
          </w:p>
        </w:tc>
        <w:tc>
          <w:tcPr>
            <w:tcW w:w="3022" w:type="dxa"/>
            <w:tcBorders>
              <w:top w:val="nil"/>
              <w:left w:val="nil"/>
              <w:bottom w:val="single" w:sz="4" w:space="0" w:color="auto"/>
              <w:right w:val="single" w:sz="4" w:space="0" w:color="auto"/>
            </w:tcBorders>
            <w:shd w:val="clear" w:color="auto" w:fill="auto"/>
            <w:vAlign w:val="center"/>
            <w:hideMark/>
          </w:tcPr>
          <w:p w14:paraId="75A11D0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br/>
              <w:t xml:space="preserve">Teach your child to tell time </w:t>
            </w:r>
          </w:p>
        </w:tc>
        <w:tc>
          <w:tcPr>
            <w:tcW w:w="3969" w:type="dxa"/>
            <w:tcBorders>
              <w:top w:val="nil"/>
              <w:left w:val="nil"/>
              <w:bottom w:val="single" w:sz="4" w:space="0" w:color="auto"/>
              <w:right w:val="single" w:sz="4" w:space="0" w:color="auto"/>
            </w:tcBorders>
            <w:shd w:val="clear" w:color="auto" w:fill="auto"/>
            <w:vAlign w:val="center"/>
            <w:hideMark/>
          </w:tcPr>
          <w:p w14:paraId="40E3B65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Teaching children to tell time was considered unnecessary for this age group.</w:t>
            </w:r>
          </w:p>
        </w:tc>
      </w:tr>
      <w:tr w:rsidR="00ED74CE" w:rsidRPr="00120257" w14:paraId="5E9B8B21"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243A114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New items added (n=2)</w:t>
            </w:r>
          </w:p>
        </w:tc>
        <w:tc>
          <w:tcPr>
            <w:tcW w:w="3022" w:type="dxa"/>
            <w:tcBorders>
              <w:top w:val="nil"/>
              <w:left w:val="nil"/>
              <w:bottom w:val="single" w:sz="4" w:space="0" w:color="auto"/>
              <w:right w:val="single" w:sz="4" w:space="0" w:color="auto"/>
            </w:tcBorders>
            <w:shd w:val="clear" w:color="auto" w:fill="auto"/>
            <w:vAlign w:val="center"/>
            <w:hideMark/>
          </w:tcPr>
          <w:p w14:paraId="62B5A88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Items were split to differentiate between academic and non-academic extracurricular activities.</w:t>
            </w:r>
            <w:r w:rsidRPr="00120257">
              <w:rPr>
                <w:rFonts w:ascii="Times New Roman" w:eastAsia="Times New Roman" w:hAnsi="Times New Roman" w:cs="Times New Roman"/>
                <w:color w:val="000000" w:themeColor="text1"/>
                <w:kern w:val="0"/>
                <w:sz w:val="22"/>
                <w:szCs w:val="22"/>
                <w:lang w:val="en-HK"/>
                <w14:ligatures w14:val="none"/>
              </w:rPr>
              <w:br/>
              <w:t>2) Visiting a library with the child was added based on suggestions from two experts.</w:t>
            </w:r>
          </w:p>
        </w:tc>
        <w:tc>
          <w:tcPr>
            <w:tcW w:w="3969" w:type="dxa"/>
            <w:tcBorders>
              <w:top w:val="nil"/>
              <w:left w:val="nil"/>
              <w:bottom w:val="single" w:sz="4" w:space="0" w:color="auto"/>
              <w:right w:val="single" w:sz="4" w:space="0" w:color="auto"/>
            </w:tcBorders>
            <w:shd w:val="clear" w:color="auto" w:fill="auto"/>
            <w:vAlign w:val="center"/>
            <w:hideMark/>
          </w:tcPr>
          <w:p w14:paraId="6E0F5E24"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r>
      <w:tr w:rsidR="00ED74CE" w:rsidRPr="00120257" w14:paraId="480CFD7E" w14:textId="77777777" w:rsidTr="005E4B11">
        <w:trPr>
          <w:trHeight w:val="283"/>
        </w:trPr>
        <w:tc>
          <w:tcPr>
            <w:tcW w:w="9067" w:type="dxa"/>
            <w:gridSpan w:val="3"/>
            <w:tcBorders>
              <w:top w:val="nil"/>
              <w:left w:val="single" w:sz="4" w:space="0" w:color="auto"/>
              <w:bottom w:val="single" w:sz="4" w:space="0" w:color="auto"/>
              <w:right w:val="single" w:sz="4" w:space="0" w:color="auto"/>
            </w:tcBorders>
            <w:shd w:val="clear" w:color="auto" w:fill="auto"/>
            <w:vAlign w:val="center"/>
            <w:hideMark/>
          </w:tcPr>
          <w:p w14:paraId="10355B2A"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Quality of Learning Activities (26 items)</w:t>
            </w:r>
          </w:p>
          <w:p w14:paraId="69F71C7E"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p>
        </w:tc>
      </w:tr>
      <w:tr w:rsidR="00ED74CE" w:rsidRPr="00120257" w14:paraId="2DA3389F"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35659DF2"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Reason for Item Exclusion</w:t>
            </w:r>
          </w:p>
        </w:tc>
        <w:tc>
          <w:tcPr>
            <w:tcW w:w="3022" w:type="dxa"/>
            <w:tcBorders>
              <w:top w:val="nil"/>
              <w:left w:val="nil"/>
              <w:bottom w:val="single" w:sz="4" w:space="0" w:color="auto"/>
              <w:right w:val="single" w:sz="4" w:space="0" w:color="auto"/>
            </w:tcBorders>
            <w:shd w:val="clear" w:color="auto" w:fill="auto"/>
            <w:vAlign w:val="center"/>
            <w:hideMark/>
          </w:tcPr>
          <w:p w14:paraId="16691838"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Original Item</w:t>
            </w:r>
          </w:p>
        </w:tc>
        <w:tc>
          <w:tcPr>
            <w:tcW w:w="3969" w:type="dxa"/>
            <w:tcBorders>
              <w:top w:val="nil"/>
              <w:left w:val="nil"/>
              <w:bottom w:val="single" w:sz="4" w:space="0" w:color="auto"/>
              <w:right w:val="single" w:sz="4" w:space="0" w:color="auto"/>
            </w:tcBorders>
            <w:shd w:val="clear" w:color="auto" w:fill="auto"/>
            <w:vAlign w:val="center"/>
            <w:hideMark/>
          </w:tcPr>
          <w:p w14:paraId="58D2E4E0"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Rationale for Decision</w:t>
            </w:r>
          </w:p>
        </w:tc>
      </w:tr>
      <w:tr w:rsidR="00ED74CE" w:rsidRPr="00120257" w14:paraId="74200320"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69BFFE0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Unlikely to be observed during interactions (n = 4)</w:t>
            </w:r>
          </w:p>
        </w:tc>
        <w:tc>
          <w:tcPr>
            <w:tcW w:w="3022" w:type="dxa"/>
            <w:tcBorders>
              <w:top w:val="nil"/>
              <w:left w:val="nil"/>
              <w:bottom w:val="single" w:sz="4" w:space="0" w:color="auto"/>
              <w:right w:val="single" w:sz="4" w:space="0" w:color="auto"/>
            </w:tcBorders>
            <w:shd w:val="clear" w:color="auto" w:fill="auto"/>
            <w:vAlign w:val="center"/>
            <w:hideMark/>
          </w:tcPr>
          <w:p w14:paraId="058163AF"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Demonstrates warmth when interacting with the child</w:t>
            </w:r>
            <w:r w:rsidRPr="00120257">
              <w:rPr>
                <w:rFonts w:ascii="Times New Roman" w:eastAsia="Times New Roman" w:hAnsi="Times New Roman" w:cs="Times New Roman"/>
                <w:color w:val="000000" w:themeColor="text1"/>
                <w:kern w:val="0"/>
                <w:sz w:val="22"/>
                <w:szCs w:val="22"/>
                <w:lang w:val="en-HK"/>
                <w14:ligatures w14:val="none"/>
              </w:rPr>
              <w:br/>
              <w:t>2) Is engaged in interacting with the child</w:t>
            </w:r>
            <w:r w:rsidRPr="00120257">
              <w:rPr>
                <w:rFonts w:ascii="Times New Roman" w:eastAsia="Times New Roman" w:hAnsi="Times New Roman" w:cs="Times New Roman"/>
                <w:color w:val="000000" w:themeColor="text1"/>
                <w:kern w:val="0"/>
                <w:sz w:val="22"/>
                <w:szCs w:val="22"/>
                <w:lang w:val="en-HK"/>
                <w14:ligatures w14:val="none"/>
              </w:rPr>
              <w:br/>
              <w:t>3) Is flexible about the child's change of activities or interests</w:t>
            </w:r>
            <w:r w:rsidRPr="00120257">
              <w:rPr>
                <w:rFonts w:ascii="Times New Roman" w:eastAsia="Times New Roman" w:hAnsi="Times New Roman" w:cs="Times New Roman"/>
                <w:color w:val="000000" w:themeColor="text1"/>
                <w:kern w:val="0"/>
                <w:sz w:val="22"/>
                <w:szCs w:val="22"/>
                <w:lang w:val="en-HK"/>
                <w14:ligatures w14:val="none"/>
              </w:rPr>
              <w:br/>
              <w:t>4) Shows awareness of and reads the child's verbal and nonverbal cues and signals</w:t>
            </w:r>
          </w:p>
        </w:tc>
        <w:tc>
          <w:tcPr>
            <w:tcW w:w="3969" w:type="dxa"/>
            <w:tcBorders>
              <w:top w:val="nil"/>
              <w:left w:val="nil"/>
              <w:bottom w:val="single" w:sz="4" w:space="0" w:color="auto"/>
              <w:right w:val="single" w:sz="4" w:space="0" w:color="auto"/>
            </w:tcBorders>
            <w:shd w:val="clear" w:color="auto" w:fill="auto"/>
            <w:vAlign w:val="center"/>
            <w:hideMark/>
          </w:tcPr>
          <w:p w14:paraId="4FD9DDD5"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1) "Demonstrates warmth" is too general and not a specific </w:t>
            </w:r>
            <w:proofErr w:type="spellStart"/>
            <w:r w:rsidRPr="00120257">
              <w:rPr>
                <w:rFonts w:ascii="Times New Roman" w:eastAsia="Times New Roman" w:hAnsi="Times New Roman" w:cs="Times New Roman"/>
                <w:color w:val="000000" w:themeColor="text1"/>
                <w:kern w:val="0"/>
                <w:sz w:val="22"/>
                <w:szCs w:val="22"/>
                <w:lang w:val="en-HK"/>
                <w14:ligatures w14:val="none"/>
              </w:rPr>
              <w:t>behavior</w:t>
            </w:r>
            <w:proofErr w:type="spellEnd"/>
            <w:r w:rsidRPr="00120257">
              <w:rPr>
                <w:rFonts w:ascii="Times New Roman" w:eastAsia="Times New Roman" w:hAnsi="Times New Roman" w:cs="Times New Roman"/>
                <w:color w:val="000000" w:themeColor="text1"/>
                <w:kern w:val="0"/>
                <w:sz w:val="22"/>
                <w:szCs w:val="22"/>
                <w:lang w:val="en-HK"/>
                <w14:ligatures w14:val="none"/>
              </w:rPr>
              <w:t xml:space="preserve"> to observe. This item is also redundant with other items like positive facial expressions and displaying emotional warmth.</w:t>
            </w:r>
            <w:r w:rsidRPr="00120257">
              <w:rPr>
                <w:rFonts w:ascii="Times New Roman" w:eastAsia="Times New Roman" w:hAnsi="Times New Roman" w:cs="Times New Roman"/>
                <w:color w:val="000000" w:themeColor="text1"/>
                <w:kern w:val="0"/>
                <w:sz w:val="22"/>
                <w:szCs w:val="22"/>
                <w:lang w:val="en-HK"/>
                <w14:ligatures w14:val="none"/>
              </w:rPr>
              <w:br/>
              <w:t xml:space="preserve">2) "Engaged" is not a specific </w:t>
            </w:r>
            <w:proofErr w:type="spellStart"/>
            <w:r w:rsidRPr="00120257">
              <w:rPr>
                <w:rFonts w:ascii="Times New Roman" w:eastAsia="Times New Roman" w:hAnsi="Times New Roman" w:cs="Times New Roman"/>
                <w:color w:val="000000" w:themeColor="text1"/>
                <w:kern w:val="0"/>
                <w:sz w:val="22"/>
                <w:szCs w:val="22"/>
                <w:lang w:val="en-HK"/>
                <w14:ligatures w14:val="none"/>
              </w:rPr>
              <w:t>behavior</w:t>
            </w:r>
            <w:proofErr w:type="spellEnd"/>
            <w:r w:rsidRPr="00120257">
              <w:rPr>
                <w:rFonts w:ascii="Times New Roman" w:eastAsia="Times New Roman" w:hAnsi="Times New Roman" w:cs="Times New Roman"/>
                <w:color w:val="000000" w:themeColor="text1"/>
                <w:kern w:val="0"/>
                <w:sz w:val="22"/>
                <w:szCs w:val="22"/>
                <w:lang w:val="en-HK"/>
                <w14:ligatures w14:val="none"/>
              </w:rPr>
              <w:t xml:space="preserve"> and may be difficult to observe.</w:t>
            </w:r>
            <w:r w:rsidRPr="00120257">
              <w:rPr>
                <w:rFonts w:ascii="Times New Roman" w:eastAsia="Times New Roman" w:hAnsi="Times New Roman" w:cs="Times New Roman"/>
                <w:color w:val="000000" w:themeColor="text1"/>
                <w:kern w:val="0"/>
                <w:sz w:val="22"/>
                <w:szCs w:val="22"/>
                <w:lang w:val="en-HK"/>
                <w14:ligatures w14:val="none"/>
              </w:rPr>
              <w:br/>
              <w:t xml:space="preserve">3) "Flexibility" is not a specific </w:t>
            </w:r>
            <w:proofErr w:type="spellStart"/>
            <w:r w:rsidRPr="00120257">
              <w:rPr>
                <w:rFonts w:ascii="Times New Roman" w:eastAsia="Times New Roman" w:hAnsi="Times New Roman" w:cs="Times New Roman"/>
                <w:color w:val="000000" w:themeColor="text1"/>
                <w:kern w:val="0"/>
                <w:sz w:val="22"/>
                <w:szCs w:val="22"/>
                <w:lang w:val="en-HK"/>
                <w14:ligatures w14:val="none"/>
              </w:rPr>
              <w:t>behavior</w:t>
            </w:r>
            <w:proofErr w:type="spellEnd"/>
            <w:r w:rsidRPr="00120257">
              <w:rPr>
                <w:rFonts w:ascii="Times New Roman" w:eastAsia="Times New Roman" w:hAnsi="Times New Roman" w:cs="Times New Roman"/>
                <w:color w:val="000000" w:themeColor="text1"/>
                <w:kern w:val="0"/>
                <w:sz w:val="22"/>
                <w:szCs w:val="22"/>
                <w:lang w:val="en-HK"/>
                <w14:ligatures w14:val="none"/>
              </w:rPr>
              <w:t xml:space="preserve"> and may be difficult to observe.</w:t>
            </w:r>
            <w:r w:rsidRPr="00120257">
              <w:rPr>
                <w:rFonts w:ascii="Times New Roman" w:eastAsia="Times New Roman" w:hAnsi="Times New Roman" w:cs="Times New Roman"/>
                <w:color w:val="000000" w:themeColor="text1"/>
                <w:kern w:val="0"/>
                <w:sz w:val="22"/>
                <w:szCs w:val="22"/>
                <w:lang w:val="en-HK"/>
                <w14:ligatures w14:val="none"/>
              </w:rPr>
              <w:br/>
              <w:t>4) It is difficult to observe "awareness," and it would be more useful to assess whether caregivers react appropriately.</w:t>
            </w:r>
          </w:p>
        </w:tc>
      </w:tr>
      <w:tr w:rsidR="00ED74CE" w:rsidRPr="00120257" w14:paraId="223BEFCF"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0B24DF29"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Overlap of items (n = 3)</w:t>
            </w:r>
          </w:p>
        </w:tc>
        <w:tc>
          <w:tcPr>
            <w:tcW w:w="3022" w:type="dxa"/>
            <w:tcBorders>
              <w:top w:val="nil"/>
              <w:left w:val="nil"/>
              <w:bottom w:val="single" w:sz="4" w:space="0" w:color="auto"/>
              <w:right w:val="single" w:sz="4" w:space="0" w:color="auto"/>
            </w:tcBorders>
            <w:shd w:val="clear" w:color="auto" w:fill="auto"/>
            <w:vAlign w:val="center"/>
            <w:hideMark/>
          </w:tcPr>
          <w:p w14:paraId="2091D70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Displays emotional warmth</w:t>
            </w:r>
            <w:r w:rsidRPr="00120257">
              <w:rPr>
                <w:rFonts w:ascii="Times New Roman" w:eastAsia="Times New Roman" w:hAnsi="Times New Roman" w:cs="Times New Roman"/>
                <w:color w:val="000000" w:themeColor="text1"/>
                <w:kern w:val="0"/>
                <w:sz w:val="22"/>
                <w:szCs w:val="22"/>
                <w:lang w:val="en-HK"/>
                <w14:ligatures w14:val="none"/>
              </w:rPr>
              <w:br/>
              <w:t>2) Follows what the child is trying to do</w:t>
            </w:r>
            <w:r w:rsidRPr="00120257">
              <w:rPr>
                <w:rFonts w:ascii="Times New Roman" w:eastAsia="Times New Roman" w:hAnsi="Times New Roman" w:cs="Times New Roman"/>
                <w:color w:val="000000" w:themeColor="text1"/>
                <w:kern w:val="0"/>
                <w:sz w:val="22"/>
                <w:szCs w:val="22"/>
                <w:lang w:val="en-HK"/>
                <w14:ligatures w14:val="none"/>
              </w:rPr>
              <w:br/>
              <w:t xml:space="preserve">3) Responds appropriately to the child's cues and signals, interests, and overt </w:t>
            </w:r>
            <w:proofErr w:type="spellStart"/>
            <w:r w:rsidRPr="00120257">
              <w:rPr>
                <w:rFonts w:ascii="Times New Roman" w:eastAsia="Times New Roman" w:hAnsi="Times New Roman" w:cs="Times New Roman"/>
                <w:color w:val="000000" w:themeColor="text1"/>
                <w:kern w:val="0"/>
                <w:sz w:val="22"/>
                <w:szCs w:val="22"/>
                <w:lang w:val="en-HK"/>
                <w14:ligatures w14:val="none"/>
              </w:rPr>
              <w:t>behaviors</w:t>
            </w:r>
            <w:proofErr w:type="spellEnd"/>
          </w:p>
        </w:tc>
        <w:tc>
          <w:tcPr>
            <w:tcW w:w="3969" w:type="dxa"/>
            <w:tcBorders>
              <w:top w:val="nil"/>
              <w:left w:val="nil"/>
              <w:bottom w:val="single" w:sz="4" w:space="0" w:color="auto"/>
              <w:right w:val="single" w:sz="4" w:space="0" w:color="auto"/>
            </w:tcBorders>
            <w:shd w:val="clear" w:color="auto" w:fill="auto"/>
            <w:vAlign w:val="center"/>
            <w:hideMark/>
          </w:tcPr>
          <w:p w14:paraId="15F2E4B0"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Since "warmth" is less observable, we retained "Shows positive facial expressions" to capture this concept.</w:t>
            </w:r>
            <w:r w:rsidRPr="00120257">
              <w:rPr>
                <w:rFonts w:ascii="Times New Roman" w:eastAsia="Times New Roman" w:hAnsi="Times New Roman" w:cs="Times New Roman"/>
                <w:color w:val="000000" w:themeColor="text1"/>
                <w:kern w:val="0"/>
                <w:sz w:val="22"/>
                <w:szCs w:val="22"/>
                <w:lang w:val="en-HK"/>
                <w14:ligatures w14:val="none"/>
              </w:rPr>
              <w:br/>
              <w:t>2) "Pays attention to what the child is doing" and "Follows what the child is trying to do" are highly related. Observing "trying to do" is difficult, so it was removed.</w:t>
            </w:r>
            <w:r w:rsidRPr="00120257">
              <w:rPr>
                <w:rFonts w:ascii="Times New Roman" w:eastAsia="Times New Roman" w:hAnsi="Times New Roman" w:cs="Times New Roman"/>
                <w:color w:val="000000" w:themeColor="text1"/>
                <w:kern w:val="0"/>
                <w:sz w:val="22"/>
                <w:szCs w:val="22"/>
                <w:lang w:val="en-HK"/>
                <w14:ligatures w14:val="none"/>
              </w:rPr>
              <w:br/>
              <w:t>3) "Responds appropriately to the child's cues and signals" overlaps with other items that assess responding to words and emotions, so this was removed for clarity.</w:t>
            </w:r>
          </w:p>
        </w:tc>
      </w:tr>
      <w:tr w:rsidR="00ED74CE" w:rsidRPr="00120257" w14:paraId="25F8FB70"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706B90B1"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Not applicable to the task (n = 2)</w:t>
            </w:r>
          </w:p>
        </w:tc>
        <w:tc>
          <w:tcPr>
            <w:tcW w:w="3022" w:type="dxa"/>
            <w:tcBorders>
              <w:top w:val="nil"/>
              <w:left w:val="nil"/>
              <w:bottom w:val="single" w:sz="4" w:space="0" w:color="auto"/>
              <w:right w:val="single" w:sz="4" w:space="0" w:color="auto"/>
            </w:tcBorders>
            <w:shd w:val="clear" w:color="auto" w:fill="auto"/>
            <w:vAlign w:val="center"/>
            <w:hideMark/>
          </w:tcPr>
          <w:p w14:paraId="699AD4DA"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Does activities in a sequence of steps</w:t>
            </w:r>
            <w:r w:rsidRPr="00120257">
              <w:rPr>
                <w:rFonts w:ascii="Times New Roman" w:eastAsia="Times New Roman" w:hAnsi="Times New Roman" w:cs="Times New Roman"/>
                <w:color w:val="000000" w:themeColor="text1"/>
                <w:kern w:val="0"/>
                <w:sz w:val="22"/>
                <w:szCs w:val="22"/>
                <w:lang w:val="en-HK"/>
                <w14:ligatures w14:val="none"/>
              </w:rPr>
              <w:br/>
              <w:t>2) Follows the rules in a way that is sensitive to the child's needs and desires</w:t>
            </w:r>
          </w:p>
        </w:tc>
        <w:tc>
          <w:tcPr>
            <w:tcW w:w="3969" w:type="dxa"/>
            <w:tcBorders>
              <w:top w:val="nil"/>
              <w:left w:val="nil"/>
              <w:bottom w:val="single" w:sz="4" w:space="0" w:color="auto"/>
              <w:right w:val="single" w:sz="4" w:space="0" w:color="auto"/>
            </w:tcBorders>
            <w:shd w:val="clear" w:color="auto" w:fill="auto"/>
            <w:vAlign w:val="center"/>
            <w:hideMark/>
          </w:tcPr>
          <w:p w14:paraId="73E4A774"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The steps for making the paper boat in the observation task are just for reference. Parents and children are not required to complete the activity in a specific sequence of steps.</w:t>
            </w:r>
            <w:r w:rsidRPr="00120257">
              <w:rPr>
                <w:rFonts w:ascii="Times New Roman" w:eastAsia="Times New Roman" w:hAnsi="Times New Roman" w:cs="Times New Roman"/>
                <w:color w:val="000000" w:themeColor="text1"/>
                <w:kern w:val="0"/>
                <w:sz w:val="22"/>
                <w:szCs w:val="22"/>
                <w:lang w:val="en-HK"/>
                <w14:ligatures w14:val="none"/>
              </w:rPr>
              <w:br/>
              <w:t>2) There are no strict rules in the free play or paper folding games. The goal is simply to make a paper boat, so this item is not applicable to these tasks.</w:t>
            </w:r>
          </w:p>
        </w:tc>
      </w:tr>
      <w:tr w:rsidR="00ED74CE" w:rsidRPr="00120257" w14:paraId="3BDD8A5A" w14:textId="77777777" w:rsidTr="005E4B11">
        <w:trPr>
          <w:trHeight w:val="283"/>
        </w:trPr>
        <w:tc>
          <w:tcPr>
            <w:tcW w:w="2076" w:type="dxa"/>
            <w:tcBorders>
              <w:top w:val="nil"/>
              <w:left w:val="nil"/>
              <w:bottom w:val="nil"/>
              <w:right w:val="nil"/>
            </w:tcBorders>
            <w:shd w:val="clear" w:color="auto" w:fill="auto"/>
            <w:vAlign w:val="center"/>
            <w:hideMark/>
          </w:tcPr>
          <w:p w14:paraId="5BD2B98C"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c>
          <w:tcPr>
            <w:tcW w:w="3022" w:type="dxa"/>
            <w:tcBorders>
              <w:top w:val="nil"/>
              <w:left w:val="nil"/>
              <w:bottom w:val="nil"/>
              <w:right w:val="nil"/>
            </w:tcBorders>
            <w:shd w:val="clear" w:color="auto" w:fill="auto"/>
            <w:vAlign w:val="center"/>
            <w:hideMark/>
          </w:tcPr>
          <w:p w14:paraId="3E252319"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c>
          <w:tcPr>
            <w:tcW w:w="3969" w:type="dxa"/>
            <w:tcBorders>
              <w:top w:val="nil"/>
              <w:left w:val="nil"/>
              <w:bottom w:val="nil"/>
              <w:right w:val="nil"/>
            </w:tcBorders>
            <w:shd w:val="clear" w:color="auto" w:fill="auto"/>
            <w:vAlign w:val="center"/>
            <w:hideMark/>
          </w:tcPr>
          <w:p w14:paraId="31C05DDC"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r>
      <w:tr w:rsidR="00ED74CE" w:rsidRPr="00120257" w14:paraId="625570EC"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178D6"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Round 2</w:t>
            </w:r>
          </w:p>
        </w:tc>
      </w:tr>
      <w:tr w:rsidR="00ED74CE" w:rsidRPr="00120257" w14:paraId="7FCBDF15"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2D9FD02"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Availability of Learning Resources (12 items)</w:t>
            </w:r>
          </w:p>
        </w:tc>
      </w:tr>
      <w:tr w:rsidR="00ED74CE" w:rsidRPr="00120257" w14:paraId="60C107C5"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4B3A3306"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Reason for Item Exclusion</w:t>
            </w:r>
          </w:p>
        </w:tc>
        <w:tc>
          <w:tcPr>
            <w:tcW w:w="3022" w:type="dxa"/>
            <w:tcBorders>
              <w:top w:val="nil"/>
              <w:left w:val="nil"/>
              <w:bottom w:val="single" w:sz="4" w:space="0" w:color="auto"/>
              <w:right w:val="single" w:sz="4" w:space="0" w:color="auto"/>
            </w:tcBorders>
            <w:shd w:val="clear" w:color="auto" w:fill="auto"/>
            <w:vAlign w:val="center"/>
            <w:hideMark/>
          </w:tcPr>
          <w:p w14:paraId="12C44A78"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Original Item</w:t>
            </w:r>
          </w:p>
        </w:tc>
        <w:tc>
          <w:tcPr>
            <w:tcW w:w="3969" w:type="dxa"/>
            <w:tcBorders>
              <w:top w:val="nil"/>
              <w:left w:val="nil"/>
              <w:bottom w:val="single" w:sz="4" w:space="0" w:color="auto"/>
              <w:right w:val="single" w:sz="4" w:space="0" w:color="auto"/>
            </w:tcBorders>
            <w:shd w:val="clear" w:color="auto" w:fill="auto"/>
            <w:vAlign w:val="center"/>
            <w:hideMark/>
          </w:tcPr>
          <w:p w14:paraId="0F69968B"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Rationale for Decision</w:t>
            </w:r>
          </w:p>
        </w:tc>
      </w:tr>
      <w:tr w:rsidR="00ED74CE" w:rsidRPr="00120257" w14:paraId="7A058ED6"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6853F006"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lastRenderedPageBreak/>
              <w:t>Limited relevance to cognitive development (n = 3)</w:t>
            </w:r>
          </w:p>
        </w:tc>
        <w:tc>
          <w:tcPr>
            <w:tcW w:w="3022" w:type="dxa"/>
            <w:tcBorders>
              <w:top w:val="nil"/>
              <w:left w:val="nil"/>
              <w:bottom w:val="single" w:sz="4" w:space="0" w:color="auto"/>
              <w:right w:val="single" w:sz="4" w:space="0" w:color="auto"/>
            </w:tcBorders>
            <w:shd w:val="clear" w:color="auto" w:fill="auto"/>
            <w:vAlign w:val="center"/>
            <w:hideMark/>
          </w:tcPr>
          <w:p w14:paraId="772BFFC0"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1) Use </w:t>
            </w:r>
            <w:r>
              <w:rPr>
                <w:rFonts w:ascii="Times New Roman" w:eastAsia="Times New Roman" w:hAnsi="Times New Roman" w:cs="Times New Roman"/>
                <w:color w:val="000000" w:themeColor="text1"/>
                <w:kern w:val="0"/>
                <w:sz w:val="22"/>
                <w:szCs w:val="22"/>
                <w:lang w:val="en-HK"/>
                <w14:ligatures w14:val="none"/>
              </w:rPr>
              <w:t xml:space="preserve">the </w:t>
            </w:r>
            <w:r>
              <w:rPr>
                <w:rFonts w:ascii="Times New Roman" w:eastAsia="Times New Roman" w:hAnsi="Times New Roman" w:cs="Times New Roman" w:hint="eastAsia"/>
                <w:color w:val="000000" w:themeColor="text1"/>
                <w:kern w:val="0"/>
                <w:sz w:val="22"/>
                <w:szCs w:val="22"/>
                <w:lang w:val="en-HK"/>
                <w14:ligatures w14:val="none"/>
              </w:rPr>
              <w:t>I</w:t>
            </w:r>
            <w:r w:rsidRPr="00120257">
              <w:rPr>
                <w:rFonts w:ascii="Times New Roman" w:eastAsia="Times New Roman" w:hAnsi="Times New Roman" w:cs="Times New Roman"/>
                <w:color w:val="000000" w:themeColor="text1"/>
                <w:kern w:val="0"/>
                <w:sz w:val="22"/>
                <w:szCs w:val="22"/>
                <w:lang w:val="en-HK"/>
                <w14:ligatures w14:val="none"/>
              </w:rPr>
              <w:t xml:space="preserve">nternet to enrich learning </w:t>
            </w:r>
            <w:r w:rsidRPr="00120257">
              <w:rPr>
                <w:rFonts w:ascii="Times New Roman" w:eastAsia="Times New Roman" w:hAnsi="Times New Roman" w:cs="Times New Roman"/>
                <w:color w:val="000000" w:themeColor="text1"/>
                <w:kern w:val="0"/>
                <w:sz w:val="22"/>
                <w:szCs w:val="22"/>
                <w:lang w:val="en-HK"/>
                <w14:ligatures w14:val="none"/>
              </w:rPr>
              <w:br/>
              <w:t>2) Use large-screen digital devices to enrich learning</w:t>
            </w:r>
            <w:r w:rsidRPr="00120257">
              <w:rPr>
                <w:rFonts w:ascii="Times New Roman" w:eastAsia="Times New Roman" w:hAnsi="Times New Roman" w:cs="Times New Roman"/>
                <w:color w:val="000000" w:themeColor="text1"/>
                <w:kern w:val="0"/>
                <w:sz w:val="22"/>
                <w:szCs w:val="22"/>
                <w:lang w:val="en-HK"/>
                <w14:ligatures w14:val="none"/>
              </w:rPr>
              <w:br/>
              <w:t xml:space="preserve">3) Use smartphones to enrich learning </w:t>
            </w:r>
          </w:p>
        </w:tc>
        <w:tc>
          <w:tcPr>
            <w:tcW w:w="3969" w:type="dxa"/>
            <w:tcBorders>
              <w:top w:val="nil"/>
              <w:left w:val="nil"/>
              <w:bottom w:val="single" w:sz="4" w:space="0" w:color="auto"/>
              <w:right w:val="single" w:sz="4" w:space="0" w:color="auto"/>
            </w:tcBorders>
            <w:shd w:val="clear" w:color="auto" w:fill="auto"/>
            <w:vAlign w:val="center"/>
            <w:hideMark/>
          </w:tcPr>
          <w:p w14:paraId="6DFF6654"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1)-3) The relation between the use of different digital devices and cognitive development was unclear. Regardless of the medium, how the adult uses the digital device is much more important.</w:t>
            </w:r>
          </w:p>
        </w:tc>
      </w:tr>
      <w:tr w:rsidR="00ED74CE" w:rsidRPr="00120257" w14:paraId="1952E344"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42459E5B"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Overlap of items (n = 1)</w:t>
            </w:r>
          </w:p>
        </w:tc>
        <w:tc>
          <w:tcPr>
            <w:tcW w:w="3022" w:type="dxa"/>
            <w:tcBorders>
              <w:top w:val="nil"/>
              <w:left w:val="nil"/>
              <w:bottom w:val="single" w:sz="4" w:space="0" w:color="auto"/>
              <w:right w:val="single" w:sz="4" w:space="0" w:color="auto"/>
            </w:tcBorders>
            <w:shd w:val="clear" w:color="auto" w:fill="auto"/>
            <w:vAlign w:val="center"/>
            <w:hideMark/>
          </w:tcPr>
          <w:p w14:paraId="03D8D13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Hours spend participating in screen time  </w:t>
            </w:r>
          </w:p>
        </w:tc>
        <w:tc>
          <w:tcPr>
            <w:tcW w:w="3969" w:type="dxa"/>
            <w:tcBorders>
              <w:top w:val="nil"/>
              <w:left w:val="nil"/>
              <w:bottom w:val="single" w:sz="4" w:space="0" w:color="auto"/>
              <w:right w:val="single" w:sz="4" w:space="0" w:color="auto"/>
            </w:tcBorders>
            <w:shd w:val="clear" w:color="auto" w:fill="auto"/>
            <w:vAlign w:val="center"/>
            <w:hideMark/>
          </w:tcPr>
          <w:p w14:paraId="2FDF01C0"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Due to the mixed effects of digital device use on child development, "time spent participating in screen time" was too broad to accurately estimate its impact. "Time spent participating in educational screen time" is more focused, so it was retained.</w:t>
            </w:r>
          </w:p>
        </w:tc>
      </w:tr>
      <w:tr w:rsidR="00ED74CE" w:rsidRPr="00120257" w14:paraId="4B298B63"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E56A3E"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Frequency of Learning Activities (26 items)</w:t>
            </w:r>
          </w:p>
        </w:tc>
      </w:tr>
      <w:tr w:rsidR="00ED74CE" w:rsidRPr="00120257" w14:paraId="1F35AECA"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13D53E04"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Reason for Item Exclusion</w:t>
            </w:r>
          </w:p>
        </w:tc>
        <w:tc>
          <w:tcPr>
            <w:tcW w:w="3022" w:type="dxa"/>
            <w:tcBorders>
              <w:top w:val="nil"/>
              <w:left w:val="nil"/>
              <w:bottom w:val="single" w:sz="4" w:space="0" w:color="auto"/>
              <w:right w:val="single" w:sz="4" w:space="0" w:color="auto"/>
            </w:tcBorders>
            <w:shd w:val="clear" w:color="auto" w:fill="auto"/>
            <w:vAlign w:val="center"/>
            <w:hideMark/>
          </w:tcPr>
          <w:p w14:paraId="76B8EC40"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Original Item</w:t>
            </w:r>
          </w:p>
        </w:tc>
        <w:tc>
          <w:tcPr>
            <w:tcW w:w="3969" w:type="dxa"/>
            <w:tcBorders>
              <w:top w:val="nil"/>
              <w:left w:val="nil"/>
              <w:bottom w:val="single" w:sz="4" w:space="0" w:color="auto"/>
              <w:right w:val="single" w:sz="4" w:space="0" w:color="auto"/>
            </w:tcBorders>
            <w:shd w:val="clear" w:color="auto" w:fill="auto"/>
            <w:vAlign w:val="center"/>
            <w:hideMark/>
          </w:tcPr>
          <w:p w14:paraId="2F4C5A6C"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Rationale for Decision</w:t>
            </w:r>
          </w:p>
        </w:tc>
      </w:tr>
      <w:tr w:rsidR="00ED74CE" w:rsidRPr="00120257" w14:paraId="2E4CB5B2"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697F2EC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Did not achieve consensus among experts (n = 2)</w:t>
            </w:r>
          </w:p>
        </w:tc>
        <w:tc>
          <w:tcPr>
            <w:tcW w:w="3022" w:type="dxa"/>
            <w:tcBorders>
              <w:top w:val="nil"/>
              <w:left w:val="nil"/>
              <w:bottom w:val="single" w:sz="4" w:space="0" w:color="auto"/>
              <w:right w:val="single" w:sz="4" w:space="0" w:color="auto"/>
            </w:tcBorders>
            <w:shd w:val="clear" w:color="auto" w:fill="auto"/>
            <w:vAlign w:val="center"/>
            <w:hideMark/>
          </w:tcPr>
          <w:p w14:paraId="4F329FB9"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Teach the child to perform literacy and math exercises in workbooks</w:t>
            </w:r>
            <w:r w:rsidRPr="00120257">
              <w:rPr>
                <w:rFonts w:ascii="Times New Roman" w:eastAsia="Times New Roman" w:hAnsi="Times New Roman" w:cs="Times New Roman"/>
                <w:color w:val="000000" w:themeColor="text1"/>
                <w:kern w:val="0"/>
                <w:sz w:val="22"/>
                <w:szCs w:val="22"/>
                <w:lang w:val="en-HK"/>
                <w14:ligatures w14:val="none"/>
              </w:rPr>
              <w:br/>
              <w:t>2) Visit a library with the child</w:t>
            </w:r>
          </w:p>
        </w:tc>
        <w:tc>
          <w:tcPr>
            <w:tcW w:w="3969" w:type="dxa"/>
            <w:tcBorders>
              <w:top w:val="nil"/>
              <w:left w:val="nil"/>
              <w:bottom w:val="single" w:sz="4" w:space="0" w:color="auto"/>
              <w:right w:val="single" w:sz="4" w:space="0" w:color="auto"/>
            </w:tcBorders>
            <w:shd w:val="clear" w:color="auto" w:fill="auto"/>
            <w:vAlign w:val="center"/>
            <w:hideMark/>
          </w:tcPr>
          <w:p w14:paraId="642659B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1) The content of what the caregiver teaches is more important than the medium (workbooks) used.</w:t>
            </w:r>
            <w:r w:rsidRPr="00120257">
              <w:rPr>
                <w:rFonts w:ascii="Times New Roman" w:eastAsia="Times New Roman" w:hAnsi="Times New Roman" w:cs="Times New Roman"/>
                <w:color w:val="000000" w:themeColor="text1"/>
                <w:kern w:val="0"/>
                <w:sz w:val="22"/>
                <w:szCs w:val="22"/>
                <w:lang w:val="en-HK"/>
                <w14:ligatures w14:val="none"/>
              </w:rPr>
              <w:br/>
              <w:t>2) Visiting a library may depend on regional resources.</w:t>
            </w:r>
          </w:p>
        </w:tc>
      </w:tr>
      <w:tr w:rsidR="00ED74CE" w:rsidRPr="00120257" w14:paraId="7C889B92" w14:textId="77777777" w:rsidTr="005E4B11">
        <w:trPr>
          <w:trHeight w:val="283"/>
        </w:trPr>
        <w:tc>
          <w:tcPr>
            <w:tcW w:w="9067" w:type="dxa"/>
            <w:gridSpan w:val="3"/>
            <w:tcBorders>
              <w:top w:val="nil"/>
              <w:left w:val="single" w:sz="4" w:space="0" w:color="auto"/>
              <w:bottom w:val="single" w:sz="4" w:space="0" w:color="auto"/>
              <w:right w:val="single" w:sz="4" w:space="0" w:color="auto"/>
            </w:tcBorders>
            <w:shd w:val="clear" w:color="auto" w:fill="auto"/>
            <w:noWrap/>
            <w:vAlign w:val="center"/>
            <w:hideMark/>
          </w:tcPr>
          <w:p w14:paraId="4FE33CF0" w14:textId="77777777" w:rsidR="00ED74CE" w:rsidRPr="00120257" w:rsidRDefault="00ED74CE" w:rsidP="005E4B11">
            <w:pPr>
              <w:jc w:val="center"/>
              <w:rPr>
                <w:rFonts w:ascii="Times New Roman" w:eastAsia="Times New Roman" w:hAnsi="Times New Roman" w:cs="Times New Roman"/>
                <w:b/>
                <w:bCs/>
                <w:color w:val="000000" w:themeColor="text1"/>
                <w:kern w:val="0"/>
                <w:lang w:val="en-HK"/>
                <w14:ligatures w14:val="none"/>
              </w:rPr>
            </w:pPr>
            <w:r w:rsidRPr="00120257">
              <w:rPr>
                <w:rFonts w:ascii="Times New Roman" w:eastAsia="Times New Roman" w:hAnsi="Times New Roman" w:cs="Times New Roman"/>
                <w:b/>
                <w:bCs/>
                <w:color w:val="000000" w:themeColor="text1"/>
                <w:kern w:val="0"/>
                <w:lang w:val="en-HK"/>
                <w14:ligatures w14:val="none"/>
              </w:rPr>
              <w:t>Quality of Learning Activities (17 items)</w:t>
            </w:r>
          </w:p>
          <w:p w14:paraId="5BA5A3C5" w14:textId="77777777" w:rsidR="00ED74CE" w:rsidRPr="00120257" w:rsidRDefault="00ED74CE" w:rsidP="005E4B11">
            <w:pPr>
              <w:jc w:val="center"/>
              <w:rPr>
                <w:rFonts w:ascii="Times New Roman" w:eastAsia="Times New Roman" w:hAnsi="Times New Roman" w:cs="Times New Roman"/>
                <w:color w:val="000000" w:themeColor="text1"/>
                <w:kern w:val="0"/>
                <w:lang w:val="en-HK"/>
                <w14:ligatures w14:val="none"/>
              </w:rPr>
            </w:pPr>
          </w:p>
        </w:tc>
      </w:tr>
      <w:tr w:rsidR="00ED74CE" w:rsidRPr="00120257" w14:paraId="38FB67F5"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1FC53C88"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Reason for Item Exclusion</w:t>
            </w:r>
          </w:p>
        </w:tc>
        <w:tc>
          <w:tcPr>
            <w:tcW w:w="3022" w:type="dxa"/>
            <w:tcBorders>
              <w:top w:val="nil"/>
              <w:left w:val="nil"/>
              <w:bottom w:val="single" w:sz="4" w:space="0" w:color="auto"/>
              <w:right w:val="single" w:sz="4" w:space="0" w:color="auto"/>
            </w:tcBorders>
            <w:shd w:val="clear" w:color="auto" w:fill="auto"/>
            <w:vAlign w:val="center"/>
            <w:hideMark/>
          </w:tcPr>
          <w:p w14:paraId="6CAFF70F"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Original Item</w:t>
            </w:r>
          </w:p>
        </w:tc>
        <w:tc>
          <w:tcPr>
            <w:tcW w:w="3969" w:type="dxa"/>
            <w:tcBorders>
              <w:top w:val="nil"/>
              <w:left w:val="nil"/>
              <w:bottom w:val="single" w:sz="4" w:space="0" w:color="auto"/>
              <w:right w:val="single" w:sz="4" w:space="0" w:color="auto"/>
            </w:tcBorders>
            <w:shd w:val="clear" w:color="auto" w:fill="auto"/>
            <w:vAlign w:val="center"/>
            <w:hideMark/>
          </w:tcPr>
          <w:p w14:paraId="35A5E97E" w14:textId="77777777" w:rsidR="00ED74CE" w:rsidRPr="00120257" w:rsidRDefault="00ED74CE" w:rsidP="005E4B11">
            <w:pPr>
              <w:rPr>
                <w:rFonts w:ascii="Times New Roman" w:eastAsia="Times New Roman" w:hAnsi="Times New Roman" w:cs="Times New Roman"/>
                <w:b/>
                <w:bCs/>
                <w:color w:val="000000" w:themeColor="text1"/>
                <w:kern w:val="0"/>
                <w:sz w:val="22"/>
                <w:szCs w:val="22"/>
                <w:lang w:val="en-HK"/>
                <w14:ligatures w14:val="none"/>
              </w:rPr>
            </w:pPr>
            <w:r w:rsidRPr="00120257">
              <w:rPr>
                <w:rFonts w:ascii="Times New Roman" w:eastAsia="Times New Roman" w:hAnsi="Times New Roman" w:cs="Times New Roman"/>
                <w:b/>
                <w:bCs/>
                <w:color w:val="000000" w:themeColor="text1"/>
                <w:kern w:val="0"/>
                <w:sz w:val="22"/>
                <w:szCs w:val="22"/>
                <w:lang w:val="en-HK"/>
                <w14:ligatures w14:val="none"/>
              </w:rPr>
              <w:t>Rationale for Decision</w:t>
            </w:r>
          </w:p>
        </w:tc>
      </w:tr>
      <w:tr w:rsidR="00ED74CE" w:rsidRPr="00120257" w14:paraId="6D1FCC08"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hideMark/>
          </w:tcPr>
          <w:p w14:paraId="1FCFEC09"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Symbol" w:hAnsi="Times New Roman" w:cs="Times New Roman"/>
                <w:color w:val="000000" w:themeColor="text1"/>
                <w:kern w:val="0"/>
                <w:sz w:val="22"/>
                <w:szCs w:val="22"/>
                <w14:ligatures w14:val="none"/>
              </w:rPr>
              <w:t>Overlap of items (n = 1)</w:t>
            </w:r>
          </w:p>
        </w:tc>
        <w:tc>
          <w:tcPr>
            <w:tcW w:w="3022" w:type="dxa"/>
            <w:tcBorders>
              <w:top w:val="nil"/>
              <w:left w:val="nil"/>
              <w:bottom w:val="single" w:sz="4" w:space="0" w:color="auto"/>
              <w:right w:val="single" w:sz="4" w:space="0" w:color="auto"/>
            </w:tcBorders>
            <w:shd w:val="clear" w:color="auto" w:fill="auto"/>
            <w:vAlign w:val="center"/>
            <w:hideMark/>
          </w:tcPr>
          <w:p w14:paraId="069EDA6F"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Breaks complex tasks into achievable steps</w:t>
            </w:r>
          </w:p>
        </w:tc>
        <w:tc>
          <w:tcPr>
            <w:tcW w:w="3969" w:type="dxa"/>
            <w:tcBorders>
              <w:top w:val="nil"/>
              <w:left w:val="nil"/>
              <w:bottom w:val="single" w:sz="4" w:space="0" w:color="auto"/>
              <w:right w:val="single" w:sz="4" w:space="0" w:color="auto"/>
            </w:tcBorders>
            <w:shd w:val="clear" w:color="auto" w:fill="auto"/>
            <w:vAlign w:val="center"/>
            <w:hideMark/>
          </w:tcPr>
          <w:p w14:paraId="172E7A8A"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The concept of breaking complex tasks into achievable steps is already covered by other items. Additionally, "reminds the child about the goal or critical features of the task" overlaps with existing items and was therefore removed.</w:t>
            </w:r>
          </w:p>
        </w:tc>
      </w:tr>
      <w:tr w:rsidR="00ED74CE" w:rsidRPr="00120257" w14:paraId="666196B6" w14:textId="77777777" w:rsidTr="005E4B11">
        <w:trPr>
          <w:trHeight w:val="283"/>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E34F2E"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b/>
                <w:bCs/>
                <w:color w:val="000000" w:themeColor="text1"/>
              </w:rPr>
              <w:t xml:space="preserve">The pilot version of </w:t>
            </w:r>
            <w:proofErr w:type="spellStart"/>
            <w:r w:rsidRPr="00120257">
              <w:rPr>
                <w:rFonts w:ascii="Times New Roman" w:hAnsi="Times New Roman" w:cs="Times New Roman"/>
                <w:b/>
                <w:bCs/>
                <w:i/>
                <w:iCs/>
                <w:color w:val="000000" w:themeColor="text1"/>
                <w:lang w:eastAsia="zh-HK"/>
              </w:rPr>
              <w:t>CHiLES</w:t>
            </w:r>
            <w:proofErr w:type="spellEnd"/>
            <w:r w:rsidRPr="00120257">
              <w:rPr>
                <w:rFonts w:ascii="Times New Roman" w:hAnsi="Times New Roman" w:cs="Times New Roman"/>
                <w:b/>
                <w:bCs/>
                <w:i/>
                <w:iCs/>
                <w:color w:val="000000" w:themeColor="text1"/>
                <w:lang w:eastAsia="zh-HK"/>
              </w:rPr>
              <w:t xml:space="preserve"> (48 items)</w:t>
            </w:r>
          </w:p>
        </w:tc>
      </w:tr>
      <w:tr w:rsidR="00ED74CE" w:rsidRPr="00120257" w14:paraId="78BF34A7" w14:textId="77777777" w:rsidTr="005E4B11">
        <w:trPr>
          <w:trHeight w:val="283"/>
        </w:trPr>
        <w:tc>
          <w:tcPr>
            <w:tcW w:w="2076" w:type="dxa"/>
            <w:tcBorders>
              <w:top w:val="nil"/>
              <w:left w:val="single" w:sz="4" w:space="0" w:color="auto"/>
              <w:bottom w:val="single" w:sz="4" w:space="0" w:color="auto"/>
              <w:right w:val="single" w:sz="4" w:space="0" w:color="auto"/>
            </w:tcBorders>
            <w:shd w:val="clear" w:color="auto" w:fill="auto"/>
            <w:vAlign w:val="center"/>
          </w:tcPr>
          <w:p w14:paraId="48DFBFD3" w14:textId="77777777" w:rsidR="00ED74CE" w:rsidRPr="00120257" w:rsidRDefault="00ED74CE" w:rsidP="005E4B11">
            <w:pPr>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Availability of Learning Resources</w:t>
            </w:r>
          </w:p>
          <w:p w14:paraId="4ACED738" w14:textId="77777777" w:rsidR="00ED74CE" w:rsidRPr="00120257" w:rsidRDefault="00ED74CE" w:rsidP="005E4B11">
            <w:pPr>
              <w:rPr>
                <w:rFonts w:ascii="Times New Roman" w:hAnsi="Times New Roman" w:cs="Times New Roman"/>
                <w:b/>
                <w:bCs/>
                <w:color w:val="000000" w:themeColor="text1"/>
              </w:rPr>
            </w:pPr>
            <w:r w:rsidRPr="00120257">
              <w:rPr>
                <w:rFonts w:ascii="Times New Roman" w:hAnsi="Times New Roman" w:cs="Times New Roman"/>
                <w:color w:val="000000" w:themeColor="text1"/>
                <w:sz w:val="22"/>
                <w:szCs w:val="22"/>
              </w:rPr>
              <w:t>(8 items)</w:t>
            </w:r>
          </w:p>
        </w:tc>
        <w:tc>
          <w:tcPr>
            <w:tcW w:w="3022" w:type="dxa"/>
            <w:tcBorders>
              <w:top w:val="nil"/>
              <w:left w:val="nil"/>
              <w:bottom w:val="single" w:sz="4" w:space="0" w:color="auto"/>
              <w:right w:val="single" w:sz="4" w:space="0" w:color="auto"/>
            </w:tcBorders>
            <w:shd w:val="clear" w:color="auto" w:fill="auto"/>
            <w:vAlign w:val="center"/>
          </w:tcPr>
          <w:p w14:paraId="7C2369D0" w14:textId="77777777" w:rsidR="00ED74CE" w:rsidRPr="00120257" w:rsidRDefault="00ED74CE" w:rsidP="005E4B11">
            <w:pPr>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Frequency of Learning Activities</w:t>
            </w:r>
          </w:p>
          <w:p w14:paraId="759F550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(24 items)</w:t>
            </w:r>
          </w:p>
        </w:tc>
        <w:tc>
          <w:tcPr>
            <w:tcW w:w="3969" w:type="dxa"/>
            <w:tcBorders>
              <w:top w:val="nil"/>
              <w:left w:val="nil"/>
              <w:bottom w:val="single" w:sz="4" w:space="0" w:color="auto"/>
              <w:right w:val="single" w:sz="4" w:space="0" w:color="auto"/>
            </w:tcBorders>
            <w:shd w:val="clear" w:color="auto" w:fill="auto"/>
            <w:vAlign w:val="center"/>
          </w:tcPr>
          <w:p w14:paraId="7C8E1980" w14:textId="77777777" w:rsidR="00ED74CE" w:rsidRPr="00120257" w:rsidRDefault="00ED74CE" w:rsidP="005E4B11">
            <w:pPr>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Quality of Learning Activities</w:t>
            </w:r>
          </w:p>
          <w:p w14:paraId="72753E9B" w14:textId="77777777" w:rsidR="00ED74CE" w:rsidRPr="00120257" w:rsidRDefault="00ED74CE" w:rsidP="005E4B11">
            <w:pPr>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(16 items)</w:t>
            </w:r>
          </w:p>
          <w:p w14:paraId="16EFAAEF" w14:textId="77777777" w:rsidR="00ED74CE" w:rsidRPr="00120257" w:rsidRDefault="00ED74CE" w:rsidP="005E4B11">
            <w:pPr>
              <w:pStyle w:val="ListParagraph"/>
              <w:numPr>
                <w:ilvl w:val="0"/>
                <w:numId w:val="1"/>
              </w:numPr>
              <w:ind w:left="255" w:hanging="255"/>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Warmth (5)</w:t>
            </w:r>
          </w:p>
          <w:p w14:paraId="037D5896" w14:textId="77777777" w:rsidR="00ED74CE" w:rsidRPr="00120257" w:rsidRDefault="00ED74CE" w:rsidP="005E4B11">
            <w:pPr>
              <w:pStyle w:val="ListParagraph"/>
              <w:numPr>
                <w:ilvl w:val="0"/>
                <w:numId w:val="1"/>
              </w:numPr>
              <w:ind w:left="255" w:hanging="255"/>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Responsiveness and sensitivity (6)</w:t>
            </w:r>
          </w:p>
          <w:p w14:paraId="7ABC2A16" w14:textId="77777777" w:rsidR="00ED74CE" w:rsidRPr="00120257" w:rsidRDefault="00ED74CE" w:rsidP="005E4B11">
            <w:pPr>
              <w:pStyle w:val="ListParagraph"/>
              <w:numPr>
                <w:ilvl w:val="0"/>
                <w:numId w:val="1"/>
              </w:numPr>
              <w:ind w:left="255" w:hanging="255"/>
              <w:rPr>
                <w:rFonts w:ascii="Times New Roman" w:hAnsi="Times New Roman" w:cs="Times New Roman"/>
                <w:color w:val="000000" w:themeColor="text1"/>
                <w:sz w:val="22"/>
                <w:szCs w:val="22"/>
              </w:rPr>
            </w:pPr>
            <w:r w:rsidRPr="00120257">
              <w:rPr>
                <w:rFonts w:ascii="Times New Roman" w:hAnsi="Times New Roman" w:cs="Times New Roman"/>
                <w:color w:val="000000" w:themeColor="text1"/>
                <w:sz w:val="22"/>
                <w:szCs w:val="22"/>
              </w:rPr>
              <w:t>Scaffolding (5)</w:t>
            </w:r>
          </w:p>
          <w:p w14:paraId="1FA785A8"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r>
    </w:tbl>
    <w:p w14:paraId="2FCD8E98" w14:textId="77777777" w:rsidR="00ED74CE" w:rsidRDefault="00ED74CE"/>
    <w:p w14:paraId="7C9CD211" w14:textId="77777777" w:rsidR="00ED74CE" w:rsidRDefault="00ED74CE"/>
    <w:p w14:paraId="1628D772" w14:textId="77777777" w:rsidR="00ED74CE" w:rsidRDefault="00ED74CE">
      <w:pPr>
        <w:rPr>
          <w:rFonts w:hint="eastAsia"/>
        </w:rPr>
        <w:sectPr w:rsidR="00ED74CE" w:rsidSect="00ED74CE">
          <w:pgSz w:w="11906" w:h="16838"/>
          <w:pgMar w:top="1440" w:right="1440" w:bottom="1440" w:left="1440" w:header="708" w:footer="708" w:gutter="0"/>
          <w:cols w:space="708"/>
          <w:docGrid w:linePitch="360"/>
        </w:sectPr>
      </w:pPr>
    </w:p>
    <w:p w14:paraId="3CE3F425" w14:textId="77777777" w:rsidR="00ED74CE" w:rsidRPr="00120257" w:rsidRDefault="00ED74CE" w:rsidP="00ED74CE">
      <w:pPr>
        <w:pStyle w:val="Caption"/>
        <w:rPr>
          <w:b/>
          <w:bCs/>
          <w:i w:val="0"/>
          <w:iCs w:val="0"/>
          <w:color w:val="000000" w:themeColor="text1"/>
          <w:sz w:val="24"/>
          <w:szCs w:val="24"/>
        </w:rPr>
      </w:pPr>
      <w:r w:rsidRPr="00120257">
        <w:rPr>
          <w:b/>
          <w:bCs/>
          <w:i w:val="0"/>
          <w:iCs w:val="0"/>
          <w:color w:val="000000" w:themeColor="text1"/>
          <w:sz w:val="24"/>
          <w:szCs w:val="24"/>
        </w:rPr>
        <w:lastRenderedPageBreak/>
        <w:t>Table S4</w:t>
      </w:r>
    </w:p>
    <w:p w14:paraId="1019F56D" w14:textId="77777777" w:rsidR="00ED74CE" w:rsidRPr="00120257" w:rsidRDefault="00ED74CE" w:rsidP="00ED74CE">
      <w:pPr>
        <w:rPr>
          <w:rFonts w:ascii="Times New Roman" w:hAnsi="Times New Roman" w:cs="Times New Roman"/>
          <w:i/>
          <w:iCs/>
          <w:color w:val="000000" w:themeColor="text1"/>
          <w:kern w:val="0"/>
        </w:rPr>
      </w:pPr>
      <w:r w:rsidRPr="00120257">
        <w:rPr>
          <w:rFonts w:ascii="Times New Roman" w:hAnsi="Times New Roman" w:cs="Times New Roman"/>
          <w:i/>
          <w:iCs/>
          <w:color w:val="000000" w:themeColor="text1"/>
          <w:kern w:val="0"/>
        </w:rPr>
        <w:t>Model Fit Indices and Chi-Square Difference Tests for CFA Models</w:t>
      </w:r>
    </w:p>
    <w:p w14:paraId="4EE92319" w14:textId="77777777" w:rsidR="00ED74CE" w:rsidRPr="00120257" w:rsidRDefault="00ED74CE" w:rsidP="00ED74CE">
      <w:pPr>
        <w:rPr>
          <w:rFonts w:ascii="Times New Roman" w:hAnsi="Times New Roman" w:cs="Times New Roman"/>
          <w:i/>
          <w:iCs/>
          <w:color w:val="000000" w:themeColor="text1"/>
          <w:kern w:val="0"/>
        </w:rPr>
      </w:pPr>
    </w:p>
    <w:tbl>
      <w:tblPr>
        <w:tblW w:w="14443" w:type="dxa"/>
        <w:tblLook w:val="04A0" w:firstRow="1" w:lastRow="0" w:firstColumn="1" w:lastColumn="0" w:noHBand="0" w:noVBand="1"/>
      </w:tblPr>
      <w:tblGrid>
        <w:gridCol w:w="3180"/>
        <w:gridCol w:w="1600"/>
        <w:gridCol w:w="885"/>
        <w:gridCol w:w="880"/>
        <w:gridCol w:w="880"/>
        <w:gridCol w:w="1940"/>
        <w:gridCol w:w="1940"/>
        <w:gridCol w:w="880"/>
        <w:gridCol w:w="1129"/>
        <w:gridCol w:w="1129"/>
      </w:tblGrid>
      <w:tr w:rsidR="00ED74CE" w:rsidRPr="00120257" w14:paraId="59A5D938" w14:textId="77777777" w:rsidTr="005E4B11">
        <w:trPr>
          <w:trHeight w:val="320"/>
        </w:trPr>
        <w:tc>
          <w:tcPr>
            <w:tcW w:w="3180" w:type="dxa"/>
            <w:tcBorders>
              <w:top w:val="single" w:sz="4" w:space="0" w:color="auto"/>
              <w:left w:val="nil"/>
              <w:bottom w:val="single" w:sz="4" w:space="0" w:color="auto"/>
              <w:right w:val="nil"/>
            </w:tcBorders>
            <w:shd w:val="clear" w:color="auto" w:fill="auto"/>
            <w:noWrap/>
            <w:vAlign w:val="bottom"/>
            <w:hideMark/>
          </w:tcPr>
          <w:p w14:paraId="60F46161"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Model</w:t>
            </w:r>
          </w:p>
        </w:tc>
        <w:tc>
          <w:tcPr>
            <w:tcW w:w="1600" w:type="dxa"/>
            <w:tcBorders>
              <w:top w:val="single" w:sz="4" w:space="0" w:color="auto"/>
              <w:left w:val="nil"/>
              <w:bottom w:val="single" w:sz="4" w:space="0" w:color="auto"/>
              <w:right w:val="nil"/>
            </w:tcBorders>
            <w:shd w:val="clear" w:color="auto" w:fill="auto"/>
            <w:noWrap/>
            <w:vAlign w:val="bottom"/>
            <w:hideMark/>
          </w:tcPr>
          <w:p w14:paraId="1A48A44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Pr>
                <w:rFonts w:ascii="Times New Roman" w:eastAsia="Times New Roman" w:hAnsi="Times New Roman" w:cs="Times New Roman" w:hint="eastAsia"/>
                <w:color w:val="000000" w:themeColor="text1"/>
                <w:kern w:val="0"/>
                <w:sz w:val="22"/>
                <w:szCs w:val="22"/>
                <w:lang w:val="en-HK"/>
                <w14:ligatures w14:val="none"/>
              </w:rPr>
              <w:t>c</w:t>
            </w:r>
            <w:r w:rsidRPr="00120257">
              <w:rPr>
                <w:rFonts w:ascii="Times New Roman" w:eastAsia="Times New Roman" w:hAnsi="Times New Roman" w:cs="Times New Roman"/>
                <w:color w:val="000000" w:themeColor="text1"/>
                <w:kern w:val="0"/>
                <w:sz w:val="22"/>
                <w:szCs w:val="22"/>
                <w:lang w:val="en-HK"/>
                <w14:ligatures w14:val="none"/>
              </w:rPr>
              <w:t>hi-</w:t>
            </w:r>
            <w:r>
              <w:rPr>
                <w:rFonts w:ascii="Times New Roman" w:eastAsia="Times New Roman" w:hAnsi="Times New Roman" w:cs="Times New Roman" w:hint="eastAsia"/>
                <w:color w:val="000000" w:themeColor="text1"/>
                <w:kern w:val="0"/>
                <w:sz w:val="22"/>
                <w:szCs w:val="22"/>
                <w:lang w:val="en-HK"/>
                <w14:ligatures w14:val="none"/>
              </w:rPr>
              <w:t>s</w:t>
            </w:r>
            <w:r w:rsidRPr="00120257">
              <w:rPr>
                <w:rFonts w:ascii="Times New Roman" w:eastAsia="Times New Roman" w:hAnsi="Times New Roman" w:cs="Times New Roman"/>
                <w:color w:val="000000" w:themeColor="text1"/>
                <w:kern w:val="0"/>
                <w:sz w:val="22"/>
                <w:szCs w:val="22"/>
                <w:lang w:val="en-HK"/>
                <w14:ligatures w14:val="none"/>
              </w:rPr>
              <w:t xml:space="preserve">quare </w:t>
            </w:r>
          </w:p>
        </w:tc>
        <w:tc>
          <w:tcPr>
            <w:tcW w:w="885" w:type="dxa"/>
            <w:tcBorders>
              <w:top w:val="single" w:sz="4" w:space="0" w:color="auto"/>
              <w:left w:val="nil"/>
              <w:bottom w:val="single" w:sz="4" w:space="0" w:color="auto"/>
              <w:right w:val="nil"/>
            </w:tcBorders>
            <w:shd w:val="clear" w:color="auto" w:fill="auto"/>
            <w:noWrap/>
            <w:vAlign w:val="center"/>
            <w:hideMark/>
          </w:tcPr>
          <w:p w14:paraId="6FD2E9B1" w14:textId="77777777" w:rsidR="00ED74CE" w:rsidRPr="00E42E4D" w:rsidRDefault="00ED74CE" w:rsidP="005E4B11">
            <w:pPr>
              <w:jc w:val="center"/>
              <w:rPr>
                <w:rFonts w:ascii="Times New Roman" w:eastAsia="Times New Roman" w:hAnsi="Times New Roman" w:cs="Times New Roman"/>
                <w:i/>
                <w:iCs/>
                <w:color w:val="000000" w:themeColor="text1"/>
                <w:kern w:val="0"/>
                <w:sz w:val="22"/>
                <w:szCs w:val="22"/>
                <w:lang w:val="en-HK"/>
                <w14:ligatures w14:val="none"/>
              </w:rPr>
            </w:pPr>
            <w:proofErr w:type="spellStart"/>
            <w:r w:rsidRPr="00E42E4D">
              <w:rPr>
                <w:rFonts w:ascii="Times New Roman" w:eastAsia="Times New Roman" w:hAnsi="Times New Roman" w:cs="Times New Roman"/>
                <w:i/>
                <w:iCs/>
                <w:color w:val="000000" w:themeColor="text1"/>
                <w:kern w:val="0"/>
                <w:sz w:val="22"/>
                <w:szCs w:val="22"/>
                <w:lang w:val="en-HK"/>
                <w14:ligatures w14:val="none"/>
              </w:rPr>
              <w:t>df</w:t>
            </w:r>
            <w:proofErr w:type="spellEnd"/>
          </w:p>
        </w:tc>
        <w:tc>
          <w:tcPr>
            <w:tcW w:w="880" w:type="dxa"/>
            <w:tcBorders>
              <w:top w:val="single" w:sz="4" w:space="0" w:color="auto"/>
              <w:left w:val="nil"/>
              <w:bottom w:val="single" w:sz="4" w:space="0" w:color="auto"/>
              <w:right w:val="nil"/>
            </w:tcBorders>
            <w:shd w:val="clear" w:color="auto" w:fill="auto"/>
            <w:noWrap/>
            <w:vAlign w:val="center"/>
            <w:hideMark/>
          </w:tcPr>
          <w:p w14:paraId="095C2A75"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CFI</w:t>
            </w:r>
          </w:p>
        </w:tc>
        <w:tc>
          <w:tcPr>
            <w:tcW w:w="880" w:type="dxa"/>
            <w:tcBorders>
              <w:top w:val="single" w:sz="4" w:space="0" w:color="auto"/>
              <w:left w:val="nil"/>
              <w:bottom w:val="single" w:sz="4" w:space="0" w:color="auto"/>
              <w:right w:val="nil"/>
            </w:tcBorders>
            <w:shd w:val="clear" w:color="auto" w:fill="auto"/>
            <w:noWrap/>
            <w:vAlign w:val="center"/>
            <w:hideMark/>
          </w:tcPr>
          <w:p w14:paraId="2FD5876C"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TLI</w:t>
            </w:r>
          </w:p>
        </w:tc>
        <w:tc>
          <w:tcPr>
            <w:tcW w:w="1940" w:type="dxa"/>
            <w:tcBorders>
              <w:top w:val="single" w:sz="4" w:space="0" w:color="auto"/>
              <w:left w:val="nil"/>
              <w:bottom w:val="single" w:sz="4" w:space="0" w:color="auto"/>
              <w:right w:val="nil"/>
            </w:tcBorders>
            <w:shd w:val="clear" w:color="auto" w:fill="auto"/>
            <w:noWrap/>
            <w:vAlign w:val="center"/>
            <w:hideMark/>
          </w:tcPr>
          <w:p w14:paraId="2DB90790"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RMSEA </w:t>
            </w:r>
          </w:p>
        </w:tc>
        <w:tc>
          <w:tcPr>
            <w:tcW w:w="1940" w:type="dxa"/>
            <w:tcBorders>
              <w:top w:val="single" w:sz="4" w:space="0" w:color="auto"/>
              <w:left w:val="nil"/>
              <w:bottom w:val="single" w:sz="4" w:space="0" w:color="auto"/>
              <w:right w:val="nil"/>
            </w:tcBorders>
            <w:shd w:val="clear" w:color="auto" w:fill="auto"/>
            <w:noWrap/>
            <w:vAlign w:val="bottom"/>
            <w:hideMark/>
          </w:tcPr>
          <w:p w14:paraId="2E63E42C"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RMSEA 90% CI</w:t>
            </w:r>
          </w:p>
        </w:tc>
        <w:tc>
          <w:tcPr>
            <w:tcW w:w="880" w:type="dxa"/>
            <w:tcBorders>
              <w:top w:val="single" w:sz="4" w:space="0" w:color="auto"/>
              <w:left w:val="nil"/>
              <w:bottom w:val="single" w:sz="4" w:space="0" w:color="auto"/>
              <w:right w:val="nil"/>
            </w:tcBorders>
            <w:shd w:val="clear" w:color="auto" w:fill="auto"/>
            <w:noWrap/>
            <w:vAlign w:val="center"/>
            <w:hideMark/>
          </w:tcPr>
          <w:p w14:paraId="4935430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SRMR</w:t>
            </w:r>
          </w:p>
        </w:tc>
        <w:tc>
          <w:tcPr>
            <w:tcW w:w="1129" w:type="dxa"/>
            <w:tcBorders>
              <w:top w:val="single" w:sz="4" w:space="0" w:color="auto"/>
              <w:left w:val="nil"/>
              <w:bottom w:val="single" w:sz="4" w:space="0" w:color="auto"/>
              <w:right w:val="nil"/>
            </w:tcBorders>
            <w:shd w:val="clear" w:color="auto" w:fill="auto"/>
            <w:noWrap/>
            <w:vAlign w:val="center"/>
            <w:hideMark/>
          </w:tcPr>
          <w:p w14:paraId="1B5A261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AIC</w:t>
            </w:r>
          </w:p>
        </w:tc>
        <w:tc>
          <w:tcPr>
            <w:tcW w:w="1129" w:type="dxa"/>
            <w:tcBorders>
              <w:top w:val="single" w:sz="4" w:space="0" w:color="auto"/>
              <w:left w:val="nil"/>
              <w:bottom w:val="single" w:sz="4" w:space="0" w:color="auto"/>
              <w:right w:val="nil"/>
            </w:tcBorders>
            <w:shd w:val="clear" w:color="auto" w:fill="auto"/>
            <w:noWrap/>
            <w:vAlign w:val="center"/>
            <w:hideMark/>
          </w:tcPr>
          <w:p w14:paraId="6C74D896"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BIC</w:t>
            </w:r>
          </w:p>
        </w:tc>
      </w:tr>
      <w:tr w:rsidR="00ED74CE" w:rsidRPr="00120257" w14:paraId="0239D46F" w14:textId="77777777" w:rsidTr="005E4B11">
        <w:trPr>
          <w:trHeight w:val="320"/>
        </w:trPr>
        <w:tc>
          <w:tcPr>
            <w:tcW w:w="3180" w:type="dxa"/>
            <w:tcBorders>
              <w:top w:val="nil"/>
              <w:left w:val="nil"/>
              <w:bottom w:val="nil"/>
              <w:right w:val="nil"/>
            </w:tcBorders>
            <w:shd w:val="clear" w:color="auto" w:fill="auto"/>
            <w:noWrap/>
            <w:vAlign w:val="bottom"/>
            <w:hideMark/>
          </w:tcPr>
          <w:p w14:paraId="4A8B1462"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One-Factor Model</w:t>
            </w:r>
          </w:p>
        </w:tc>
        <w:tc>
          <w:tcPr>
            <w:tcW w:w="1600" w:type="dxa"/>
            <w:tcBorders>
              <w:top w:val="nil"/>
              <w:left w:val="nil"/>
              <w:bottom w:val="nil"/>
              <w:right w:val="nil"/>
            </w:tcBorders>
            <w:shd w:val="clear" w:color="auto" w:fill="auto"/>
            <w:noWrap/>
            <w:vAlign w:val="bottom"/>
            <w:hideMark/>
          </w:tcPr>
          <w:p w14:paraId="5499C1A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1098.42</w:t>
            </w:r>
          </w:p>
        </w:tc>
        <w:tc>
          <w:tcPr>
            <w:tcW w:w="885" w:type="dxa"/>
            <w:tcBorders>
              <w:top w:val="nil"/>
              <w:left w:val="nil"/>
              <w:bottom w:val="nil"/>
              <w:right w:val="nil"/>
            </w:tcBorders>
            <w:shd w:val="clear" w:color="auto" w:fill="auto"/>
            <w:noWrap/>
            <w:vAlign w:val="bottom"/>
            <w:hideMark/>
          </w:tcPr>
          <w:p w14:paraId="29A7EE0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338.00</w:t>
            </w:r>
          </w:p>
        </w:tc>
        <w:tc>
          <w:tcPr>
            <w:tcW w:w="880" w:type="dxa"/>
            <w:tcBorders>
              <w:top w:val="nil"/>
              <w:left w:val="nil"/>
              <w:bottom w:val="nil"/>
              <w:right w:val="nil"/>
            </w:tcBorders>
            <w:shd w:val="clear" w:color="auto" w:fill="auto"/>
            <w:noWrap/>
            <w:vAlign w:val="bottom"/>
            <w:hideMark/>
          </w:tcPr>
          <w:p w14:paraId="2A6356C4"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0.87</w:t>
            </w:r>
          </w:p>
        </w:tc>
        <w:tc>
          <w:tcPr>
            <w:tcW w:w="880" w:type="dxa"/>
            <w:tcBorders>
              <w:top w:val="nil"/>
              <w:left w:val="nil"/>
              <w:bottom w:val="nil"/>
              <w:right w:val="nil"/>
            </w:tcBorders>
            <w:shd w:val="clear" w:color="auto" w:fill="auto"/>
            <w:noWrap/>
            <w:vAlign w:val="bottom"/>
            <w:hideMark/>
          </w:tcPr>
          <w:p w14:paraId="400456F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0.86</w:t>
            </w:r>
          </w:p>
        </w:tc>
        <w:tc>
          <w:tcPr>
            <w:tcW w:w="1940" w:type="dxa"/>
            <w:tcBorders>
              <w:top w:val="nil"/>
              <w:left w:val="nil"/>
              <w:bottom w:val="nil"/>
              <w:right w:val="nil"/>
            </w:tcBorders>
            <w:shd w:val="clear" w:color="auto" w:fill="auto"/>
            <w:noWrap/>
            <w:vAlign w:val="bottom"/>
            <w:hideMark/>
          </w:tcPr>
          <w:p w14:paraId="01896A06"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w:t>
            </w:r>
          </w:p>
        </w:tc>
        <w:tc>
          <w:tcPr>
            <w:tcW w:w="1940" w:type="dxa"/>
            <w:tcBorders>
              <w:top w:val="nil"/>
              <w:left w:val="nil"/>
              <w:bottom w:val="nil"/>
              <w:right w:val="nil"/>
            </w:tcBorders>
            <w:shd w:val="clear" w:color="auto" w:fill="auto"/>
            <w:noWrap/>
            <w:vAlign w:val="bottom"/>
            <w:hideMark/>
          </w:tcPr>
          <w:p w14:paraId="0FB51A4F"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0.050 - 0.057</w:t>
            </w:r>
          </w:p>
        </w:tc>
        <w:tc>
          <w:tcPr>
            <w:tcW w:w="880" w:type="dxa"/>
            <w:tcBorders>
              <w:top w:val="nil"/>
              <w:left w:val="nil"/>
              <w:bottom w:val="nil"/>
              <w:right w:val="nil"/>
            </w:tcBorders>
            <w:shd w:val="clear" w:color="auto" w:fill="auto"/>
            <w:noWrap/>
            <w:vAlign w:val="bottom"/>
            <w:hideMark/>
          </w:tcPr>
          <w:p w14:paraId="31BF100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0.06</w:t>
            </w:r>
          </w:p>
        </w:tc>
        <w:tc>
          <w:tcPr>
            <w:tcW w:w="1129" w:type="dxa"/>
            <w:tcBorders>
              <w:top w:val="nil"/>
              <w:left w:val="nil"/>
              <w:bottom w:val="nil"/>
              <w:right w:val="nil"/>
            </w:tcBorders>
            <w:shd w:val="clear" w:color="auto" w:fill="auto"/>
            <w:noWrap/>
            <w:vAlign w:val="bottom"/>
            <w:hideMark/>
          </w:tcPr>
          <w:p w14:paraId="09D6E541"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65509.34</w:t>
            </w:r>
          </w:p>
        </w:tc>
        <w:tc>
          <w:tcPr>
            <w:tcW w:w="1129" w:type="dxa"/>
            <w:tcBorders>
              <w:top w:val="nil"/>
              <w:left w:val="nil"/>
              <w:bottom w:val="nil"/>
              <w:right w:val="nil"/>
            </w:tcBorders>
            <w:shd w:val="clear" w:color="auto" w:fill="auto"/>
            <w:noWrap/>
            <w:vAlign w:val="bottom"/>
            <w:hideMark/>
          </w:tcPr>
          <w:p w14:paraId="14259E62"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65956.26</w:t>
            </w:r>
          </w:p>
        </w:tc>
      </w:tr>
      <w:tr w:rsidR="00ED74CE" w:rsidRPr="00120257" w14:paraId="0ADD5291" w14:textId="77777777" w:rsidTr="005E4B11">
        <w:trPr>
          <w:trHeight w:val="320"/>
        </w:trPr>
        <w:tc>
          <w:tcPr>
            <w:tcW w:w="3180" w:type="dxa"/>
            <w:tcBorders>
              <w:top w:val="nil"/>
              <w:left w:val="nil"/>
              <w:bottom w:val="nil"/>
              <w:right w:val="nil"/>
            </w:tcBorders>
            <w:shd w:val="clear" w:color="auto" w:fill="auto"/>
            <w:noWrap/>
            <w:vAlign w:val="bottom"/>
            <w:hideMark/>
          </w:tcPr>
          <w:p w14:paraId="7F975257"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Two-Factor Model</w:t>
            </w:r>
          </w:p>
        </w:tc>
        <w:tc>
          <w:tcPr>
            <w:tcW w:w="1600" w:type="dxa"/>
            <w:tcBorders>
              <w:top w:val="nil"/>
              <w:left w:val="nil"/>
              <w:bottom w:val="nil"/>
              <w:right w:val="nil"/>
            </w:tcBorders>
            <w:shd w:val="clear" w:color="auto" w:fill="auto"/>
            <w:noWrap/>
            <w:vAlign w:val="bottom"/>
            <w:hideMark/>
          </w:tcPr>
          <w:p w14:paraId="6B3EDC03"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1058.07</w:t>
            </w:r>
          </w:p>
        </w:tc>
        <w:tc>
          <w:tcPr>
            <w:tcW w:w="885" w:type="dxa"/>
            <w:tcBorders>
              <w:top w:val="nil"/>
              <w:left w:val="nil"/>
              <w:bottom w:val="nil"/>
              <w:right w:val="nil"/>
            </w:tcBorders>
            <w:shd w:val="clear" w:color="auto" w:fill="auto"/>
            <w:noWrap/>
            <w:vAlign w:val="bottom"/>
            <w:hideMark/>
          </w:tcPr>
          <w:p w14:paraId="658B56C0"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337.00</w:t>
            </w:r>
          </w:p>
        </w:tc>
        <w:tc>
          <w:tcPr>
            <w:tcW w:w="880" w:type="dxa"/>
            <w:tcBorders>
              <w:top w:val="nil"/>
              <w:left w:val="nil"/>
              <w:bottom w:val="nil"/>
              <w:right w:val="nil"/>
            </w:tcBorders>
            <w:shd w:val="clear" w:color="auto" w:fill="auto"/>
            <w:noWrap/>
            <w:vAlign w:val="bottom"/>
            <w:hideMark/>
          </w:tcPr>
          <w:p w14:paraId="2D8BE0B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0.88</w:t>
            </w:r>
          </w:p>
        </w:tc>
        <w:tc>
          <w:tcPr>
            <w:tcW w:w="880" w:type="dxa"/>
            <w:tcBorders>
              <w:top w:val="nil"/>
              <w:left w:val="nil"/>
              <w:bottom w:val="nil"/>
              <w:right w:val="nil"/>
            </w:tcBorders>
            <w:shd w:val="clear" w:color="auto" w:fill="auto"/>
            <w:noWrap/>
            <w:vAlign w:val="bottom"/>
            <w:hideMark/>
          </w:tcPr>
          <w:p w14:paraId="6A397618"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0.87</w:t>
            </w:r>
          </w:p>
        </w:tc>
        <w:tc>
          <w:tcPr>
            <w:tcW w:w="1940" w:type="dxa"/>
            <w:tcBorders>
              <w:top w:val="nil"/>
              <w:left w:val="nil"/>
              <w:bottom w:val="nil"/>
              <w:right w:val="nil"/>
            </w:tcBorders>
            <w:shd w:val="clear" w:color="auto" w:fill="auto"/>
            <w:noWrap/>
            <w:vAlign w:val="bottom"/>
            <w:hideMark/>
          </w:tcPr>
          <w:p w14:paraId="397462D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w:t>
            </w:r>
          </w:p>
        </w:tc>
        <w:tc>
          <w:tcPr>
            <w:tcW w:w="1940" w:type="dxa"/>
            <w:tcBorders>
              <w:top w:val="nil"/>
              <w:left w:val="nil"/>
              <w:bottom w:val="nil"/>
              <w:right w:val="nil"/>
            </w:tcBorders>
            <w:shd w:val="clear" w:color="auto" w:fill="auto"/>
            <w:noWrap/>
            <w:vAlign w:val="bottom"/>
            <w:hideMark/>
          </w:tcPr>
          <w:p w14:paraId="4100B011"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0.049 - 0.056</w:t>
            </w:r>
          </w:p>
        </w:tc>
        <w:tc>
          <w:tcPr>
            <w:tcW w:w="880" w:type="dxa"/>
            <w:tcBorders>
              <w:top w:val="nil"/>
              <w:left w:val="nil"/>
              <w:bottom w:val="nil"/>
              <w:right w:val="nil"/>
            </w:tcBorders>
            <w:shd w:val="clear" w:color="auto" w:fill="auto"/>
            <w:noWrap/>
            <w:vAlign w:val="bottom"/>
            <w:hideMark/>
          </w:tcPr>
          <w:p w14:paraId="526F4D7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0.06</w:t>
            </w:r>
          </w:p>
        </w:tc>
        <w:tc>
          <w:tcPr>
            <w:tcW w:w="1129" w:type="dxa"/>
            <w:tcBorders>
              <w:top w:val="nil"/>
              <w:left w:val="nil"/>
              <w:bottom w:val="nil"/>
              <w:right w:val="nil"/>
            </w:tcBorders>
            <w:shd w:val="clear" w:color="auto" w:fill="auto"/>
            <w:noWrap/>
            <w:vAlign w:val="bottom"/>
            <w:hideMark/>
          </w:tcPr>
          <w:p w14:paraId="12FBF7DF"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65465.62</w:t>
            </w:r>
          </w:p>
        </w:tc>
        <w:tc>
          <w:tcPr>
            <w:tcW w:w="1129" w:type="dxa"/>
            <w:tcBorders>
              <w:top w:val="nil"/>
              <w:left w:val="nil"/>
              <w:bottom w:val="nil"/>
              <w:right w:val="nil"/>
            </w:tcBorders>
            <w:shd w:val="clear" w:color="auto" w:fill="auto"/>
            <w:noWrap/>
            <w:vAlign w:val="bottom"/>
            <w:hideMark/>
          </w:tcPr>
          <w:p w14:paraId="6760E27A"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65917.20</w:t>
            </w:r>
          </w:p>
        </w:tc>
      </w:tr>
      <w:tr w:rsidR="00ED74CE" w:rsidRPr="00120257" w14:paraId="4A73BA24" w14:textId="77777777" w:rsidTr="005E4B11">
        <w:trPr>
          <w:trHeight w:val="320"/>
        </w:trPr>
        <w:tc>
          <w:tcPr>
            <w:tcW w:w="3180" w:type="dxa"/>
            <w:tcBorders>
              <w:top w:val="nil"/>
              <w:left w:val="nil"/>
              <w:bottom w:val="nil"/>
              <w:right w:val="nil"/>
            </w:tcBorders>
            <w:shd w:val="clear" w:color="auto" w:fill="auto"/>
            <w:noWrap/>
            <w:vAlign w:val="bottom"/>
            <w:hideMark/>
          </w:tcPr>
          <w:p w14:paraId="67B53BE5"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Three-Factor Model</w:t>
            </w:r>
          </w:p>
        </w:tc>
        <w:tc>
          <w:tcPr>
            <w:tcW w:w="1600" w:type="dxa"/>
            <w:tcBorders>
              <w:top w:val="nil"/>
              <w:left w:val="nil"/>
              <w:bottom w:val="nil"/>
              <w:right w:val="nil"/>
            </w:tcBorders>
            <w:shd w:val="clear" w:color="auto" w:fill="auto"/>
            <w:noWrap/>
            <w:vAlign w:val="bottom"/>
            <w:hideMark/>
          </w:tcPr>
          <w:p w14:paraId="2EC7BB60"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962.10</w:t>
            </w:r>
          </w:p>
        </w:tc>
        <w:tc>
          <w:tcPr>
            <w:tcW w:w="885" w:type="dxa"/>
            <w:tcBorders>
              <w:top w:val="nil"/>
              <w:left w:val="nil"/>
              <w:bottom w:val="nil"/>
              <w:right w:val="nil"/>
            </w:tcBorders>
            <w:shd w:val="clear" w:color="auto" w:fill="auto"/>
            <w:noWrap/>
            <w:vAlign w:val="bottom"/>
            <w:hideMark/>
          </w:tcPr>
          <w:p w14:paraId="3F6C1D0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335.00</w:t>
            </w:r>
          </w:p>
        </w:tc>
        <w:tc>
          <w:tcPr>
            <w:tcW w:w="880" w:type="dxa"/>
            <w:tcBorders>
              <w:top w:val="nil"/>
              <w:left w:val="nil"/>
              <w:bottom w:val="nil"/>
              <w:right w:val="nil"/>
            </w:tcBorders>
            <w:shd w:val="clear" w:color="auto" w:fill="auto"/>
            <w:noWrap/>
            <w:vAlign w:val="bottom"/>
            <w:hideMark/>
          </w:tcPr>
          <w:p w14:paraId="31A27680"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0.90</w:t>
            </w:r>
          </w:p>
        </w:tc>
        <w:tc>
          <w:tcPr>
            <w:tcW w:w="880" w:type="dxa"/>
            <w:tcBorders>
              <w:top w:val="nil"/>
              <w:left w:val="nil"/>
              <w:bottom w:val="nil"/>
              <w:right w:val="nil"/>
            </w:tcBorders>
            <w:shd w:val="clear" w:color="auto" w:fill="auto"/>
            <w:noWrap/>
            <w:vAlign w:val="bottom"/>
            <w:hideMark/>
          </w:tcPr>
          <w:p w14:paraId="40A8E7F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0.88</w:t>
            </w:r>
          </w:p>
        </w:tc>
        <w:tc>
          <w:tcPr>
            <w:tcW w:w="1940" w:type="dxa"/>
            <w:tcBorders>
              <w:top w:val="nil"/>
              <w:left w:val="nil"/>
              <w:bottom w:val="nil"/>
              <w:right w:val="nil"/>
            </w:tcBorders>
            <w:shd w:val="clear" w:color="auto" w:fill="auto"/>
            <w:noWrap/>
            <w:vAlign w:val="bottom"/>
            <w:hideMark/>
          </w:tcPr>
          <w:p w14:paraId="2AD8A66F"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w:t>
            </w:r>
          </w:p>
        </w:tc>
        <w:tc>
          <w:tcPr>
            <w:tcW w:w="1940" w:type="dxa"/>
            <w:tcBorders>
              <w:top w:val="nil"/>
              <w:left w:val="nil"/>
              <w:bottom w:val="nil"/>
              <w:right w:val="nil"/>
            </w:tcBorders>
            <w:shd w:val="clear" w:color="auto" w:fill="auto"/>
            <w:noWrap/>
            <w:vAlign w:val="bottom"/>
            <w:hideMark/>
          </w:tcPr>
          <w:p w14:paraId="5475BBC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0.045 - 0.053</w:t>
            </w:r>
          </w:p>
        </w:tc>
        <w:tc>
          <w:tcPr>
            <w:tcW w:w="880" w:type="dxa"/>
            <w:tcBorders>
              <w:top w:val="nil"/>
              <w:left w:val="nil"/>
              <w:bottom w:val="nil"/>
              <w:right w:val="nil"/>
            </w:tcBorders>
            <w:shd w:val="clear" w:color="auto" w:fill="auto"/>
            <w:noWrap/>
            <w:vAlign w:val="bottom"/>
            <w:hideMark/>
          </w:tcPr>
          <w:p w14:paraId="43B197C3"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w:t>
            </w:r>
          </w:p>
        </w:tc>
        <w:tc>
          <w:tcPr>
            <w:tcW w:w="1129" w:type="dxa"/>
            <w:tcBorders>
              <w:top w:val="nil"/>
              <w:left w:val="nil"/>
              <w:bottom w:val="nil"/>
              <w:right w:val="nil"/>
            </w:tcBorders>
            <w:shd w:val="clear" w:color="auto" w:fill="auto"/>
            <w:noWrap/>
            <w:vAlign w:val="bottom"/>
            <w:hideMark/>
          </w:tcPr>
          <w:p w14:paraId="0F17DED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65358.81</w:t>
            </w:r>
          </w:p>
        </w:tc>
        <w:tc>
          <w:tcPr>
            <w:tcW w:w="1129" w:type="dxa"/>
            <w:tcBorders>
              <w:top w:val="nil"/>
              <w:left w:val="nil"/>
              <w:bottom w:val="nil"/>
              <w:right w:val="nil"/>
            </w:tcBorders>
            <w:shd w:val="clear" w:color="auto" w:fill="auto"/>
            <w:noWrap/>
            <w:vAlign w:val="bottom"/>
            <w:hideMark/>
          </w:tcPr>
          <w:p w14:paraId="21CCD77E"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65819.70</w:t>
            </w:r>
          </w:p>
        </w:tc>
      </w:tr>
      <w:tr w:rsidR="00ED74CE" w:rsidRPr="00120257" w14:paraId="0C02FA7C" w14:textId="77777777" w:rsidTr="005E4B11">
        <w:trPr>
          <w:trHeight w:val="320"/>
        </w:trPr>
        <w:tc>
          <w:tcPr>
            <w:tcW w:w="3180" w:type="dxa"/>
            <w:tcBorders>
              <w:top w:val="nil"/>
              <w:left w:val="nil"/>
              <w:bottom w:val="nil"/>
              <w:right w:val="nil"/>
            </w:tcBorders>
            <w:shd w:val="clear" w:color="auto" w:fill="auto"/>
            <w:noWrap/>
            <w:vAlign w:val="bottom"/>
            <w:hideMark/>
          </w:tcPr>
          <w:p w14:paraId="54B8C7DA"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Four-Factor Model</w:t>
            </w:r>
          </w:p>
        </w:tc>
        <w:tc>
          <w:tcPr>
            <w:tcW w:w="1600" w:type="dxa"/>
            <w:tcBorders>
              <w:top w:val="nil"/>
              <w:left w:val="nil"/>
              <w:bottom w:val="nil"/>
              <w:right w:val="nil"/>
            </w:tcBorders>
            <w:shd w:val="clear" w:color="auto" w:fill="auto"/>
            <w:noWrap/>
            <w:vAlign w:val="bottom"/>
            <w:hideMark/>
          </w:tcPr>
          <w:p w14:paraId="4FD7C8B1"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906.39</w:t>
            </w:r>
          </w:p>
        </w:tc>
        <w:tc>
          <w:tcPr>
            <w:tcW w:w="885" w:type="dxa"/>
            <w:tcBorders>
              <w:top w:val="nil"/>
              <w:left w:val="nil"/>
              <w:bottom w:val="nil"/>
              <w:right w:val="nil"/>
            </w:tcBorders>
            <w:shd w:val="clear" w:color="auto" w:fill="auto"/>
            <w:noWrap/>
            <w:vAlign w:val="bottom"/>
            <w:hideMark/>
          </w:tcPr>
          <w:p w14:paraId="243B079E"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332.00</w:t>
            </w:r>
          </w:p>
        </w:tc>
        <w:tc>
          <w:tcPr>
            <w:tcW w:w="880" w:type="dxa"/>
            <w:tcBorders>
              <w:top w:val="nil"/>
              <w:left w:val="nil"/>
              <w:bottom w:val="nil"/>
              <w:right w:val="nil"/>
            </w:tcBorders>
            <w:shd w:val="clear" w:color="auto" w:fill="auto"/>
            <w:noWrap/>
            <w:vAlign w:val="bottom"/>
            <w:hideMark/>
          </w:tcPr>
          <w:p w14:paraId="079FFFA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0.90</w:t>
            </w:r>
          </w:p>
        </w:tc>
        <w:tc>
          <w:tcPr>
            <w:tcW w:w="880" w:type="dxa"/>
            <w:tcBorders>
              <w:top w:val="nil"/>
              <w:left w:val="nil"/>
              <w:bottom w:val="nil"/>
              <w:right w:val="nil"/>
            </w:tcBorders>
            <w:shd w:val="clear" w:color="auto" w:fill="auto"/>
            <w:noWrap/>
            <w:vAlign w:val="bottom"/>
            <w:hideMark/>
          </w:tcPr>
          <w:p w14:paraId="201F9FE8"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0.89</w:t>
            </w:r>
          </w:p>
        </w:tc>
        <w:tc>
          <w:tcPr>
            <w:tcW w:w="1940" w:type="dxa"/>
            <w:tcBorders>
              <w:top w:val="nil"/>
              <w:left w:val="nil"/>
              <w:bottom w:val="nil"/>
              <w:right w:val="nil"/>
            </w:tcBorders>
            <w:shd w:val="clear" w:color="auto" w:fill="auto"/>
            <w:noWrap/>
            <w:vAlign w:val="bottom"/>
            <w:hideMark/>
          </w:tcPr>
          <w:p w14:paraId="784652E1"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w:t>
            </w:r>
          </w:p>
        </w:tc>
        <w:tc>
          <w:tcPr>
            <w:tcW w:w="1940" w:type="dxa"/>
            <w:tcBorders>
              <w:top w:val="nil"/>
              <w:left w:val="nil"/>
              <w:bottom w:val="nil"/>
              <w:right w:val="nil"/>
            </w:tcBorders>
            <w:shd w:val="clear" w:color="auto" w:fill="auto"/>
            <w:noWrap/>
            <w:vAlign w:val="bottom"/>
            <w:hideMark/>
          </w:tcPr>
          <w:p w14:paraId="3CE68C82"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0.044 - 0.051</w:t>
            </w:r>
          </w:p>
        </w:tc>
        <w:tc>
          <w:tcPr>
            <w:tcW w:w="880" w:type="dxa"/>
            <w:tcBorders>
              <w:top w:val="nil"/>
              <w:left w:val="nil"/>
              <w:bottom w:val="nil"/>
              <w:right w:val="nil"/>
            </w:tcBorders>
            <w:shd w:val="clear" w:color="auto" w:fill="auto"/>
            <w:noWrap/>
            <w:vAlign w:val="bottom"/>
            <w:hideMark/>
          </w:tcPr>
          <w:p w14:paraId="73A919FC"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0.05</w:t>
            </w:r>
          </w:p>
        </w:tc>
        <w:tc>
          <w:tcPr>
            <w:tcW w:w="1129" w:type="dxa"/>
            <w:tcBorders>
              <w:top w:val="nil"/>
              <w:left w:val="nil"/>
              <w:bottom w:val="nil"/>
              <w:right w:val="nil"/>
            </w:tcBorders>
            <w:shd w:val="clear" w:color="auto" w:fill="auto"/>
            <w:noWrap/>
            <w:vAlign w:val="bottom"/>
            <w:hideMark/>
          </w:tcPr>
          <w:p w14:paraId="3956D2AE"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65300.70</w:t>
            </w:r>
          </w:p>
        </w:tc>
        <w:tc>
          <w:tcPr>
            <w:tcW w:w="1129" w:type="dxa"/>
            <w:tcBorders>
              <w:top w:val="nil"/>
              <w:left w:val="nil"/>
              <w:bottom w:val="nil"/>
              <w:right w:val="nil"/>
            </w:tcBorders>
            <w:shd w:val="clear" w:color="auto" w:fill="auto"/>
            <w:noWrap/>
            <w:vAlign w:val="bottom"/>
            <w:hideMark/>
          </w:tcPr>
          <w:p w14:paraId="52DD39E5"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65775.55</w:t>
            </w:r>
          </w:p>
        </w:tc>
      </w:tr>
      <w:tr w:rsidR="00ED74CE" w:rsidRPr="00120257" w14:paraId="1000F06A" w14:textId="77777777" w:rsidTr="005E4B11">
        <w:trPr>
          <w:trHeight w:val="320"/>
        </w:trPr>
        <w:tc>
          <w:tcPr>
            <w:tcW w:w="3180" w:type="dxa"/>
            <w:tcBorders>
              <w:top w:val="single" w:sz="4" w:space="0" w:color="auto"/>
              <w:left w:val="nil"/>
              <w:bottom w:val="single" w:sz="4" w:space="0" w:color="auto"/>
              <w:right w:val="nil"/>
            </w:tcBorders>
            <w:shd w:val="clear" w:color="auto" w:fill="auto"/>
            <w:noWrap/>
            <w:vAlign w:val="center"/>
            <w:hideMark/>
          </w:tcPr>
          <w:p w14:paraId="695016ED" w14:textId="77777777" w:rsidR="00ED74CE" w:rsidRPr="00120257" w:rsidRDefault="00ED74CE" w:rsidP="005E4B11">
            <w:pPr>
              <w:jc w:val="center"/>
              <w:rPr>
                <w:rFonts w:ascii="Times New Roman" w:eastAsia="Times New Roman" w:hAnsi="Times New Roman" w:cs="Times New Roman"/>
                <w:i/>
                <w:iCs/>
                <w:color w:val="000000" w:themeColor="text1"/>
                <w:kern w:val="0"/>
                <w:sz w:val="22"/>
                <w:szCs w:val="22"/>
                <w:lang w:val="en-HK"/>
                <w14:ligatures w14:val="none"/>
              </w:rPr>
            </w:pPr>
          </w:p>
        </w:tc>
        <w:tc>
          <w:tcPr>
            <w:tcW w:w="1600" w:type="dxa"/>
            <w:tcBorders>
              <w:top w:val="single" w:sz="4" w:space="0" w:color="auto"/>
              <w:left w:val="nil"/>
              <w:bottom w:val="single" w:sz="4" w:space="0" w:color="auto"/>
              <w:right w:val="nil"/>
            </w:tcBorders>
            <w:shd w:val="clear" w:color="auto" w:fill="auto"/>
            <w:noWrap/>
            <w:vAlign w:val="center"/>
            <w:hideMark/>
          </w:tcPr>
          <w:p w14:paraId="408C5E8F"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Δχ²</w:t>
            </w:r>
          </w:p>
        </w:tc>
        <w:tc>
          <w:tcPr>
            <w:tcW w:w="885" w:type="dxa"/>
            <w:tcBorders>
              <w:top w:val="single" w:sz="4" w:space="0" w:color="auto"/>
              <w:left w:val="nil"/>
              <w:bottom w:val="single" w:sz="4" w:space="0" w:color="auto"/>
              <w:right w:val="nil"/>
            </w:tcBorders>
            <w:shd w:val="clear" w:color="auto" w:fill="auto"/>
            <w:noWrap/>
            <w:vAlign w:val="center"/>
            <w:hideMark/>
          </w:tcPr>
          <w:p w14:paraId="64147355"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roofErr w:type="spellStart"/>
            <w:r w:rsidRPr="00120257">
              <w:rPr>
                <w:rFonts w:ascii="Times New Roman" w:eastAsia="Times New Roman" w:hAnsi="Times New Roman" w:cs="Times New Roman"/>
                <w:color w:val="000000" w:themeColor="text1"/>
                <w:kern w:val="0"/>
                <w:sz w:val="22"/>
                <w:szCs w:val="22"/>
                <w:lang w:val="en-HK"/>
                <w14:ligatures w14:val="none"/>
              </w:rPr>
              <w:t>Δ</w:t>
            </w:r>
            <w:r w:rsidRPr="00E42E4D">
              <w:rPr>
                <w:rFonts w:ascii="Times New Roman" w:eastAsia="Times New Roman" w:hAnsi="Times New Roman" w:cs="Times New Roman"/>
                <w:i/>
                <w:iCs/>
                <w:color w:val="000000" w:themeColor="text1"/>
                <w:kern w:val="0"/>
                <w:sz w:val="22"/>
                <w:szCs w:val="22"/>
                <w:lang w:val="en-HK"/>
                <w14:ligatures w14:val="none"/>
              </w:rPr>
              <w:t>df</w:t>
            </w:r>
            <w:proofErr w:type="spellEnd"/>
          </w:p>
        </w:tc>
        <w:tc>
          <w:tcPr>
            <w:tcW w:w="880" w:type="dxa"/>
            <w:tcBorders>
              <w:top w:val="single" w:sz="4" w:space="0" w:color="auto"/>
              <w:left w:val="nil"/>
              <w:bottom w:val="single" w:sz="4" w:space="0" w:color="auto"/>
              <w:right w:val="nil"/>
            </w:tcBorders>
            <w:shd w:val="clear" w:color="auto" w:fill="auto"/>
            <w:noWrap/>
            <w:vAlign w:val="center"/>
            <w:hideMark/>
          </w:tcPr>
          <w:p w14:paraId="7F99667B"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E42E4D">
              <w:rPr>
                <w:rFonts w:ascii="Times New Roman" w:eastAsia="Times New Roman" w:hAnsi="Times New Roman" w:cs="Times New Roman" w:hint="eastAsia"/>
                <w:i/>
                <w:iCs/>
                <w:color w:val="000000" w:themeColor="text1"/>
                <w:kern w:val="0"/>
                <w:sz w:val="22"/>
                <w:szCs w:val="22"/>
                <w:lang w:val="en-HK"/>
                <w14:ligatures w14:val="none"/>
              </w:rPr>
              <w:t xml:space="preserve">p </w:t>
            </w:r>
            <w:r w:rsidRPr="00120257">
              <w:rPr>
                <w:rFonts w:ascii="Times New Roman" w:eastAsia="Times New Roman" w:hAnsi="Times New Roman" w:cs="Times New Roman"/>
                <w:color w:val="000000" w:themeColor="text1"/>
                <w:kern w:val="0"/>
                <w:sz w:val="22"/>
                <w:szCs w:val="22"/>
                <w:lang w:val="en-HK"/>
                <w14:ligatures w14:val="none"/>
              </w:rPr>
              <w:t>value</w:t>
            </w:r>
          </w:p>
        </w:tc>
        <w:tc>
          <w:tcPr>
            <w:tcW w:w="880" w:type="dxa"/>
            <w:tcBorders>
              <w:top w:val="nil"/>
              <w:left w:val="nil"/>
              <w:bottom w:val="nil"/>
              <w:right w:val="nil"/>
            </w:tcBorders>
            <w:shd w:val="clear" w:color="auto" w:fill="auto"/>
            <w:noWrap/>
            <w:vAlign w:val="center"/>
            <w:hideMark/>
          </w:tcPr>
          <w:p w14:paraId="3AFD7E63"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c>
          <w:tcPr>
            <w:tcW w:w="1940" w:type="dxa"/>
            <w:tcBorders>
              <w:top w:val="nil"/>
              <w:left w:val="nil"/>
              <w:bottom w:val="nil"/>
              <w:right w:val="nil"/>
            </w:tcBorders>
            <w:shd w:val="clear" w:color="auto" w:fill="auto"/>
            <w:noWrap/>
            <w:vAlign w:val="center"/>
            <w:hideMark/>
          </w:tcPr>
          <w:p w14:paraId="29E65FA0"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940" w:type="dxa"/>
            <w:tcBorders>
              <w:top w:val="nil"/>
              <w:left w:val="nil"/>
              <w:bottom w:val="nil"/>
              <w:right w:val="nil"/>
            </w:tcBorders>
            <w:shd w:val="clear" w:color="auto" w:fill="auto"/>
            <w:noWrap/>
            <w:vAlign w:val="center"/>
            <w:hideMark/>
          </w:tcPr>
          <w:p w14:paraId="05EF57CB"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880" w:type="dxa"/>
            <w:tcBorders>
              <w:top w:val="nil"/>
              <w:left w:val="nil"/>
              <w:bottom w:val="nil"/>
              <w:right w:val="nil"/>
            </w:tcBorders>
            <w:shd w:val="clear" w:color="auto" w:fill="auto"/>
            <w:noWrap/>
            <w:vAlign w:val="center"/>
            <w:hideMark/>
          </w:tcPr>
          <w:p w14:paraId="4A07B1FB"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129" w:type="dxa"/>
            <w:tcBorders>
              <w:top w:val="nil"/>
              <w:left w:val="nil"/>
              <w:bottom w:val="nil"/>
              <w:right w:val="nil"/>
            </w:tcBorders>
            <w:shd w:val="clear" w:color="auto" w:fill="auto"/>
            <w:noWrap/>
            <w:vAlign w:val="center"/>
            <w:hideMark/>
          </w:tcPr>
          <w:p w14:paraId="2443BC9B"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129" w:type="dxa"/>
            <w:tcBorders>
              <w:top w:val="nil"/>
              <w:left w:val="nil"/>
              <w:bottom w:val="nil"/>
              <w:right w:val="nil"/>
            </w:tcBorders>
            <w:shd w:val="clear" w:color="auto" w:fill="auto"/>
            <w:noWrap/>
            <w:vAlign w:val="center"/>
            <w:hideMark/>
          </w:tcPr>
          <w:p w14:paraId="55A758A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r>
      <w:tr w:rsidR="00ED74CE" w:rsidRPr="00120257" w14:paraId="7F6D679C" w14:textId="77777777" w:rsidTr="005E4B11">
        <w:trPr>
          <w:trHeight w:val="320"/>
        </w:trPr>
        <w:tc>
          <w:tcPr>
            <w:tcW w:w="3180" w:type="dxa"/>
            <w:tcBorders>
              <w:top w:val="nil"/>
              <w:left w:val="nil"/>
              <w:bottom w:val="nil"/>
              <w:right w:val="nil"/>
            </w:tcBorders>
            <w:shd w:val="clear" w:color="auto" w:fill="auto"/>
            <w:noWrap/>
            <w:vAlign w:val="bottom"/>
            <w:hideMark/>
          </w:tcPr>
          <w:p w14:paraId="0F13BBA6"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One- vs. Two-Factor Model</w:t>
            </w:r>
          </w:p>
        </w:tc>
        <w:tc>
          <w:tcPr>
            <w:tcW w:w="1600" w:type="dxa"/>
            <w:tcBorders>
              <w:top w:val="nil"/>
              <w:left w:val="nil"/>
              <w:bottom w:val="nil"/>
              <w:right w:val="nil"/>
            </w:tcBorders>
            <w:shd w:val="clear" w:color="auto" w:fill="auto"/>
            <w:noWrap/>
            <w:vAlign w:val="center"/>
            <w:hideMark/>
          </w:tcPr>
          <w:p w14:paraId="03127812"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40.36</w:t>
            </w:r>
          </w:p>
        </w:tc>
        <w:tc>
          <w:tcPr>
            <w:tcW w:w="885" w:type="dxa"/>
            <w:tcBorders>
              <w:top w:val="nil"/>
              <w:left w:val="nil"/>
              <w:bottom w:val="nil"/>
              <w:right w:val="nil"/>
            </w:tcBorders>
            <w:shd w:val="clear" w:color="auto" w:fill="auto"/>
            <w:noWrap/>
            <w:vAlign w:val="center"/>
            <w:hideMark/>
          </w:tcPr>
          <w:p w14:paraId="7694F6D2"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1</w:t>
            </w:r>
          </w:p>
        </w:tc>
        <w:tc>
          <w:tcPr>
            <w:tcW w:w="880" w:type="dxa"/>
            <w:tcBorders>
              <w:top w:val="nil"/>
              <w:left w:val="nil"/>
              <w:bottom w:val="nil"/>
              <w:right w:val="nil"/>
            </w:tcBorders>
            <w:shd w:val="clear" w:color="auto" w:fill="auto"/>
            <w:noWrap/>
            <w:vAlign w:val="center"/>
            <w:hideMark/>
          </w:tcPr>
          <w:p w14:paraId="4BCDBD8B"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&lt; .001</w:t>
            </w:r>
          </w:p>
        </w:tc>
        <w:tc>
          <w:tcPr>
            <w:tcW w:w="880" w:type="dxa"/>
            <w:tcBorders>
              <w:top w:val="nil"/>
              <w:left w:val="nil"/>
              <w:bottom w:val="nil"/>
              <w:right w:val="nil"/>
            </w:tcBorders>
            <w:shd w:val="clear" w:color="auto" w:fill="auto"/>
            <w:noWrap/>
            <w:vAlign w:val="center"/>
            <w:hideMark/>
          </w:tcPr>
          <w:p w14:paraId="2EED5371"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940" w:type="dxa"/>
            <w:tcBorders>
              <w:top w:val="nil"/>
              <w:left w:val="nil"/>
              <w:bottom w:val="nil"/>
              <w:right w:val="nil"/>
            </w:tcBorders>
            <w:shd w:val="clear" w:color="auto" w:fill="auto"/>
            <w:noWrap/>
            <w:vAlign w:val="center"/>
            <w:hideMark/>
          </w:tcPr>
          <w:p w14:paraId="61A6D6A3"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940" w:type="dxa"/>
            <w:tcBorders>
              <w:top w:val="nil"/>
              <w:left w:val="nil"/>
              <w:bottom w:val="nil"/>
              <w:right w:val="nil"/>
            </w:tcBorders>
            <w:shd w:val="clear" w:color="auto" w:fill="auto"/>
            <w:noWrap/>
            <w:vAlign w:val="center"/>
            <w:hideMark/>
          </w:tcPr>
          <w:p w14:paraId="58851B15"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880" w:type="dxa"/>
            <w:tcBorders>
              <w:top w:val="nil"/>
              <w:left w:val="nil"/>
              <w:bottom w:val="nil"/>
              <w:right w:val="nil"/>
            </w:tcBorders>
            <w:shd w:val="clear" w:color="auto" w:fill="auto"/>
            <w:noWrap/>
            <w:vAlign w:val="center"/>
            <w:hideMark/>
          </w:tcPr>
          <w:p w14:paraId="056CD5B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129" w:type="dxa"/>
            <w:tcBorders>
              <w:top w:val="nil"/>
              <w:left w:val="nil"/>
              <w:bottom w:val="nil"/>
              <w:right w:val="nil"/>
            </w:tcBorders>
            <w:shd w:val="clear" w:color="auto" w:fill="auto"/>
            <w:noWrap/>
            <w:vAlign w:val="bottom"/>
            <w:hideMark/>
          </w:tcPr>
          <w:p w14:paraId="3B5076B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129" w:type="dxa"/>
            <w:tcBorders>
              <w:top w:val="nil"/>
              <w:left w:val="nil"/>
              <w:bottom w:val="nil"/>
              <w:right w:val="nil"/>
            </w:tcBorders>
            <w:shd w:val="clear" w:color="auto" w:fill="auto"/>
            <w:noWrap/>
            <w:vAlign w:val="bottom"/>
            <w:hideMark/>
          </w:tcPr>
          <w:p w14:paraId="18E7607D"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r>
      <w:tr w:rsidR="00ED74CE" w:rsidRPr="00120257" w14:paraId="33A735DC" w14:textId="77777777" w:rsidTr="005E4B11">
        <w:trPr>
          <w:trHeight w:val="320"/>
        </w:trPr>
        <w:tc>
          <w:tcPr>
            <w:tcW w:w="3180" w:type="dxa"/>
            <w:tcBorders>
              <w:top w:val="nil"/>
              <w:left w:val="nil"/>
              <w:bottom w:val="nil"/>
              <w:right w:val="nil"/>
            </w:tcBorders>
            <w:shd w:val="clear" w:color="auto" w:fill="auto"/>
            <w:noWrap/>
            <w:vAlign w:val="bottom"/>
            <w:hideMark/>
          </w:tcPr>
          <w:p w14:paraId="232CC176"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Two- vs. Three-Factor Model</w:t>
            </w:r>
          </w:p>
        </w:tc>
        <w:tc>
          <w:tcPr>
            <w:tcW w:w="1600" w:type="dxa"/>
            <w:tcBorders>
              <w:top w:val="nil"/>
              <w:left w:val="nil"/>
              <w:bottom w:val="nil"/>
              <w:right w:val="nil"/>
            </w:tcBorders>
            <w:shd w:val="clear" w:color="auto" w:fill="auto"/>
            <w:noWrap/>
            <w:vAlign w:val="center"/>
            <w:hideMark/>
          </w:tcPr>
          <w:p w14:paraId="0706940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95.97</w:t>
            </w:r>
          </w:p>
        </w:tc>
        <w:tc>
          <w:tcPr>
            <w:tcW w:w="885" w:type="dxa"/>
            <w:tcBorders>
              <w:top w:val="nil"/>
              <w:left w:val="nil"/>
              <w:bottom w:val="nil"/>
              <w:right w:val="nil"/>
            </w:tcBorders>
            <w:shd w:val="clear" w:color="auto" w:fill="auto"/>
            <w:noWrap/>
            <w:vAlign w:val="center"/>
            <w:hideMark/>
          </w:tcPr>
          <w:p w14:paraId="226980F3"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2</w:t>
            </w:r>
          </w:p>
        </w:tc>
        <w:tc>
          <w:tcPr>
            <w:tcW w:w="880" w:type="dxa"/>
            <w:tcBorders>
              <w:top w:val="nil"/>
              <w:left w:val="nil"/>
              <w:bottom w:val="nil"/>
              <w:right w:val="nil"/>
            </w:tcBorders>
            <w:shd w:val="clear" w:color="auto" w:fill="auto"/>
            <w:noWrap/>
            <w:vAlign w:val="center"/>
            <w:hideMark/>
          </w:tcPr>
          <w:p w14:paraId="4484AACA"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&lt; .001</w:t>
            </w:r>
          </w:p>
        </w:tc>
        <w:tc>
          <w:tcPr>
            <w:tcW w:w="880" w:type="dxa"/>
            <w:tcBorders>
              <w:top w:val="nil"/>
              <w:left w:val="nil"/>
              <w:bottom w:val="nil"/>
              <w:right w:val="nil"/>
            </w:tcBorders>
            <w:shd w:val="clear" w:color="auto" w:fill="auto"/>
            <w:noWrap/>
            <w:vAlign w:val="center"/>
            <w:hideMark/>
          </w:tcPr>
          <w:p w14:paraId="3098F04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940" w:type="dxa"/>
            <w:tcBorders>
              <w:top w:val="nil"/>
              <w:left w:val="nil"/>
              <w:bottom w:val="nil"/>
              <w:right w:val="nil"/>
            </w:tcBorders>
            <w:shd w:val="clear" w:color="auto" w:fill="auto"/>
            <w:noWrap/>
            <w:vAlign w:val="center"/>
            <w:hideMark/>
          </w:tcPr>
          <w:p w14:paraId="7646DF62"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940" w:type="dxa"/>
            <w:tcBorders>
              <w:top w:val="nil"/>
              <w:left w:val="nil"/>
              <w:bottom w:val="nil"/>
              <w:right w:val="nil"/>
            </w:tcBorders>
            <w:shd w:val="clear" w:color="auto" w:fill="auto"/>
            <w:noWrap/>
            <w:vAlign w:val="center"/>
            <w:hideMark/>
          </w:tcPr>
          <w:p w14:paraId="17F49BA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880" w:type="dxa"/>
            <w:tcBorders>
              <w:top w:val="nil"/>
              <w:left w:val="nil"/>
              <w:bottom w:val="nil"/>
              <w:right w:val="nil"/>
            </w:tcBorders>
            <w:shd w:val="clear" w:color="auto" w:fill="auto"/>
            <w:noWrap/>
            <w:vAlign w:val="center"/>
            <w:hideMark/>
          </w:tcPr>
          <w:p w14:paraId="1E042279"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129" w:type="dxa"/>
            <w:tcBorders>
              <w:top w:val="nil"/>
              <w:left w:val="nil"/>
              <w:bottom w:val="nil"/>
              <w:right w:val="nil"/>
            </w:tcBorders>
            <w:shd w:val="clear" w:color="auto" w:fill="auto"/>
            <w:noWrap/>
            <w:vAlign w:val="bottom"/>
            <w:hideMark/>
          </w:tcPr>
          <w:p w14:paraId="1FAB366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p>
        </w:tc>
        <w:tc>
          <w:tcPr>
            <w:tcW w:w="1129" w:type="dxa"/>
            <w:tcBorders>
              <w:top w:val="nil"/>
              <w:left w:val="nil"/>
              <w:bottom w:val="nil"/>
              <w:right w:val="nil"/>
            </w:tcBorders>
            <w:shd w:val="clear" w:color="auto" w:fill="auto"/>
            <w:noWrap/>
            <w:vAlign w:val="bottom"/>
            <w:hideMark/>
          </w:tcPr>
          <w:p w14:paraId="0652DAF9"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p>
        </w:tc>
      </w:tr>
      <w:tr w:rsidR="00ED74CE" w:rsidRPr="00120257" w14:paraId="4997DA93" w14:textId="77777777" w:rsidTr="005E4B11">
        <w:trPr>
          <w:trHeight w:val="320"/>
        </w:trPr>
        <w:tc>
          <w:tcPr>
            <w:tcW w:w="3180" w:type="dxa"/>
            <w:tcBorders>
              <w:top w:val="nil"/>
              <w:left w:val="nil"/>
              <w:bottom w:val="single" w:sz="4" w:space="0" w:color="auto"/>
              <w:right w:val="nil"/>
            </w:tcBorders>
            <w:shd w:val="clear" w:color="auto" w:fill="auto"/>
            <w:noWrap/>
            <w:vAlign w:val="bottom"/>
            <w:hideMark/>
          </w:tcPr>
          <w:p w14:paraId="30CA03A0"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Three- vs. Four-Factor Model</w:t>
            </w:r>
          </w:p>
        </w:tc>
        <w:tc>
          <w:tcPr>
            <w:tcW w:w="1600" w:type="dxa"/>
            <w:tcBorders>
              <w:top w:val="nil"/>
              <w:left w:val="nil"/>
              <w:bottom w:val="single" w:sz="4" w:space="0" w:color="auto"/>
              <w:right w:val="nil"/>
            </w:tcBorders>
            <w:shd w:val="clear" w:color="auto" w:fill="auto"/>
            <w:noWrap/>
            <w:vAlign w:val="center"/>
            <w:hideMark/>
          </w:tcPr>
          <w:p w14:paraId="50F9EEA3"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55.71</w:t>
            </w:r>
          </w:p>
        </w:tc>
        <w:tc>
          <w:tcPr>
            <w:tcW w:w="885" w:type="dxa"/>
            <w:tcBorders>
              <w:top w:val="nil"/>
              <w:left w:val="nil"/>
              <w:bottom w:val="single" w:sz="4" w:space="0" w:color="auto"/>
              <w:right w:val="nil"/>
            </w:tcBorders>
            <w:shd w:val="clear" w:color="auto" w:fill="auto"/>
            <w:noWrap/>
            <w:vAlign w:val="center"/>
            <w:hideMark/>
          </w:tcPr>
          <w:p w14:paraId="1F44B111"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3</w:t>
            </w:r>
          </w:p>
        </w:tc>
        <w:tc>
          <w:tcPr>
            <w:tcW w:w="880" w:type="dxa"/>
            <w:tcBorders>
              <w:top w:val="nil"/>
              <w:left w:val="nil"/>
              <w:bottom w:val="single" w:sz="4" w:space="0" w:color="auto"/>
              <w:right w:val="nil"/>
            </w:tcBorders>
            <w:shd w:val="clear" w:color="auto" w:fill="auto"/>
            <w:noWrap/>
            <w:vAlign w:val="center"/>
            <w:hideMark/>
          </w:tcPr>
          <w:p w14:paraId="2949A874"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hAnsi="Times New Roman" w:cs="Times New Roman"/>
                <w:color w:val="000000" w:themeColor="text1"/>
                <w:sz w:val="22"/>
                <w:szCs w:val="22"/>
              </w:rPr>
              <w:t>&lt; .001</w:t>
            </w:r>
          </w:p>
        </w:tc>
        <w:tc>
          <w:tcPr>
            <w:tcW w:w="880" w:type="dxa"/>
            <w:tcBorders>
              <w:top w:val="nil"/>
              <w:left w:val="nil"/>
              <w:bottom w:val="single" w:sz="4" w:space="0" w:color="auto"/>
              <w:right w:val="nil"/>
            </w:tcBorders>
            <w:shd w:val="clear" w:color="auto" w:fill="auto"/>
            <w:noWrap/>
            <w:vAlign w:val="center"/>
            <w:hideMark/>
          </w:tcPr>
          <w:p w14:paraId="09D0245D"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c>
          <w:tcPr>
            <w:tcW w:w="1940" w:type="dxa"/>
            <w:tcBorders>
              <w:top w:val="nil"/>
              <w:left w:val="nil"/>
              <w:bottom w:val="single" w:sz="4" w:space="0" w:color="auto"/>
              <w:right w:val="nil"/>
            </w:tcBorders>
            <w:shd w:val="clear" w:color="auto" w:fill="auto"/>
            <w:noWrap/>
            <w:vAlign w:val="center"/>
            <w:hideMark/>
          </w:tcPr>
          <w:p w14:paraId="110FBC6F"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c>
          <w:tcPr>
            <w:tcW w:w="1940" w:type="dxa"/>
            <w:tcBorders>
              <w:top w:val="nil"/>
              <w:left w:val="nil"/>
              <w:bottom w:val="single" w:sz="4" w:space="0" w:color="auto"/>
              <w:right w:val="nil"/>
            </w:tcBorders>
            <w:shd w:val="clear" w:color="auto" w:fill="auto"/>
            <w:noWrap/>
            <w:vAlign w:val="center"/>
            <w:hideMark/>
          </w:tcPr>
          <w:p w14:paraId="23BCAE1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c>
          <w:tcPr>
            <w:tcW w:w="880" w:type="dxa"/>
            <w:tcBorders>
              <w:top w:val="nil"/>
              <w:left w:val="nil"/>
              <w:bottom w:val="single" w:sz="4" w:space="0" w:color="auto"/>
              <w:right w:val="nil"/>
            </w:tcBorders>
            <w:shd w:val="clear" w:color="auto" w:fill="auto"/>
            <w:noWrap/>
            <w:vAlign w:val="center"/>
            <w:hideMark/>
          </w:tcPr>
          <w:p w14:paraId="186F71F0"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c>
          <w:tcPr>
            <w:tcW w:w="1129" w:type="dxa"/>
            <w:tcBorders>
              <w:top w:val="nil"/>
              <w:left w:val="nil"/>
              <w:bottom w:val="single" w:sz="4" w:space="0" w:color="auto"/>
              <w:right w:val="nil"/>
            </w:tcBorders>
            <w:shd w:val="clear" w:color="auto" w:fill="auto"/>
            <w:noWrap/>
            <w:vAlign w:val="center"/>
            <w:hideMark/>
          </w:tcPr>
          <w:p w14:paraId="0672C5E7"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c>
          <w:tcPr>
            <w:tcW w:w="1129" w:type="dxa"/>
            <w:tcBorders>
              <w:top w:val="nil"/>
              <w:left w:val="nil"/>
              <w:bottom w:val="single" w:sz="4" w:space="0" w:color="auto"/>
              <w:right w:val="nil"/>
            </w:tcBorders>
            <w:shd w:val="clear" w:color="auto" w:fill="auto"/>
            <w:noWrap/>
            <w:vAlign w:val="center"/>
            <w:hideMark/>
          </w:tcPr>
          <w:p w14:paraId="7C1EEDDB" w14:textId="77777777" w:rsidR="00ED74CE" w:rsidRPr="00120257" w:rsidRDefault="00ED74CE" w:rsidP="005E4B11">
            <w:pPr>
              <w:jc w:val="cente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w:t>
            </w:r>
          </w:p>
        </w:tc>
      </w:tr>
      <w:tr w:rsidR="00ED74CE" w:rsidRPr="00120257" w14:paraId="31845E78" w14:textId="77777777" w:rsidTr="005E4B11">
        <w:trPr>
          <w:trHeight w:val="1200"/>
        </w:trPr>
        <w:tc>
          <w:tcPr>
            <w:tcW w:w="14443" w:type="dxa"/>
            <w:gridSpan w:val="10"/>
            <w:tcBorders>
              <w:top w:val="nil"/>
              <w:left w:val="nil"/>
              <w:bottom w:val="nil"/>
              <w:right w:val="nil"/>
            </w:tcBorders>
            <w:shd w:val="clear" w:color="auto" w:fill="auto"/>
            <w:hideMark/>
          </w:tcPr>
          <w:p w14:paraId="61A92885" w14:textId="77777777" w:rsidR="00ED74CE" w:rsidRPr="00120257" w:rsidRDefault="00ED74CE" w:rsidP="005E4B11">
            <w:pPr>
              <w:rPr>
                <w:rFonts w:ascii="Times New Roman" w:eastAsia="Times New Roman" w:hAnsi="Times New Roman" w:cs="Times New Roman"/>
                <w:color w:val="000000" w:themeColor="text1"/>
                <w:kern w:val="0"/>
                <w:sz w:val="22"/>
                <w:szCs w:val="22"/>
                <w:lang w:val="en-HK"/>
                <w14:ligatures w14:val="none"/>
              </w:rPr>
            </w:pPr>
            <w:r w:rsidRPr="00120257">
              <w:rPr>
                <w:rFonts w:ascii="Times New Roman" w:eastAsia="Times New Roman" w:hAnsi="Times New Roman" w:cs="Times New Roman"/>
                <w:color w:val="000000" w:themeColor="text1"/>
                <w:kern w:val="0"/>
                <w:sz w:val="22"/>
                <w:szCs w:val="22"/>
                <w:lang w:val="en-HK"/>
                <w14:ligatures w14:val="none"/>
              </w:rPr>
              <w:t xml:space="preserve">Note. CFI = Comparative Fit Index; TLI = Tucker-Lewis Index; RMSEA = Root Mean Square Error of Approximation; CI = Confidence Interval; SRMR = Standardized Root Mean Square Residual; AIC = Akaike Information Criterion; BIC = Bayesian Information Criterion. Δχ² = </w:t>
            </w:r>
            <w:r>
              <w:rPr>
                <w:rFonts w:ascii="Times New Roman" w:eastAsia="Times New Roman" w:hAnsi="Times New Roman" w:cs="Times New Roman" w:hint="eastAsia"/>
                <w:color w:val="000000" w:themeColor="text1"/>
                <w:kern w:val="0"/>
                <w:sz w:val="22"/>
                <w:szCs w:val="22"/>
                <w:lang w:val="en-HK"/>
                <w14:ligatures w14:val="none"/>
              </w:rPr>
              <w:t>c</w:t>
            </w:r>
            <w:r w:rsidRPr="00120257">
              <w:rPr>
                <w:rFonts w:ascii="Times New Roman" w:eastAsia="Times New Roman" w:hAnsi="Times New Roman" w:cs="Times New Roman"/>
                <w:color w:val="000000" w:themeColor="text1"/>
                <w:kern w:val="0"/>
                <w:sz w:val="22"/>
                <w:szCs w:val="22"/>
                <w:lang w:val="en-HK"/>
                <w14:ligatures w14:val="none"/>
              </w:rPr>
              <w:t>hi</w:t>
            </w:r>
            <w:r>
              <w:rPr>
                <w:rFonts w:ascii="Times New Roman" w:eastAsia="Times New Roman" w:hAnsi="Times New Roman" w:cs="Times New Roman" w:hint="eastAsia"/>
                <w:color w:val="000000" w:themeColor="text1"/>
                <w:kern w:val="0"/>
                <w:sz w:val="22"/>
                <w:szCs w:val="22"/>
                <w:lang w:val="en-HK"/>
                <w14:ligatures w14:val="none"/>
              </w:rPr>
              <w:t>-s</w:t>
            </w:r>
            <w:r w:rsidRPr="00120257">
              <w:rPr>
                <w:rFonts w:ascii="Times New Roman" w:eastAsia="Times New Roman" w:hAnsi="Times New Roman" w:cs="Times New Roman"/>
                <w:color w:val="000000" w:themeColor="text1"/>
                <w:kern w:val="0"/>
                <w:sz w:val="22"/>
                <w:szCs w:val="22"/>
                <w:lang w:val="en-HK"/>
                <w14:ligatures w14:val="none"/>
              </w:rPr>
              <w:t xml:space="preserve">quare difference test; </w:t>
            </w:r>
            <w:proofErr w:type="spellStart"/>
            <w:r w:rsidRPr="00120257">
              <w:rPr>
                <w:rFonts w:ascii="Times New Roman" w:eastAsia="Times New Roman" w:hAnsi="Times New Roman" w:cs="Times New Roman"/>
                <w:color w:val="000000" w:themeColor="text1"/>
                <w:kern w:val="0"/>
                <w:sz w:val="22"/>
                <w:szCs w:val="22"/>
                <w:lang w:val="en-HK"/>
                <w14:ligatures w14:val="none"/>
              </w:rPr>
              <w:t>Δ</w:t>
            </w:r>
            <w:r w:rsidRPr="00E42E4D">
              <w:rPr>
                <w:rFonts w:ascii="Times New Roman" w:eastAsia="Times New Roman" w:hAnsi="Times New Roman" w:cs="Times New Roman"/>
                <w:i/>
                <w:iCs/>
                <w:color w:val="000000" w:themeColor="text1"/>
                <w:kern w:val="0"/>
                <w:sz w:val="22"/>
                <w:szCs w:val="22"/>
                <w:lang w:val="en-HK"/>
                <w14:ligatures w14:val="none"/>
              </w:rPr>
              <w:t>df</w:t>
            </w:r>
            <w:proofErr w:type="spellEnd"/>
            <w:r w:rsidRPr="00120257">
              <w:rPr>
                <w:rFonts w:ascii="Times New Roman" w:eastAsia="Times New Roman" w:hAnsi="Times New Roman" w:cs="Times New Roman"/>
                <w:color w:val="000000" w:themeColor="text1"/>
                <w:kern w:val="0"/>
                <w:sz w:val="22"/>
                <w:szCs w:val="22"/>
                <w:lang w:val="en-HK"/>
                <w14:ligatures w14:val="none"/>
              </w:rPr>
              <w:t xml:space="preserve"> = Difference in degrees of freedom.</w:t>
            </w:r>
          </w:p>
        </w:tc>
      </w:tr>
    </w:tbl>
    <w:p w14:paraId="3E28E781" w14:textId="77777777" w:rsidR="00ED74CE" w:rsidRPr="00120257" w:rsidRDefault="00ED74CE" w:rsidP="00ED74CE">
      <w:pPr>
        <w:rPr>
          <w:rFonts w:ascii="Times New Roman" w:hAnsi="Times New Roman" w:cs="Times New Roman"/>
          <w:color w:val="000000" w:themeColor="text1"/>
          <w:kern w:val="0"/>
          <w:lang w:val="en-HK"/>
        </w:rPr>
      </w:pPr>
    </w:p>
    <w:p w14:paraId="42460566" w14:textId="77777777" w:rsidR="00ED74CE" w:rsidRPr="00120257" w:rsidRDefault="00ED74CE" w:rsidP="00ED74CE">
      <w:pPr>
        <w:pStyle w:val="BodyText"/>
        <w:ind w:right="221" w:firstLine="567"/>
        <w:rPr>
          <w:color w:val="000000" w:themeColor="text1"/>
          <w:lang w:val="en-HK"/>
        </w:rPr>
      </w:pPr>
    </w:p>
    <w:p w14:paraId="7B761DF1" w14:textId="77777777" w:rsidR="00ED74CE" w:rsidRDefault="00ED74CE">
      <w:pPr>
        <w:rPr>
          <w:lang w:val="en-HK"/>
        </w:rPr>
        <w:sectPr w:rsidR="00ED74CE" w:rsidSect="00ED74CE">
          <w:pgSz w:w="16838" w:h="11906" w:orient="landscape"/>
          <w:pgMar w:top="1440" w:right="1440" w:bottom="1440" w:left="1440" w:header="708" w:footer="708" w:gutter="0"/>
          <w:cols w:space="708"/>
          <w:docGrid w:linePitch="360"/>
        </w:sectPr>
      </w:pPr>
    </w:p>
    <w:p w14:paraId="76DB6256" w14:textId="0892F866" w:rsidR="00ED74CE" w:rsidRDefault="00ED74CE" w:rsidP="00ED74CE">
      <w:pPr>
        <w:adjustRightInd w:val="0"/>
        <w:snapToGrid w:val="0"/>
        <w:spacing w:line="480" w:lineRule="auto"/>
        <w:ind w:left="567" w:hanging="567"/>
        <w:jc w:val="center"/>
        <w:rPr>
          <w:rFonts w:ascii="Times New Roman" w:eastAsia="Times New Roman" w:hAnsi="Times New Roman" w:cs="Times New Roman"/>
          <w:color w:val="000000" w:themeColor="text1"/>
          <w:kern w:val="0"/>
          <w:lang w:val="en-HK"/>
          <w14:ligatures w14:val="none"/>
        </w:rPr>
      </w:pPr>
      <w:r w:rsidRPr="00E42E4D">
        <w:rPr>
          <w:rFonts w:ascii="Times New Roman" w:eastAsia="Times New Roman" w:hAnsi="Times New Roman" w:cs="Times New Roman"/>
          <w:b/>
          <w:bCs/>
          <w:color w:val="000000" w:themeColor="text1"/>
          <w:kern w:val="0"/>
          <w14:ligatures w14:val="none"/>
        </w:rPr>
        <w:lastRenderedPageBreak/>
        <w:t>References</w:t>
      </w:r>
    </w:p>
    <w:p w14:paraId="139F43E9" w14:textId="46AFCB55" w:rsidR="00ED74CE" w:rsidRDefault="00ED74CE" w:rsidP="00ED74CE">
      <w:pPr>
        <w:spacing w:line="480" w:lineRule="auto"/>
        <w:ind w:left="567" w:hanging="567"/>
        <w:rPr>
          <w:rFonts w:ascii="Times New Roman" w:eastAsia="Times New Roman" w:hAnsi="Times New Roman" w:cs="Times New Roman" w:hint="eastAsia"/>
          <w:color w:val="000000" w:themeColor="text1"/>
          <w:kern w:val="0"/>
          <w14:ligatures w14:val="none"/>
        </w:rPr>
      </w:pPr>
      <w:proofErr w:type="spellStart"/>
      <w:r w:rsidRPr="00E42E4D">
        <w:rPr>
          <w:rFonts w:ascii="Times New Roman" w:eastAsia="Times New Roman" w:hAnsi="Times New Roman" w:cs="Times New Roman"/>
          <w:color w:val="000000" w:themeColor="text1"/>
          <w:kern w:val="0"/>
          <w14:ligatures w14:val="none"/>
        </w:rPr>
        <w:t>Biringen</w:t>
      </w:r>
      <w:proofErr w:type="spellEnd"/>
      <w:r w:rsidRPr="00E42E4D">
        <w:rPr>
          <w:rFonts w:ascii="Times New Roman" w:eastAsia="Times New Roman" w:hAnsi="Times New Roman" w:cs="Times New Roman"/>
          <w:color w:val="000000" w:themeColor="text1"/>
          <w:kern w:val="0"/>
          <w14:ligatures w14:val="none"/>
        </w:rPr>
        <w:t xml:space="preserve">, Z., Robinson, J. L., &amp; </w:t>
      </w:r>
      <w:proofErr w:type="spellStart"/>
      <w:r w:rsidRPr="00E42E4D">
        <w:rPr>
          <w:rFonts w:ascii="Times New Roman" w:eastAsia="Times New Roman" w:hAnsi="Times New Roman" w:cs="Times New Roman"/>
          <w:color w:val="000000" w:themeColor="text1"/>
          <w:kern w:val="0"/>
          <w14:ligatures w14:val="none"/>
        </w:rPr>
        <w:t>Emde</w:t>
      </w:r>
      <w:proofErr w:type="spellEnd"/>
      <w:r w:rsidRPr="00E42E4D">
        <w:rPr>
          <w:rFonts w:ascii="Times New Roman" w:eastAsia="Times New Roman" w:hAnsi="Times New Roman" w:cs="Times New Roman"/>
          <w:color w:val="000000" w:themeColor="text1"/>
          <w:kern w:val="0"/>
          <w14:ligatures w14:val="none"/>
        </w:rPr>
        <w:t xml:space="preserve">, R. N. (2000). Appendix B: The emotional availability scales (an abridged infancy/early childhood version). </w:t>
      </w:r>
      <w:r w:rsidRPr="00E42E4D">
        <w:rPr>
          <w:rFonts w:ascii="Times New Roman" w:eastAsia="Times New Roman" w:hAnsi="Times New Roman" w:cs="Times New Roman"/>
          <w:i/>
          <w:iCs/>
          <w:color w:val="000000" w:themeColor="text1"/>
          <w:kern w:val="0"/>
          <w14:ligatures w14:val="none"/>
        </w:rPr>
        <w:t>Attachment &amp; Human Development</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2</w:t>
      </w:r>
      <w:r w:rsidRPr="00E42E4D">
        <w:rPr>
          <w:rFonts w:ascii="Times New Roman" w:eastAsia="Times New Roman" w:hAnsi="Times New Roman" w:cs="Times New Roman"/>
          <w:color w:val="000000" w:themeColor="text1"/>
          <w:kern w:val="0"/>
          <w14:ligatures w14:val="none"/>
        </w:rPr>
        <w:t>(2), 256–270.</w:t>
      </w:r>
    </w:p>
    <w:p w14:paraId="6168991A" w14:textId="77777777" w:rsidR="00ED74CE" w:rsidRDefault="00ED74CE" w:rsidP="00ED74C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Dreyer, B. P., Mendelsohn, A. L., &amp; Tamis‐</w:t>
      </w:r>
      <w:proofErr w:type="spellStart"/>
      <w:r w:rsidRPr="00E42E4D">
        <w:rPr>
          <w:rFonts w:ascii="Times New Roman" w:eastAsia="Times New Roman" w:hAnsi="Times New Roman" w:cs="Times New Roman"/>
          <w:color w:val="000000" w:themeColor="text1"/>
          <w:kern w:val="0"/>
          <w14:ligatures w14:val="none"/>
        </w:rPr>
        <w:t>LeMonda</w:t>
      </w:r>
      <w:proofErr w:type="spellEnd"/>
      <w:r w:rsidRPr="00E42E4D">
        <w:rPr>
          <w:rFonts w:ascii="Times New Roman" w:eastAsia="Times New Roman" w:hAnsi="Times New Roman" w:cs="Times New Roman"/>
          <w:color w:val="000000" w:themeColor="text1"/>
          <w:kern w:val="0"/>
          <w14:ligatures w14:val="none"/>
        </w:rPr>
        <w:t xml:space="preserve">, C. S. (1996). Assessing the child’s cognitive home environment through parental report; reliability and validity. </w:t>
      </w:r>
      <w:r w:rsidRPr="00E42E4D">
        <w:rPr>
          <w:rFonts w:ascii="Times New Roman" w:eastAsia="Times New Roman" w:hAnsi="Times New Roman" w:cs="Times New Roman"/>
          <w:i/>
          <w:iCs/>
          <w:color w:val="000000" w:themeColor="text1"/>
          <w:kern w:val="0"/>
          <w14:ligatures w14:val="none"/>
        </w:rPr>
        <w:t>Early Development and Parenting: An International Journal of Research and Practice</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5</w:t>
      </w:r>
      <w:r w:rsidRPr="00E42E4D">
        <w:rPr>
          <w:rFonts w:ascii="Times New Roman" w:eastAsia="Times New Roman" w:hAnsi="Times New Roman" w:cs="Times New Roman"/>
          <w:color w:val="000000" w:themeColor="text1"/>
          <w:kern w:val="0"/>
          <w14:ligatures w14:val="none"/>
        </w:rPr>
        <w:t>(4), 271–287.</w:t>
      </w:r>
    </w:p>
    <w:p w14:paraId="63A99B36" w14:textId="562FCA8F" w:rsidR="00ED74CE" w:rsidRDefault="00ED74CE" w:rsidP="00ED74CE">
      <w:pPr>
        <w:spacing w:line="480" w:lineRule="auto"/>
        <w:ind w:left="567" w:hanging="567"/>
        <w:rPr>
          <w:rFonts w:ascii="Times New Roman" w:eastAsia="Times New Roman" w:hAnsi="Times New Roman" w:cs="Times New Roman"/>
          <w:color w:val="000000" w:themeColor="text1"/>
          <w:kern w:val="0"/>
          <w14:ligatures w14:val="none"/>
        </w:rPr>
      </w:pPr>
      <w:proofErr w:type="spellStart"/>
      <w:r w:rsidRPr="00E42E4D">
        <w:rPr>
          <w:rFonts w:ascii="Times New Roman" w:eastAsia="Times New Roman" w:hAnsi="Times New Roman" w:cs="Times New Roman"/>
          <w:color w:val="000000" w:themeColor="text1"/>
          <w:kern w:val="0"/>
          <w14:ligatures w14:val="none"/>
        </w:rPr>
        <w:t>Eyberg</w:t>
      </w:r>
      <w:proofErr w:type="spellEnd"/>
      <w:r w:rsidRPr="00E42E4D">
        <w:rPr>
          <w:rFonts w:ascii="Times New Roman" w:eastAsia="Times New Roman" w:hAnsi="Times New Roman" w:cs="Times New Roman"/>
          <w:color w:val="000000" w:themeColor="text1"/>
          <w:kern w:val="0"/>
          <w14:ligatures w14:val="none"/>
        </w:rPr>
        <w:t xml:space="preserve">, S. M., &amp; Robinson, E. A. (1981). </w:t>
      </w:r>
      <w:r w:rsidRPr="00E42E4D">
        <w:rPr>
          <w:rFonts w:ascii="Times New Roman" w:eastAsia="Times New Roman" w:hAnsi="Times New Roman" w:cs="Times New Roman"/>
          <w:i/>
          <w:iCs/>
          <w:color w:val="000000" w:themeColor="text1"/>
          <w:kern w:val="0"/>
          <w14:ligatures w14:val="none"/>
        </w:rPr>
        <w:t>Dyadic parent-child interaction coding system: A manual.</w:t>
      </w:r>
      <w:r w:rsidRPr="00E42E4D">
        <w:rPr>
          <w:rFonts w:ascii="Times New Roman" w:eastAsia="Times New Roman" w:hAnsi="Times New Roman" w:cs="Times New Roman"/>
          <w:color w:val="000000" w:themeColor="text1"/>
          <w:kern w:val="0"/>
          <w14:ligatures w14:val="none"/>
        </w:rPr>
        <w:t xml:space="preserve"> Washington, DC: American Psychological Association.</w:t>
      </w:r>
    </w:p>
    <w:p w14:paraId="31625A95" w14:textId="77777777" w:rsidR="00AB1E79" w:rsidRDefault="00AB1E79" w:rsidP="00ED74CE">
      <w:pPr>
        <w:spacing w:line="480" w:lineRule="auto"/>
        <w:ind w:left="567" w:hanging="567"/>
        <w:rPr>
          <w:rFonts w:ascii="Times New Roman" w:eastAsia="Times New Roman" w:hAnsi="Times New Roman" w:cs="Times New Roman"/>
          <w:color w:val="000000" w:themeColor="text1"/>
          <w:kern w:val="0"/>
          <w14:ligatures w14:val="none"/>
        </w:rPr>
      </w:pPr>
      <w:r w:rsidRPr="00AB1E79">
        <w:rPr>
          <w:rFonts w:ascii="Times New Roman" w:eastAsia="Times New Roman" w:hAnsi="Times New Roman" w:cs="Times New Roman"/>
          <w:color w:val="000000" w:themeColor="text1"/>
          <w:kern w:val="0"/>
          <w14:ligatures w14:val="none"/>
        </w:rPr>
        <w:t xml:space="preserve">Feldman, R. (1998). </w:t>
      </w:r>
      <w:r w:rsidRPr="00AB1E79">
        <w:rPr>
          <w:rFonts w:ascii="Times New Roman" w:eastAsia="Times New Roman" w:hAnsi="Times New Roman" w:cs="Times New Roman"/>
          <w:i/>
          <w:iCs/>
          <w:color w:val="000000" w:themeColor="text1"/>
          <w:kern w:val="0"/>
          <w14:ligatures w14:val="none"/>
        </w:rPr>
        <w:t>Coding interactive behavior manual.</w:t>
      </w:r>
      <w:r w:rsidRPr="00AB1E79">
        <w:rPr>
          <w:rFonts w:ascii="Times New Roman" w:eastAsia="Times New Roman" w:hAnsi="Times New Roman" w:cs="Times New Roman"/>
          <w:color w:val="000000" w:themeColor="text1"/>
          <w:kern w:val="0"/>
          <w14:ligatures w14:val="none"/>
        </w:rPr>
        <w:t xml:space="preserve"> Unpublished Manual; Bar-Ilan University, </w:t>
      </w:r>
      <w:proofErr w:type="spellStart"/>
      <w:r w:rsidRPr="00AB1E79">
        <w:rPr>
          <w:rFonts w:ascii="Times New Roman" w:eastAsia="Times New Roman" w:hAnsi="Times New Roman" w:cs="Times New Roman"/>
          <w:color w:val="000000" w:themeColor="text1"/>
          <w:kern w:val="0"/>
          <w14:ligatures w14:val="none"/>
        </w:rPr>
        <w:t>Israel.</w:t>
      </w:r>
    </w:p>
    <w:p w14:paraId="273B6F31" w14:textId="523AB5EE" w:rsidR="00ED74CE" w:rsidRDefault="00ED74CE" w:rsidP="00ED74C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Fennin</w:t>
      </w:r>
      <w:proofErr w:type="spellEnd"/>
      <w:r w:rsidRPr="00E42E4D">
        <w:rPr>
          <w:rFonts w:ascii="Times New Roman" w:eastAsia="Times New Roman" w:hAnsi="Times New Roman" w:cs="Times New Roman"/>
          <w:color w:val="000000" w:themeColor="text1"/>
          <w:kern w:val="0"/>
          <w14:ligatures w14:val="none"/>
        </w:rPr>
        <w:t>g, R. M., &amp; Baker, J. K. (2012). Mother-child interaction and resilience in children with early developmental risk.</w:t>
      </w:r>
      <w:r w:rsidRPr="00E42E4D">
        <w:rPr>
          <w:rFonts w:ascii="Times New Roman" w:eastAsia="Times New Roman" w:hAnsi="Times New Roman" w:cs="Times New Roman"/>
          <w:i/>
          <w:iCs/>
          <w:color w:val="000000" w:themeColor="text1"/>
          <w:kern w:val="0"/>
          <w14:ligatures w14:val="none"/>
        </w:rPr>
        <w:t xml:space="preserve"> Journal of Family Psychology</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26</w:t>
      </w:r>
      <w:r w:rsidRPr="00E42E4D">
        <w:rPr>
          <w:rFonts w:ascii="Times New Roman" w:eastAsia="Times New Roman" w:hAnsi="Times New Roman" w:cs="Times New Roman"/>
          <w:color w:val="000000" w:themeColor="text1"/>
          <w:kern w:val="0"/>
          <w14:ligatures w14:val="none"/>
        </w:rPr>
        <w:t>(3), 411.</w:t>
      </w:r>
    </w:p>
    <w:p w14:paraId="6AC17A85" w14:textId="6AFBF69B" w:rsidR="00ED74CE" w:rsidRDefault="00ED74CE" w:rsidP="00ED74CE">
      <w:pPr>
        <w:spacing w:line="480" w:lineRule="auto"/>
        <w:ind w:left="567" w:hanging="567"/>
        <w:rPr>
          <w:rFonts w:ascii="Times New Roman" w:eastAsia="Times New Roman" w:hAnsi="Times New Roman" w:cs="Times New Roman"/>
          <w:color w:val="000000" w:themeColor="text1"/>
          <w:kern w:val="0"/>
          <w14:ligatures w14:val="none"/>
        </w:rPr>
      </w:pPr>
      <w:proofErr w:type="spellStart"/>
      <w:r w:rsidRPr="00E42E4D">
        <w:rPr>
          <w:rFonts w:ascii="Times New Roman" w:eastAsia="Times New Roman" w:hAnsi="Times New Roman" w:cs="Times New Roman"/>
          <w:color w:val="000000" w:themeColor="text1"/>
          <w:kern w:val="0"/>
          <w14:ligatures w14:val="none"/>
        </w:rPr>
        <w:t>Hamadani</w:t>
      </w:r>
      <w:proofErr w:type="spellEnd"/>
      <w:r w:rsidRPr="00E42E4D">
        <w:rPr>
          <w:rFonts w:ascii="Times New Roman" w:eastAsia="Times New Roman" w:hAnsi="Times New Roman" w:cs="Times New Roman"/>
          <w:color w:val="000000" w:themeColor="text1"/>
          <w:kern w:val="0"/>
          <w14:ligatures w14:val="none"/>
        </w:rPr>
        <w:t xml:space="preserve">, J. D., </w:t>
      </w:r>
      <w:proofErr w:type="spellStart"/>
      <w:r w:rsidRPr="00E42E4D">
        <w:rPr>
          <w:rFonts w:ascii="Times New Roman" w:eastAsia="Times New Roman" w:hAnsi="Times New Roman" w:cs="Times New Roman"/>
          <w:color w:val="000000" w:themeColor="text1"/>
          <w:kern w:val="0"/>
          <w14:ligatures w14:val="none"/>
        </w:rPr>
        <w:t>Tofail</w:t>
      </w:r>
      <w:proofErr w:type="spellEnd"/>
      <w:r w:rsidRPr="00E42E4D">
        <w:rPr>
          <w:rFonts w:ascii="Times New Roman" w:eastAsia="Times New Roman" w:hAnsi="Times New Roman" w:cs="Times New Roman"/>
          <w:color w:val="000000" w:themeColor="text1"/>
          <w:kern w:val="0"/>
          <w14:ligatures w14:val="none"/>
        </w:rPr>
        <w:t xml:space="preserve">, F., </w:t>
      </w:r>
      <w:proofErr w:type="spellStart"/>
      <w:r w:rsidRPr="00E42E4D">
        <w:rPr>
          <w:rFonts w:ascii="Times New Roman" w:eastAsia="Times New Roman" w:hAnsi="Times New Roman" w:cs="Times New Roman"/>
          <w:color w:val="000000" w:themeColor="text1"/>
          <w:kern w:val="0"/>
          <w14:ligatures w14:val="none"/>
        </w:rPr>
        <w:t>Hilaly</w:t>
      </w:r>
      <w:proofErr w:type="spellEnd"/>
      <w:r w:rsidRPr="00E42E4D">
        <w:rPr>
          <w:rFonts w:ascii="Times New Roman" w:eastAsia="Times New Roman" w:hAnsi="Times New Roman" w:cs="Times New Roman"/>
          <w:color w:val="000000" w:themeColor="text1"/>
          <w:kern w:val="0"/>
          <w14:ligatures w14:val="none"/>
        </w:rPr>
        <w:t xml:space="preserve">, A., Huda, S. N., Engle, P., &amp; Grantham-McGregor, S. M. (2010). Use of family care indicators and their relationship with child development in Bangladesh. </w:t>
      </w:r>
      <w:r w:rsidRPr="00E42E4D">
        <w:rPr>
          <w:rFonts w:ascii="Times New Roman" w:eastAsia="Times New Roman" w:hAnsi="Times New Roman" w:cs="Times New Roman"/>
          <w:i/>
          <w:iCs/>
          <w:color w:val="000000" w:themeColor="text1"/>
          <w:kern w:val="0"/>
          <w14:ligatures w14:val="none"/>
        </w:rPr>
        <w:t>Journal of Health, Population and Nutrition</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28</w:t>
      </w:r>
      <w:r w:rsidRPr="00E42E4D">
        <w:rPr>
          <w:rFonts w:ascii="Times New Roman" w:eastAsia="Times New Roman" w:hAnsi="Times New Roman" w:cs="Times New Roman"/>
          <w:color w:val="000000" w:themeColor="text1"/>
          <w:kern w:val="0"/>
          <w14:ligatures w14:val="none"/>
        </w:rPr>
        <w:t xml:space="preserve">(1), 23–33. </w:t>
      </w:r>
      <w:hyperlink r:id="rId8" w:history="1">
        <w:r w:rsidR="00A34AAE" w:rsidRPr="00ED39C6">
          <w:rPr>
            <w:rStyle w:val="Hyperlink"/>
            <w:rFonts w:ascii="Times New Roman" w:eastAsia="Times New Roman" w:hAnsi="Times New Roman" w:cs="Times New Roman"/>
            <w:kern w:val="0"/>
            <w14:ligatures w14:val="none"/>
          </w:rPr>
          <w:t>https://doi.org/10.3329/jhpn.v28i1.4520</w:t>
        </w:r>
      </w:hyperlink>
    </w:p>
    <w:p w14:paraId="6FCEB3FE" w14:textId="60FF8541" w:rsidR="00A34AAE"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Hindman, A. H., &amp; Morrison, F. J. (2012). Differential contributions of three parenting dimensions to preschool literacy and social skills in a middle-income sample. </w:t>
      </w:r>
      <w:r w:rsidRPr="00E42E4D">
        <w:rPr>
          <w:rFonts w:ascii="Times New Roman" w:eastAsia="Times New Roman" w:hAnsi="Times New Roman" w:cs="Times New Roman"/>
          <w:i/>
          <w:iCs/>
          <w:color w:val="000000" w:themeColor="text1"/>
          <w:kern w:val="0"/>
          <w14:ligatures w14:val="none"/>
        </w:rPr>
        <w:t>Merrill-Palmer Quarterly</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58</w:t>
      </w:r>
      <w:r w:rsidRPr="00E42E4D">
        <w:rPr>
          <w:rFonts w:ascii="Times New Roman" w:eastAsia="Times New Roman" w:hAnsi="Times New Roman" w:cs="Times New Roman"/>
          <w:color w:val="000000" w:themeColor="text1"/>
          <w:kern w:val="0"/>
          <w14:ligatures w14:val="none"/>
        </w:rPr>
        <w:t xml:space="preserve">(2), 191–223. </w:t>
      </w:r>
      <w:hyperlink r:id="rId9" w:history="1">
        <w:r w:rsidRPr="00ED39C6">
          <w:rPr>
            <w:rStyle w:val="Hyperlink"/>
            <w:rFonts w:ascii="Times New Roman" w:eastAsia="Times New Roman" w:hAnsi="Times New Roman" w:cs="Times New Roman"/>
            <w:kern w:val="0"/>
            <w14:ligatures w14:val="none"/>
          </w:rPr>
          <w:t>https://doi.org/10.1353/mpq.2012.0012</w:t>
        </w:r>
      </w:hyperlink>
    </w:p>
    <w:p w14:paraId="625AE1B9" w14:textId="060DAB86" w:rsidR="00A34AAE"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Hoffman, C., </w:t>
      </w:r>
      <w:proofErr w:type="spellStart"/>
      <w:r w:rsidRPr="00E42E4D">
        <w:rPr>
          <w:rFonts w:ascii="Times New Roman" w:eastAsia="Times New Roman" w:hAnsi="Times New Roman" w:cs="Times New Roman"/>
          <w:color w:val="000000" w:themeColor="text1"/>
          <w:kern w:val="0"/>
          <w14:ligatures w14:val="none"/>
        </w:rPr>
        <w:t>Crnic</w:t>
      </w:r>
      <w:proofErr w:type="spellEnd"/>
      <w:r w:rsidRPr="00E42E4D">
        <w:rPr>
          <w:rFonts w:ascii="Times New Roman" w:eastAsia="Times New Roman" w:hAnsi="Times New Roman" w:cs="Times New Roman"/>
          <w:color w:val="000000" w:themeColor="text1"/>
          <w:kern w:val="0"/>
          <w14:ligatures w14:val="none"/>
        </w:rPr>
        <w:t xml:space="preserve">, K. A., &amp; Baker, J. K. (2006). Maternal depression and parenting: Implications for children’s emergent emotion regulation and behavioral functioning. </w:t>
      </w:r>
      <w:r w:rsidRPr="00E42E4D">
        <w:rPr>
          <w:rFonts w:ascii="Times New Roman" w:eastAsia="Times New Roman" w:hAnsi="Times New Roman" w:cs="Times New Roman"/>
          <w:i/>
          <w:iCs/>
          <w:color w:val="000000" w:themeColor="text1"/>
          <w:kern w:val="0"/>
          <w14:ligatures w14:val="none"/>
        </w:rPr>
        <w:t>Parenting,</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Science and Practice</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6</w:t>
      </w:r>
      <w:r w:rsidRPr="00E42E4D">
        <w:rPr>
          <w:rFonts w:ascii="Times New Roman" w:eastAsia="Times New Roman" w:hAnsi="Times New Roman" w:cs="Times New Roman"/>
          <w:color w:val="000000" w:themeColor="text1"/>
          <w:kern w:val="0"/>
          <w14:ligatures w14:val="none"/>
        </w:rPr>
        <w:t xml:space="preserve">(4), 271–295. </w:t>
      </w:r>
      <w:hyperlink r:id="rId10" w:history="1">
        <w:r w:rsidRPr="00ED39C6">
          <w:rPr>
            <w:rStyle w:val="Hyperlink"/>
            <w:rFonts w:ascii="Times New Roman" w:eastAsia="Times New Roman" w:hAnsi="Times New Roman" w:cs="Times New Roman"/>
            <w:kern w:val="0"/>
            <w14:ligatures w14:val="none"/>
          </w:rPr>
          <w:t>https://doi.org/10.1207/s15327922par0604_1</w:t>
        </w:r>
      </w:hyperlink>
    </w:p>
    <w:p w14:paraId="69458192" w14:textId="77777777" w:rsidR="00A34AAE" w:rsidRPr="00E42E4D"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lastRenderedPageBreak/>
        <w:t xml:space="preserve">Ip, P., Tso, W., Rao, N., Ho, F. K. W., Chan, K. L., Fu, K. W., … Chow, C. B. (2018). Rasch validation of the Chinese parent–child interaction scale (CPCIS). </w:t>
      </w:r>
      <w:r w:rsidRPr="00E42E4D">
        <w:rPr>
          <w:rFonts w:ascii="Times New Roman" w:eastAsia="Times New Roman" w:hAnsi="Times New Roman" w:cs="Times New Roman"/>
          <w:i/>
          <w:color w:val="000000" w:themeColor="text1"/>
          <w:kern w:val="0"/>
          <w14:ligatures w14:val="none"/>
        </w:rPr>
        <w:t>World Journal of Pediatrics</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14</w:t>
      </w:r>
      <w:r w:rsidRPr="00E42E4D">
        <w:rPr>
          <w:rFonts w:ascii="Times New Roman" w:eastAsia="Times New Roman" w:hAnsi="Times New Roman" w:cs="Times New Roman"/>
          <w:color w:val="000000" w:themeColor="text1"/>
          <w:kern w:val="0"/>
          <w14:ligatures w14:val="none"/>
        </w:rPr>
        <w:t xml:space="preserve">(3), 238–246. </w:t>
      </w:r>
      <w:r w:rsidRPr="00E42E4D">
        <w:rPr>
          <w:rFonts w:ascii="Times New Roman" w:eastAsia="Times New Roman" w:hAnsi="Times New Roman" w:cs="Times New Roman"/>
          <w:color w:val="000000" w:themeColor="text1"/>
          <w:kern w:val="0"/>
          <w:shd w:val="clear" w:color="auto" w:fill="FFFFFF"/>
          <w14:ligatures w14:val="none"/>
        </w:rPr>
        <w:t>https://doi.org/</w:t>
      </w:r>
      <w:r w:rsidRPr="00E42E4D">
        <w:rPr>
          <w:rFonts w:ascii="Times New Roman" w:eastAsia="Times New Roman" w:hAnsi="Times New Roman" w:cs="Times New Roman"/>
          <w:color w:val="000000" w:themeColor="text1"/>
          <w:kern w:val="0"/>
          <w14:ligatures w14:val="none"/>
        </w:rPr>
        <w:t xml:space="preserve">10.1007/s12519-018-0132-z </w:t>
      </w:r>
    </w:p>
    <w:p w14:paraId="38867DC6" w14:textId="091E7D45" w:rsidR="00A34AAE"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Klein, P. S. (2014). </w:t>
      </w:r>
      <w:r w:rsidRPr="00E42E4D">
        <w:rPr>
          <w:rFonts w:ascii="Times New Roman" w:eastAsia="Times New Roman" w:hAnsi="Times New Roman" w:cs="Times New Roman"/>
          <w:i/>
          <w:iCs/>
          <w:color w:val="000000" w:themeColor="text1"/>
          <w:kern w:val="0"/>
          <w14:ligatures w14:val="none"/>
        </w:rPr>
        <w:t xml:space="preserve">Early intervention: Cross-cultural experiences with a mediational approach. </w:t>
      </w:r>
      <w:r w:rsidRPr="00E42E4D">
        <w:rPr>
          <w:rFonts w:ascii="Times New Roman" w:eastAsia="Times New Roman" w:hAnsi="Times New Roman" w:cs="Times New Roman"/>
          <w:color w:val="000000" w:themeColor="text1"/>
          <w:kern w:val="0"/>
          <w14:ligatures w14:val="none"/>
        </w:rPr>
        <w:t>Routledge.</w:t>
      </w:r>
    </w:p>
    <w:p w14:paraId="32AF9127" w14:textId="230D675A" w:rsidR="00A34AAE"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proofErr w:type="spellStart"/>
      <w:r w:rsidRPr="00E42E4D">
        <w:rPr>
          <w:rFonts w:ascii="Times New Roman" w:eastAsia="Times New Roman" w:hAnsi="Times New Roman" w:cs="Times New Roman"/>
          <w:color w:val="000000" w:themeColor="text1"/>
          <w:kern w:val="0"/>
          <w14:ligatures w14:val="none"/>
        </w:rPr>
        <w:t>Korucu</w:t>
      </w:r>
      <w:proofErr w:type="spellEnd"/>
      <w:r w:rsidRPr="00E42E4D">
        <w:rPr>
          <w:rFonts w:ascii="Times New Roman" w:eastAsia="Times New Roman" w:hAnsi="Times New Roman" w:cs="Times New Roman"/>
          <w:color w:val="000000" w:themeColor="text1"/>
          <w:kern w:val="0"/>
          <w14:ligatures w14:val="none"/>
        </w:rPr>
        <w:t xml:space="preserve">, I., Rolan, E., Napoli, A. R., Purpura, D. J., &amp; Schmitt, S. A. (2019). Development of the Home Executive Function Environment (HEFE) Scale: Assessing its relation to preschoolers’ executive function. </w:t>
      </w:r>
      <w:r w:rsidRPr="00E42E4D">
        <w:rPr>
          <w:rFonts w:ascii="Times New Roman" w:eastAsia="Times New Roman" w:hAnsi="Times New Roman" w:cs="Times New Roman"/>
          <w:i/>
          <w:iCs/>
          <w:color w:val="000000" w:themeColor="text1"/>
          <w:kern w:val="0"/>
          <w14:ligatures w14:val="none"/>
        </w:rPr>
        <w:t>Early Childhood Research Quarterly</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47</w:t>
      </w:r>
      <w:r w:rsidRPr="00E42E4D">
        <w:rPr>
          <w:rFonts w:ascii="Times New Roman" w:eastAsia="Times New Roman" w:hAnsi="Times New Roman" w:cs="Times New Roman"/>
          <w:color w:val="000000" w:themeColor="text1"/>
          <w:kern w:val="0"/>
          <w14:ligatures w14:val="none"/>
        </w:rPr>
        <w:t xml:space="preserve">, 9–19. </w:t>
      </w:r>
      <w:hyperlink r:id="rId11" w:history="1">
        <w:r w:rsidRPr="00ED39C6">
          <w:rPr>
            <w:rStyle w:val="Hyperlink"/>
            <w:rFonts w:ascii="Times New Roman" w:eastAsia="Times New Roman" w:hAnsi="Times New Roman" w:cs="Times New Roman"/>
            <w:kern w:val="0"/>
            <w14:ligatures w14:val="none"/>
          </w:rPr>
          <w:t>https://doi.org/10.1016/j.ecresq.2018.09.001</w:t>
        </w:r>
      </w:hyperlink>
    </w:p>
    <w:p w14:paraId="33D034F6" w14:textId="1ECB4F39" w:rsidR="00A34AAE" w:rsidRDefault="00A34AAE" w:rsidP="00A34AAE">
      <w:pPr>
        <w:spacing w:line="480" w:lineRule="auto"/>
        <w:ind w:left="567" w:hanging="567"/>
        <w:rPr>
          <w:rFonts w:ascii="Times New Roman" w:eastAsia="Times New Roman" w:hAnsi="Times New Roman" w:cs="Times New Roman"/>
          <w:color w:val="000000" w:themeColor="text1"/>
          <w:kern w:val="0"/>
          <w:shd w:val="clear" w:color="auto" w:fill="FFFFFF"/>
          <w14:ligatures w14:val="none"/>
        </w:rPr>
      </w:pPr>
      <w:r w:rsidRPr="00E42E4D">
        <w:rPr>
          <w:rFonts w:ascii="Times New Roman" w:eastAsia="Times New Roman" w:hAnsi="Times New Roman" w:cs="Times New Roman"/>
          <w:color w:val="000000" w:themeColor="text1"/>
          <w:kern w:val="0"/>
          <w:shd w:val="clear" w:color="auto" w:fill="FFFFFF"/>
          <w14:ligatures w14:val="none"/>
        </w:rPr>
        <w:t xml:space="preserve">Lansford, J. E., Odgers, C. L., Bradley, R. H., Godwin, J., Copeland, W. E., Rothenberg, W. A., &amp; Dodge, K. A. (2023). The HOME-21: A revised measure of the home environment for the 21st century tested in two independent samples. </w:t>
      </w:r>
      <w:r w:rsidRPr="00E42E4D">
        <w:rPr>
          <w:rFonts w:ascii="Times New Roman" w:eastAsia="Times New Roman" w:hAnsi="Times New Roman" w:cs="Times New Roman"/>
          <w:i/>
          <w:iCs/>
          <w:color w:val="000000" w:themeColor="text1"/>
          <w:kern w:val="0"/>
          <w:shd w:val="clear" w:color="auto" w:fill="FFFFFF"/>
          <w14:ligatures w14:val="none"/>
        </w:rPr>
        <w:t>Psychological Assessment</w:t>
      </w:r>
      <w:r w:rsidRPr="00E42E4D">
        <w:rPr>
          <w:rFonts w:ascii="Times New Roman" w:eastAsia="Times New Roman" w:hAnsi="Times New Roman" w:cs="Times New Roman"/>
          <w:color w:val="000000" w:themeColor="text1"/>
          <w:kern w:val="0"/>
          <w:shd w:val="clear" w:color="auto" w:fill="FFFFFF"/>
          <w14:ligatures w14:val="none"/>
        </w:rPr>
        <w:t xml:space="preserve">, </w:t>
      </w:r>
      <w:r w:rsidRPr="00E42E4D">
        <w:rPr>
          <w:rFonts w:ascii="Times New Roman" w:eastAsia="Times New Roman" w:hAnsi="Times New Roman" w:cs="Times New Roman"/>
          <w:i/>
          <w:iCs/>
          <w:color w:val="000000" w:themeColor="text1"/>
          <w:kern w:val="0"/>
          <w:shd w:val="clear" w:color="auto" w:fill="FFFFFF"/>
          <w14:ligatures w14:val="none"/>
        </w:rPr>
        <w:t>35</w:t>
      </w:r>
      <w:r w:rsidRPr="00E42E4D">
        <w:rPr>
          <w:rFonts w:ascii="Times New Roman" w:eastAsia="Times New Roman" w:hAnsi="Times New Roman" w:cs="Times New Roman"/>
          <w:color w:val="000000" w:themeColor="text1"/>
          <w:kern w:val="0"/>
          <w:shd w:val="clear" w:color="auto" w:fill="FFFFFF"/>
          <w14:ligatures w14:val="none"/>
        </w:rPr>
        <w:t xml:space="preserve">(1), 1–11. </w:t>
      </w:r>
      <w:hyperlink r:id="rId12" w:history="1">
        <w:r w:rsidRPr="00ED39C6">
          <w:rPr>
            <w:rStyle w:val="Hyperlink"/>
            <w:rFonts w:ascii="Times New Roman" w:eastAsia="Times New Roman" w:hAnsi="Times New Roman" w:cs="Times New Roman"/>
            <w:kern w:val="0"/>
            <w:shd w:val="clear" w:color="auto" w:fill="FFFFFF"/>
            <w14:ligatures w14:val="none"/>
          </w:rPr>
          <w:t>https://doi.org/10.1037/pas0001183</w:t>
        </w:r>
      </w:hyperlink>
    </w:p>
    <w:p w14:paraId="1F501385" w14:textId="35DC9FE1" w:rsidR="00A34AAE"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Marfo, K. (1992). Correlates of maternal directiveness with children who are developmentally delayed. </w:t>
      </w:r>
      <w:r w:rsidRPr="00E42E4D">
        <w:rPr>
          <w:rFonts w:ascii="Times New Roman" w:eastAsia="Times New Roman" w:hAnsi="Times New Roman" w:cs="Times New Roman"/>
          <w:i/>
          <w:iCs/>
          <w:color w:val="000000" w:themeColor="text1"/>
          <w:kern w:val="0"/>
          <w14:ligatures w14:val="none"/>
        </w:rPr>
        <w:t>American Journal of Orthopsychiatry</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62</w:t>
      </w:r>
      <w:r w:rsidRPr="00E42E4D">
        <w:rPr>
          <w:rFonts w:ascii="Times New Roman" w:eastAsia="Times New Roman" w:hAnsi="Times New Roman" w:cs="Times New Roman"/>
          <w:color w:val="000000" w:themeColor="text1"/>
          <w:kern w:val="0"/>
          <w14:ligatures w14:val="none"/>
        </w:rPr>
        <w:t xml:space="preserve">(2), 219–233. </w:t>
      </w:r>
      <w:hyperlink r:id="rId13" w:history="1">
        <w:r w:rsidRPr="00ED39C6">
          <w:rPr>
            <w:rStyle w:val="Hyperlink"/>
            <w:rFonts w:ascii="Times New Roman" w:eastAsia="Times New Roman" w:hAnsi="Times New Roman" w:cs="Times New Roman"/>
            <w:kern w:val="0"/>
            <w14:ligatures w14:val="none"/>
          </w:rPr>
          <w:t>https://doi.org/10.1037/h0079334</w:t>
        </w:r>
      </w:hyperlink>
    </w:p>
    <w:p w14:paraId="6786CE60" w14:textId="0462CB3F" w:rsidR="00A34AAE" w:rsidRDefault="00A34AAE" w:rsidP="00A34AAE">
      <w:pPr>
        <w:spacing w:line="480" w:lineRule="auto"/>
        <w:ind w:left="567" w:hanging="567"/>
      </w:pPr>
      <w:r w:rsidRPr="00E42E4D">
        <w:rPr>
          <w:rFonts w:ascii="Times New Roman" w:eastAsia="Times New Roman" w:hAnsi="Times New Roman" w:cs="Times New Roman"/>
          <w:color w:val="000000" w:themeColor="text1"/>
          <w:kern w:val="0"/>
          <w14:ligatures w14:val="none"/>
        </w:rPr>
        <w:t xml:space="preserve">Niklas, F., Nguyen, C., </w:t>
      </w:r>
      <w:proofErr w:type="spellStart"/>
      <w:r w:rsidRPr="00E42E4D">
        <w:rPr>
          <w:rFonts w:ascii="Times New Roman" w:eastAsia="Times New Roman" w:hAnsi="Times New Roman" w:cs="Times New Roman"/>
          <w:color w:val="000000" w:themeColor="text1"/>
          <w:kern w:val="0"/>
          <w14:ligatures w14:val="none"/>
        </w:rPr>
        <w:t>Cloney</w:t>
      </w:r>
      <w:proofErr w:type="spellEnd"/>
      <w:r w:rsidRPr="00E42E4D">
        <w:rPr>
          <w:rFonts w:ascii="Times New Roman" w:eastAsia="Times New Roman" w:hAnsi="Times New Roman" w:cs="Times New Roman"/>
          <w:color w:val="000000" w:themeColor="text1"/>
          <w:kern w:val="0"/>
          <w14:ligatures w14:val="none"/>
        </w:rPr>
        <w:t xml:space="preserve">, D. S., Tayler, C., &amp; Adams, R. (2016). Self-report measures of the home learning environment in large scale research: Measurement properties and associations with key developmental outcomes. </w:t>
      </w:r>
      <w:r w:rsidRPr="00E42E4D">
        <w:rPr>
          <w:rFonts w:ascii="Times New Roman" w:eastAsia="Times New Roman" w:hAnsi="Times New Roman" w:cs="Times New Roman"/>
          <w:i/>
          <w:iCs/>
          <w:color w:val="000000" w:themeColor="text1"/>
          <w:kern w:val="0"/>
          <w14:ligatures w14:val="none"/>
        </w:rPr>
        <w:t>Learning Environments Research</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19</w:t>
      </w:r>
      <w:r w:rsidRPr="00E42E4D">
        <w:rPr>
          <w:rFonts w:ascii="Times New Roman" w:eastAsia="Times New Roman" w:hAnsi="Times New Roman" w:cs="Times New Roman"/>
          <w:color w:val="000000" w:themeColor="text1"/>
          <w:kern w:val="0"/>
          <w14:ligatures w14:val="none"/>
        </w:rPr>
        <w:t xml:space="preserve">(2), 181–202. </w:t>
      </w:r>
      <w:hyperlink r:id="rId14" w:history="1">
        <w:r w:rsidRPr="00E42E4D">
          <w:rPr>
            <w:rFonts w:ascii="Times New Roman" w:eastAsia="Times New Roman" w:hAnsi="Times New Roman" w:cs="Times New Roman"/>
            <w:color w:val="000000" w:themeColor="text1"/>
            <w:kern w:val="0"/>
            <w:u w:val="single"/>
            <w14:ligatures w14:val="none"/>
          </w:rPr>
          <w:t>https://doi.org/10.1007/s10984-016-9206-9</w:t>
        </w:r>
      </w:hyperlink>
    </w:p>
    <w:p w14:paraId="79436203" w14:textId="2D409CA8" w:rsidR="00A34AAE" w:rsidRDefault="00A34AAE" w:rsidP="00A34AAE">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NICHD Early Child Care Research Network. (2003). Early </w:t>
      </w:r>
      <w:proofErr w:type="gramStart"/>
      <w:r w:rsidRPr="00E42E4D">
        <w:rPr>
          <w:rFonts w:ascii="Times New Roman" w:eastAsia="Times New Roman" w:hAnsi="Times New Roman" w:cs="Times New Roman"/>
          <w:color w:val="000000" w:themeColor="text1"/>
          <w:kern w:val="0"/>
          <w14:ligatures w14:val="none"/>
        </w:rPr>
        <w:t>child care</w:t>
      </w:r>
      <w:proofErr w:type="gramEnd"/>
      <w:r w:rsidRPr="00E42E4D">
        <w:rPr>
          <w:rFonts w:ascii="Times New Roman" w:eastAsia="Times New Roman" w:hAnsi="Times New Roman" w:cs="Times New Roman"/>
          <w:color w:val="000000" w:themeColor="text1"/>
          <w:kern w:val="0"/>
          <w14:ligatures w14:val="none"/>
        </w:rPr>
        <w:t xml:space="preserve"> and mother–child interaction from 36 months through first grade. </w:t>
      </w:r>
      <w:r w:rsidRPr="00E42E4D">
        <w:rPr>
          <w:rFonts w:ascii="Times New Roman" w:eastAsia="Times New Roman" w:hAnsi="Times New Roman" w:cs="Times New Roman"/>
          <w:i/>
          <w:iCs/>
          <w:color w:val="000000" w:themeColor="text1"/>
          <w:kern w:val="0"/>
          <w14:ligatures w14:val="none"/>
        </w:rPr>
        <w:t>Infant Behavior and Development</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26</w:t>
      </w:r>
      <w:r w:rsidRPr="00E42E4D">
        <w:rPr>
          <w:rFonts w:ascii="Times New Roman" w:eastAsia="Times New Roman" w:hAnsi="Times New Roman" w:cs="Times New Roman"/>
          <w:color w:val="000000" w:themeColor="text1"/>
          <w:kern w:val="0"/>
          <w14:ligatures w14:val="none"/>
        </w:rPr>
        <w:t>(3), 345–370.</w:t>
      </w:r>
    </w:p>
    <w:p w14:paraId="0DDBC27A" w14:textId="325C073E" w:rsidR="00AB1E79" w:rsidRDefault="00AB1E79" w:rsidP="00AB1E79">
      <w:pPr>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Prime, H., Browne, D., Akbari, E., Wade, M., Madigan, S., &amp; Jenkins, J. M. (2015). The development of a measure of maternal cognitive sensitivity appropriate for use in </w:t>
      </w:r>
      <w:r w:rsidRPr="00E42E4D">
        <w:rPr>
          <w:rFonts w:ascii="Times New Roman" w:eastAsia="Times New Roman" w:hAnsi="Times New Roman" w:cs="Times New Roman"/>
          <w:color w:val="000000" w:themeColor="text1"/>
          <w:kern w:val="0"/>
          <w14:ligatures w14:val="none"/>
        </w:rPr>
        <w:lastRenderedPageBreak/>
        <w:t xml:space="preserve">primary care health settings. </w:t>
      </w:r>
      <w:r w:rsidRPr="00E42E4D">
        <w:rPr>
          <w:rFonts w:ascii="Times New Roman" w:eastAsia="Times New Roman" w:hAnsi="Times New Roman" w:cs="Times New Roman"/>
          <w:i/>
          <w:iCs/>
          <w:color w:val="000000" w:themeColor="text1"/>
          <w:kern w:val="0"/>
          <w14:ligatures w14:val="none"/>
        </w:rPr>
        <w:t>Journal of Child Psychology and Psychiatry</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56</w:t>
      </w:r>
      <w:r w:rsidRPr="00E42E4D">
        <w:rPr>
          <w:rFonts w:ascii="Times New Roman" w:eastAsia="Times New Roman" w:hAnsi="Times New Roman" w:cs="Times New Roman"/>
          <w:color w:val="000000" w:themeColor="text1"/>
          <w:kern w:val="0"/>
          <w14:ligatures w14:val="none"/>
        </w:rPr>
        <w:t xml:space="preserve">(4), 488–495. </w:t>
      </w:r>
      <w:hyperlink r:id="rId15" w:history="1">
        <w:r w:rsidRPr="00ED39C6">
          <w:rPr>
            <w:rStyle w:val="Hyperlink"/>
            <w:rFonts w:ascii="Times New Roman" w:eastAsia="Times New Roman" w:hAnsi="Times New Roman" w:cs="Times New Roman"/>
            <w:kern w:val="0"/>
            <w14:ligatures w14:val="none"/>
          </w:rPr>
          <w:t>https://doi.org/10.1111/jcpp.12322</w:t>
        </w:r>
      </w:hyperlink>
    </w:p>
    <w:p w14:paraId="59DDA072" w14:textId="654C7D30" w:rsidR="00AB1E79" w:rsidRPr="00A34AAE" w:rsidRDefault="00AB1E79" w:rsidP="00AB1E79">
      <w:pPr>
        <w:adjustRightInd w:val="0"/>
        <w:snapToGrid w:val="0"/>
        <w:spacing w:line="480" w:lineRule="auto"/>
        <w:ind w:left="567" w:hanging="567"/>
        <w:rPr>
          <w:rFonts w:ascii="Times New Roman" w:eastAsia="Times New Roman" w:hAnsi="Times New Roman" w:cs="Times New Roman" w:hint="eastAsia"/>
          <w:color w:val="000000" w:themeColor="text1"/>
          <w:kern w:val="0"/>
          <w14:ligatures w14:val="none"/>
        </w:rPr>
      </w:pPr>
      <w:proofErr w:type="spellStart"/>
      <w:r w:rsidRPr="00E42E4D">
        <w:rPr>
          <w:rFonts w:ascii="Times New Roman" w:eastAsia="Times New Roman" w:hAnsi="Times New Roman" w:cs="Times New Roman"/>
          <w:color w:val="000000" w:themeColor="text1"/>
          <w:kern w:val="0"/>
          <w14:ligatures w14:val="none"/>
        </w:rPr>
        <w:t>Roggman</w:t>
      </w:r>
      <w:proofErr w:type="spellEnd"/>
      <w:r w:rsidRPr="00E42E4D">
        <w:rPr>
          <w:rFonts w:ascii="Times New Roman" w:eastAsia="Times New Roman" w:hAnsi="Times New Roman" w:cs="Times New Roman"/>
          <w:color w:val="000000" w:themeColor="text1"/>
          <w:kern w:val="0"/>
          <w14:ligatures w14:val="none"/>
        </w:rPr>
        <w:t xml:space="preserve">, L. A., Cook, G. A., Innocenti, M. S., Jump Norman, V., &amp; Christiansen, K. (2013). Parenting Interactions with Children: Checklist of Observations Linked to Outcomes (PICCOLO) in diverse ethnic groups. </w:t>
      </w:r>
      <w:r w:rsidRPr="00E42E4D">
        <w:rPr>
          <w:rFonts w:ascii="Times New Roman" w:eastAsia="Times New Roman" w:hAnsi="Times New Roman" w:cs="Times New Roman"/>
          <w:i/>
          <w:iCs/>
          <w:color w:val="000000" w:themeColor="text1"/>
          <w:kern w:val="0"/>
          <w14:ligatures w14:val="none"/>
        </w:rPr>
        <w:t>Infant Mental Health Journal</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34</w:t>
      </w:r>
      <w:r w:rsidRPr="00E42E4D">
        <w:rPr>
          <w:rFonts w:ascii="Times New Roman" w:eastAsia="Times New Roman" w:hAnsi="Times New Roman" w:cs="Times New Roman"/>
          <w:color w:val="000000" w:themeColor="text1"/>
          <w:kern w:val="0"/>
          <w14:ligatures w14:val="none"/>
        </w:rPr>
        <w:t>(4), 290–306. https://doi.org/10.1002/imhj.21389</w:t>
      </w:r>
    </w:p>
    <w:p w14:paraId="7D6794FE" w14:textId="5E881BEB" w:rsidR="00ED74CE" w:rsidRDefault="00ED74CE" w:rsidP="00ED74CE">
      <w:pPr>
        <w:adjustRightInd w:val="0"/>
        <w:snapToGrid w:val="0"/>
        <w:spacing w:line="480" w:lineRule="auto"/>
        <w:ind w:left="567" w:hanging="567"/>
        <w:rPr>
          <w:rFonts w:ascii="Times New Roman" w:eastAsia="Times New Roman" w:hAnsi="Times New Roman" w:cs="Times New Roman"/>
          <w:color w:val="000000" w:themeColor="text1"/>
          <w:kern w:val="0"/>
          <w14:ligatures w14:val="none"/>
        </w:rPr>
      </w:pPr>
      <w:r w:rsidRPr="00E42E4D">
        <w:rPr>
          <w:rFonts w:ascii="Times New Roman" w:eastAsia="Times New Roman" w:hAnsi="Times New Roman" w:cs="Times New Roman"/>
          <w:color w:val="000000" w:themeColor="text1"/>
          <w:kern w:val="0"/>
          <w14:ligatures w14:val="none"/>
        </w:rPr>
        <w:t xml:space="preserve">Sanders, M. R., </w:t>
      </w:r>
      <w:proofErr w:type="spellStart"/>
      <w:r w:rsidRPr="00E42E4D">
        <w:rPr>
          <w:rFonts w:ascii="Times New Roman" w:eastAsia="Times New Roman" w:hAnsi="Times New Roman" w:cs="Times New Roman"/>
          <w:color w:val="000000" w:themeColor="text1"/>
          <w:kern w:val="0"/>
          <w14:ligatures w14:val="none"/>
        </w:rPr>
        <w:t>Morawska</w:t>
      </w:r>
      <w:proofErr w:type="spellEnd"/>
      <w:r w:rsidRPr="00E42E4D">
        <w:rPr>
          <w:rFonts w:ascii="Times New Roman" w:eastAsia="Times New Roman" w:hAnsi="Times New Roman" w:cs="Times New Roman"/>
          <w:color w:val="000000" w:themeColor="text1"/>
          <w:kern w:val="0"/>
          <w14:ligatures w14:val="none"/>
        </w:rPr>
        <w:t xml:space="preserve">, A., Haslam, D. M., </w:t>
      </w:r>
      <w:proofErr w:type="spellStart"/>
      <w:r w:rsidRPr="00E42E4D">
        <w:rPr>
          <w:rFonts w:ascii="Times New Roman" w:eastAsia="Times New Roman" w:hAnsi="Times New Roman" w:cs="Times New Roman"/>
          <w:color w:val="000000" w:themeColor="text1"/>
          <w:kern w:val="0"/>
          <w14:ligatures w14:val="none"/>
        </w:rPr>
        <w:t>Filus</w:t>
      </w:r>
      <w:proofErr w:type="spellEnd"/>
      <w:r w:rsidRPr="00E42E4D">
        <w:rPr>
          <w:rFonts w:ascii="Times New Roman" w:eastAsia="Times New Roman" w:hAnsi="Times New Roman" w:cs="Times New Roman"/>
          <w:color w:val="000000" w:themeColor="text1"/>
          <w:kern w:val="0"/>
          <w14:ligatures w14:val="none"/>
        </w:rPr>
        <w:t xml:space="preserve">, A., &amp; Fletcher, R. (2014). Parenting and Family Adjustment Scales (PAFAS): Validation of a brief parent-report measure for use in assessment of parenting skills and family relationships. </w:t>
      </w:r>
      <w:r w:rsidRPr="00E42E4D">
        <w:rPr>
          <w:rFonts w:ascii="Times New Roman" w:eastAsia="Times New Roman" w:hAnsi="Times New Roman" w:cs="Times New Roman"/>
          <w:i/>
          <w:iCs/>
          <w:color w:val="000000" w:themeColor="text1"/>
          <w:kern w:val="0"/>
          <w14:ligatures w14:val="none"/>
        </w:rPr>
        <w:t>Child Psychiatry and Human Development</w:t>
      </w:r>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iCs/>
          <w:color w:val="000000" w:themeColor="text1"/>
          <w:kern w:val="0"/>
          <w14:ligatures w14:val="none"/>
        </w:rPr>
        <w:t>45</w:t>
      </w:r>
      <w:r w:rsidRPr="00E42E4D">
        <w:rPr>
          <w:rFonts w:ascii="Times New Roman" w:eastAsia="Times New Roman" w:hAnsi="Times New Roman" w:cs="Times New Roman"/>
          <w:color w:val="000000" w:themeColor="text1"/>
          <w:kern w:val="0"/>
          <w14:ligatures w14:val="none"/>
        </w:rPr>
        <w:t xml:space="preserve">(3), 255–272. </w:t>
      </w:r>
      <w:hyperlink r:id="rId16" w:history="1">
        <w:r w:rsidR="00A34AAE" w:rsidRPr="00ED39C6">
          <w:rPr>
            <w:rStyle w:val="Hyperlink"/>
            <w:rFonts w:ascii="Times New Roman" w:eastAsia="Times New Roman" w:hAnsi="Times New Roman" w:cs="Times New Roman"/>
            <w:kern w:val="0"/>
            <w14:ligatures w14:val="none"/>
          </w:rPr>
          <w:t>https://doi.org/10.1007/s10578-013-0397-3</w:t>
        </w:r>
      </w:hyperlink>
    </w:p>
    <w:p w14:paraId="52947E36" w14:textId="77777777" w:rsidR="00AB1E79" w:rsidRPr="00E42E4D" w:rsidRDefault="00AB1E79" w:rsidP="00AB1E79">
      <w:pPr>
        <w:adjustRightInd w:val="0"/>
        <w:snapToGrid w:val="0"/>
        <w:spacing w:line="480" w:lineRule="auto"/>
        <w:ind w:left="567" w:hanging="567"/>
        <w:rPr>
          <w:rFonts w:ascii="Times New Roman" w:eastAsia="Times New Roman" w:hAnsi="Times New Roman" w:cs="Times New Roman"/>
          <w:color w:val="000000" w:themeColor="text1"/>
          <w:kern w:val="0"/>
          <w14:ligatures w14:val="none"/>
        </w:rPr>
      </w:pPr>
      <w:bookmarkStart w:id="5" w:name="OLE_LINK31"/>
      <w:proofErr w:type="spellStart"/>
      <w:r w:rsidRPr="00E42E4D">
        <w:rPr>
          <w:rFonts w:ascii="Times New Roman" w:eastAsia="Times New Roman" w:hAnsi="Times New Roman" w:cs="Times New Roman"/>
          <w:color w:val="000000" w:themeColor="text1"/>
          <w:kern w:val="0"/>
          <w14:ligatures w14:val="none"/>
        </w:rPr>
        <w:t>Zupančič</w:t>
      </w:r>
      <w:bookmarkEnd w:id="5"/>
      <w:proofErr w:type="spellEnd"/>
      <w:r w:rsidRPr="00E42E4D">
        <w:rPr>
          <w:rFonts w:ascii="Times New Roman" w:eastAsia="Times New Roman" w:hAnsi="Times New Roman" w:cs="Times New Roman"/>
          <w:color w:val="000000" w:themeColor="text1"/>
          <w:kern w:val="0"/>
          <w14:ligatures w14:val="none"/>
        </w:rPr>
        <w:t xml:space="preserve">, M., </w:t>
      </w:r>
      <w:proofErr w:type="spellStart"/>
      <w:r w:rsidRPr="00E42E4D">
        <w:rPr>
          <w:rFonts w:ascii="Times New Roman" w:eastAsia="Times New Roman" w:hAnsi="Times New Roman" w:cs="Times New Roman"/>
          <w:color w:val="000000" w:themeColor="text1"/>
          <w:kern w:val="0"/>
          <w14:ligatures w14:val="none"/>
        </w:rPr>
        <w:t>Podlesek</w:t>
      </w:r>
      <w:proofErr w:type="spellEnd"/>
      <w:r w:rsidRPr="00E42E4D">
        <w:rPr>
          <w:rFonts w:ascii="Times New Roman" w:eastAsia="Times New Roman" w:hAnsi="Times New Roman" w:cs="Times New Roman"/>
          <w:color w:val="000000" w:themeColor="text1"/>
          <w:kern w:val="0"/>
          <w14:ligatures w14:val="none"/>
        </w:rPr>
        <w:t xml:space="preserve">, A., &amp; Kavčič, T. (2004). Parental childcare practices of Slovenian preschoolers’ mothers and fathers: The Family Environment Questionnaire. </w:t>
      </w:r>
      <w:proofErr w:type="spellStart"/>
      <w:r w:rsidRPr="00E42E4D">
        <w:rPr>
          <w:rFonts w:ascii="Times New Roman" w:eastAsia="Times New Roman" w:hAnsi="Times New Roman" w:cs="Times New Roman"/>
          <w:i/>
          <w:iCs/>
          <w:color w:val="000000" w:themeColor="text1"/>
          <w:kern w:val="0"/>
          <w14:ligatures w14:val="none"/>
        </w:rPr>
        <w:t>Psihološka</w:t>
      </w:r>
      <w:proofErr w:type="spellEnd"/>
      <w:r w:rsidRPr="00E42E4D">
        <w:rPr>
          <w:rFonts w:ascii="Times New Roman" w:eastAsia="Times New Roman" w:hAnsi="Times New Roman" w:cs="Times New Roman"/>
          <w:i/>
          <w:iCs/>
          <w:color w:val="000000" w:themeColor="text1"/>
          <w:kern w:val="0"/>
          <w14:ligatures w14:val="none"/>
        </w:rPr>
        <w:t xml:space="preserve"> </w:t>
      </w:r>
      <w:proofErr w:type="spellStart"/>
      <w:r w:rsidRPr="00E42E4D">
        <w:rPr>
          <w:rFonts w:ascii="Times New Roman" w:eastAsia="Times New Roman" w:hAnsi="Times New Roman" w:cs="Times New Roman"/>
          <w:i/>
          <w:iCs/>
          <w:color w:val="000000" w:themeColor="text1"/>
          <w:kern w:val="0"/>
          <w14:ligatures w14:val="none"/>
        </w:rPr>
        <w:t>Obzorja</w:t>
      </w:r>
      <w:proofErr w:type="spellEnd"/>
      <w:r w:rsidRPr="00E42E4D">
        <w:rPr>
          <w:rFonts w:ascii="Times New Roman" w:eastAsia="Times New Roman" w:hAnsi="Times New Roman" w:cs="Times New Roman"/>
          <w:color w:val="000000" w:themeColor="text1"/>
          <w:kern w:val="0"/>
          <w14:ligatures w14:val="none"/>
        </w:rPr>
        <w:t xml:space="preserve">, </w:t>
      </w:r>
      <w:r w:rsidRPr="00E42E4D">
        <w:rPr>
          <w:rFonts w:ascii="Times New Roman" w:eastAsia="Times New Roman" w:hAnsi="Times New Roman" w:cs="Times New Roman"/>
          <w:i/>
          <w:color w:val="000000" w:themeColor="text1"/>
          <w:kern w:val="0"/>
          <w14:ligatures w14:val="none"/>
        </w:rPr>
        <w:t>13</w:t>
      </w:r>
      <w:r w:rsidRPr="00E42E4D">
        <w:rPr>
          <w:rFonts w:ascii="Times New Roman" w:eastAsia="Times New Roman" w:hAnsi="Times New Roman" w:cs="Times New Roman"/>
          <w:color w:val="000000" w:themeColor="text1"/>
          <w:kern w:val="0"/>
          <w14:ligatures w14:val="none"/>
        </w:rPr>
        <w:t>(3), 7–26.</w:t>
      </w:r>
    </w:p>
    <w:p w14:paraId="7AB89493" w14:textId="77777777" w:rsidR="00ED74CE" w:rsidRPr="00ED74CE" w:rsidRDefault="00ED74CE">
      <w:pPr>
        <w:rPr>
          <w:rFonts w:hint="eastAsia"/>
          <w:lang w:val="en-HK"/>
        </w:rPr>
      </w:pPr>
    </w:p>
    <w:sectPr w:rsidR="00ED74CE" w:rsidRPr="00ED74CE" w:rsidSect="00ED74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D5881" w14:textId="77777777" w:rsidR="00254422" w:rsidRDefault="00254422" w:rsidP="00ED74CE">
      <w:r>
        <w:separator/>
      </w:r>
    </w:p>
  </w:endnote>
  <w:endnote w:type="continuationSeparator" w:id="0">
    <w:p w14:paraId="61D075C5" w14:textId="77777777" w:rsidR="00254422" w:rsidRDefault="00254422" w:rsidP="00ED7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8C39A" w14:textId="77777777" w:rsidR="00254422" w:rsidRDefault="00254422" w:rsidP="00ED74CE">
      <w:r>
        <w:separator/>
      </w:r>
    </w:p>
  </w:footnote>
  <w:footnote w:type="continuationSeparator" w:id="0">
    <w:p w14:paraId="280CA527" w14:textId="77777777" w:rsidR="00254422" w:rsidRDefault="00254422" w:rsidP="00ED74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D447C"/>
    <w:multiLevelType w:val="hybridMultilevel"/>
    <w:tmpl w:val="22A6C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0491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4CE"/>
    <w:rsid w:val="000017B7"/>
    <w:rsid w:val="0001562F"/>
    <w:rsid w:val="00015E49"/>
    <w:rsid w:val="000225EC"/>
    <w:rsid w:val="00074F85"/>
    <w:rsid w:val="0007581F"/>
    <w:rsid w:val="000A5FC5"/>
    <w:rsid w:val="000E010C"/>
    <w:rsid w:val="00121C2F"/>
    <w:rsid w:val="00134E7F"/>
    <w:rsid w:val="0014676A"/>
    <w:rsid w:val="0016345E"/>
    <w:rsid w:val="001642A3"/>
    <w:rsid w:val="001A6FBC"/>
    <w:rsid w:val="001D338B"/>
    <w:rsid w:val="001E5803"/>
    <w:rsid w:val="001E7613"/>
    <w:rsid w:val="001E7989"/>
    <w:rsid w:val="001F3165"/>
    <w:rsid w:val="00223248"/>
    <w:rsid w:val="00245AC8"/>
    <w:rsid w:val="00251410"/>
    <w:rsid w:val="00254422"/>
    <w:rsid w:val="00276FE4"/>
    <w:rsid w:val="00281BCE"/>
    <w:rsid w:val="00286A1A"/>
    <w:rsid w:val="00300E0B"/>
    <w:rsid w:val="00333182"/>
    <w:rsid w:val="00340908"/>
    <w:rsid w:val="00341DC9"/>
    <w:rsid w:val="003505F9"/>
    <w:rsid w:val="00360105"/>
    <w:rsid w:val="003839B6"/>
    <w:rsid w:val="00387A21"/>
    <w:rsid w:val="00395987"/>
    <w:rsid w:val="00396805"/>
    <w:rsid w:val="003A00D1"/>
    <w:rsid w:val="003A79F2"/>
    <w:rsid w:val="003C61CC"/>
    <w:rsid w:val="003D48B3"/>
    <w:rsid w:val="003D6D78"/>
    <w:rsid w:val="003F2E59"/>
    <w:rsid w:val="00400C81"/>
    <w:rsid w:val="00412C41"/>
    <w:rsid w:val="00446B35"/>
    <w:rsid w:val="00453AB7"/>
    <w:rsid w:val="00472F52"/>
    <w:rsid w:val="004A12F9"/>
    <w:rsid w:val="004B09FA"/>
    <w:rsid w:val="004B3AC2"/>
    <w:rsid w:val="004B65A6"/>
    <w:rsid w:val="004F652C"/>
    <w:rsid w:val="0053197A"/>
    <w:rsid w:val="0054050B"/>
    <w:rsid w:val="0054079E"/>
    <w:rsid w:val="0055460A"/>
    <w:rsid w:val="00574610"/>
    <w:rsid w:val="00576383"/>
    <w:rsid w:val="0058662A"/>
    <w:rsid w:val="005B3B39"/>
    <w:rsid w:val="005B639F"/>
    <w:rsid w:val="005C2AF6"/>
    <w:rsid w:val="005F579A"/>
    <w:rsid w:val="0062443F"/>
    <w:rsid w:val="00634614"/>
    <w:rsid w:val="00641095"/>
    <w:rsid w:val="00650698"/>
    <w:rsid w:val="0065094B"/>
    <w:rsid w:val="0067292D"/>
    <w:rsid w:val="00676717"/>
    <w:rsid w:val="006770E9"/>
    <w:rsid w:val="006B2C0C"/>
    <w:rsid w:val="006C6392"/>
    <w:rsid w:val="006D0CC3"/>
    <w:rsid w:val="006F03A4"/>
    <w:rsid w:val="006F5824"/>
    <w:rsid w:val="00703E0E"/>
    <w:rsid w:val="00713607"/>
    <w:rsid w:val="00715A31"/>
    <w:rsid w:val="0075471C"/>
    <w:rsid w:val="007630B5"/>
    <w:rsid w:val="007648EE"/>
    <w:rsid w:val="0077673B"/>
    <w:rsid w:val="00790183"/>
    <w:rsid w:val="007C014F"/>
    <w:rsid w:val="007C4B37"/>
    <w:rsid w:val="007D6452"/>
    <w:rsid w:val="007F0FDF"/>
    <w:rsid w:val="007F51C6"/>
    <w:rsid w:val="0081229F"/>
    <w:rsid w:val="00830F15"/>
    <w:rsid w:val="00863998"/>
    <w:rsid w:val="008646B6"/>
    <w:rsid w:val="008721CC"/>
    <w:rsid w:val="00875E74"/>
    <w:rsid w:val="00882CC5"/>
    <w:rsid w:val="0089151A"/>
    <w:rsid w:val="008B2A0F"/>
    <w:rsid w:val="008B4A70"/>
    <w:rsid w:val="008C10E2"/>
    <w:rsid w:val="008C297C"/>
    <w:rsid w:val="008D5FFC"/>
    <w:rsid w:val="008E46EA"/>
    <w:rsid w:val="008E6781"/>
    <w:rsid w:val="008F45E2"/>
    <w:rsid w:val="00900CDA"/>
    <w:rsid w:val="00903178"/>
    <w:rsid w:val="00953F21"/>
    <w:rsid w:val="00955DB3"/>
    <w:rsid w:val="00964EFD"/>
    <w:rsid w:val="0096518F"/>
    <w:rsid w:val="0097029F"/>
    <w:rsid w:val="009745C8"/>
    <w:rsid w:val="009828A0"/>
    <w:rsid w:val="009C311F"/>
    <w:rsid w:val="009C5807"/>
    <w:rsid w:val="009C75E6"/>
    <w:rsid w:val="009D203C"/>
    <w:rsid w:val="00A064FE"/>
    <w:rsid w:val="00A11BF4"/>
    <w:rsid w:val="00A34AAE"/>
    <w:rsid w:val="00A46DD5"/>
    <w:rsid w:val="00A47829"/>
    <w:rsid w:val="00A47E04"/>
    <w:rsid w:val="00A6686D"/>
    <w:rsid w:val="00A72DA7"/>
    <w:rsid w:val="00A83CE6"/>
    <w:rsid w:val="00AA3234"/>
    <w:rsid w:val="00AB0B30"/>
    <w:rsid w:val="00AB1E79"/>
    <w:rsid w:val="00AC23D7"/>
    <w:rsid w:val="00AE6138"/>
    <w:rsid w:val="00B04D9F"/>
    <w:rsid w:val="00B11E3C"/>
    <w:rsid w:val="00B12DD8"/>
    <w:rsid w:val="00B20C24"/>
    <w:rsid w:val="00B26072"/>
    <w:rsid w:val="00B45399"/>
    <w:rsid w:val="00B45FB1"/>
    <w:rsid w:val="00B46A1E"/>
    <w:rsid w:val="00B81E57"/>
    <w:rsid w:val="00B93985"/>
    <w:rsid w:val="00BA14B1"/>
    <w:rsid w:val="00BC373D"/>
    <w:rsid w:val="00BC7C87"/>
    <w:rsid w:val="00BE7706"/>
    <w:rsid w:val="00C04234"/>
    <w:rsid w:val="00C242F7"/>
    <w:rsid w:val="00C257B5"/>
    <w:rsid w:val="00C378A3"/>
    <w:rsid w:val="00C42C29"/>
    <w:rsid w:val="00C532E0"/>
    <w:rsid w:val="00C55E3A"/>
    <w:rsid w:val="00C57705"/>
    <w:rsid w:val="00C644CB"/>
    <w:rsid w:val="00C94D7D"/>
    <w:rsid w:val="00CA04B3"/>
    <w:rsid w:val="00CC67E7"/>
    <w:rsid w:val="00CE696F"/>
    <w:rsid w:val="00CF00DD"/>
    <w:rsid w:val="00D0410B"/>
    <w:rsid w:val="00D2400C"/>
    <w:rsid w:val="00D33740"/>
    <w:rsid w:val="00D45BD9"/>
    <w:rsid w:val="00D5071E"/>
    <w:rsid w:val="00D83D5B"/>
    <w:rsid w:val="00D845DA"/>
    <w:rsid w:val="00D97BF2"/>
    <w:rsid w:val="00DA54DB"/>
    <w:rsid w:val="00DB3FE5"/>
    <w:rsid w:val="00DB75F9"/>
    <w:rsid w:val="00DC0B4D"/>
    <w:rsid w:val="00DC5FCE"/>
    <w:rsid w:val="00DD4747"/>
    <w:rsid w:val="00DE09DA"/>
    <w:rsid w:val="00DF42AD"/>
    <w:rsid w:val="00DF67EF"/>
    <w:rsid w:val="00E15841"/>
    <w:rsid w:val="00E237B8"/>
    <w:rsid w:val="00E24D6F"/>
    <w:rsid w:val="00E32AAC"/>
    <w:rsid w:val="00E35AC2"/>
    <w:rsid w:val="00E4365F"/>
    <w:rsid w:val="00E43D55"/>
    <w:rsid w:val="00E446E2"/>
    <w:rsid w:val="00E63F78"/>
    <w:rsid w:val="00EB4162"/>
    <w:rsid w:val="00EB75E6"/>
    <w:rsid w:val="00EC15F5"/>
    <w:rsid w:val="00ED74CE"/>
    <w:rsid w:val="00ED7555"/>
    <w:rsid w:val="00F166CF"/>
    <w:rsid w:val="00F32A2F"/>
    <w:rsid w:val="00F44563"/>
    <w:rsid w:val="00F47A81"/>
    <w:rsid w:val="00F6339F"/>
    <w:rsid w:val="00F831A0"/>
    <w:rsid w:val="00F8421E"/>
    <w:rsid w:val="00F84EE4"/>
    <w:rsid w:val="00F8788F"/>
    <w:rsid w:val="00FB7D7E"/>
    <w:rsid w:val="00FC2A97"/>
    <w:rsid w:val="00FE763F"/>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4140332"/>
  <w15:chartTrackingRefBased/>
  <w15:docId w15:val="{75A096AC-78E1-2546-B645-01E9A75E7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4CE"/>
    <w:pPr>
      <w:spacing w:after="0" w:line="240" w:lineRule="auto"/>
    </w:pPr>
    <w:rPr>
      <w:lang w:val="en-US"/>
    </w:rPr>
  </w:style>
  <w:style w:type="paragraph" w:styleId="Heading1">
    <w:name w:val="heading 1"/>
    <w:basedOn w:val="Normal"/>
    <w:next w:val="Normal"/>
    <w:link w:val="Heading1Char"/>
    <w:uiPriority w:val="9"/>
    <w:qFormat/>
    <w:rsid w:val="00ED7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4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4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4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4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4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4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4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4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4CE"/>
    <w:rPr>
      <w:rFonts w:eastAsiaTheme="majorEastAsia" w:cstheme="majorBidi"/>
      <w:color w:val="272727" w:themeColor="text1" w:themeTint="D8"/>
    </w:rPr>
  </w:style>
  <w:style w:type="paragraph" w:styleId="Title">
    <w:name w:val="Title"/>
    <w:basedOn w:val="Normal"/>
    <w:next w:val="Normal"/>
    <w:link w:val="TitleChar"/>
    <w:uiPriority w:val="10"/>
    <w:qFormat/>
    <w:rsid w:val="00ED74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4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4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4CE"/>
    <w:pPr>
      <w:spacing w:before="160"/>
      <w:jc w:val="center"/>
    </w:pPr>
    <w:rPr>
      <w:i/>
      <w:iCs/>
      <w:color w:val="404040" w:themeColor="text1" w:themeTint="BF"/>
    </w:rPr>
  </w:style>
  <w:style w:type="character" w:customStyle="1" w:styleId="QuoteChar">
    <w:name w:val="Quote Char"/>
    <w:basedOn w:val="DefaultParagraphFont"/>
    <w:link w:val="Quote"/>
    <w:uiPriority w:val="29"/>
    <w:rsid w:val="00ED74CE"/>
    <w:rPr>
      <w:i/>
      <w:iCs/>
      <w:color w:val="404040" w:themeColor="text1" w:themeTint="BF"/>
    </w:rPr>
  </w:style>
  <w:style w:type="paragraph" w:styleId="ListParagraph">
    <w:name w:val="List Paragraph"/>
    <w:basedOn w:val="Normal"/>
    <w:uiPriority w:val="34"/>
    <w:qFormat/>
    <w:rsid w:val="00ED74CE"/>
    <w:pPr>
      <w:ind w:left="720"/>
      <w:contextualSpacing/>
    </w:pPr>
  </w:style>
  <w:style w:type="character" w:styleId="IntenseEmphasis">
    <w:name w:val="Intense Emphasis"/>
    <w:basedOn w:val="DefaultParagraphFont"/>
    <w:uiPriority w:val="21"/>
    <w:qFormat/>
    <w:rsid w:val="00ED74CE"/>
    <w:rPr>
      <w:i/>
      <w:iCs/>
      <w:color w:val="0F4761" w:themeColor="accent1" w:themeShade="BF"/>
    </w:rPr>
  </w:style>
  <w:style w:type="paragraph" w:styleId="IntenseQuote">
    <w:name w:val="Intense Quote"/>
    <w:basedOn w:val="Normal"/>
    <w:next w:val="Normal"/>
    <w:link w:val="IntenseQuoteChar"/>
    <w:uiPriority w:val="30"/>
    <w:qFormat/>
    <w:rsid w:val="00ED7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4CE"/>
    <w:rPr>
      <w:i/>
      <w:iCs/>
      <w:color w:val="0F4761" w:themeColor="accent1" w:themeShade="BF"/>
    </w:rPr>
  </w:style>
  <w:style w:type="character" w:styleId="IntenseReference">
    <w:name w:val="Intense Reference"/>
    <w:basedOn w:val="DefaultParagraphFont"/>
    <w:uiPriority w:val="32"/>
    <w:qFormat/>
    <w:rsid w:val="00ED74CE"/>
    <w:rPr>
      <w:b/>
      <w:bCs/>
      <w:smallCaps/>
      <w:color w:val="0F4761" w:themeColor="accent1" w:themeShade="BF"/>
      <w:spacing w:val="5"/>
    </w:rPr>
  </w:style>
  <w:style w:type="table" w:styleId="TableGrid">
    <w:name w:val="Table Grid"/>
    <w:basedOn w:val="TableNormal"/>
    <w:uiPriority w:val="99"/>
    <w:qFormat/>
    <w:rsid w:val="00ED74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D74CE"/>
    <w:pPr>
      <w:spacing w:after="200"/>
    </w:pPr>
    <w:rPr>
      <w:rFonts w:ascii="Times New Roman" w:eastAsia="Times New Roman" w:hAnsi="Times New Roman" w:cs="Times New Roman"/>
      <w:i/>
      <w:iCs/>
      <w:color w:val="0E2841" w:themeColor="text2"/>
      <w:kern w:val="0"/>
      <w:sz w:val="18"/>
      <w:szCs w:val="18"/>
      <w14:ligatures w14:val="none"/>
    </w:rPr>
  </w:style>
  <w:style w:type="character" w:styleId="Strong">
    <w:name w:val="Strong"/>
    <w:basedOn w:val="DefaultParagraphFont"/>
    <w:uiPriority w:val="22"/>
    <w:qFormat/>
    <w:rsid w:val="00ED74CE"/>
    <w:rPr>
      <w:b/>
      <w:bCs/>
    </w:rPr>
  </w:style>
  <w:style w:type="paragraph" w:styleId="Header">
    <w:name w:val="header"/>
    <w:basedOn w:val="Normal"/>
    <w:link w:val="HeaderChar"/>
    <w:uiPriority w:val="99"/>
    <w:unhideWhenUsed/>
    <w:rsid w:val="00ED74CE"/>
    <w:pPr>
      <w:tabs>
        <w:tab w:val="center" w:pos="4513"/>
        <w:tab w:val="right" w:pos="9026"/>
      </w:tabs>
    </w:pPr>
  </w:style>
  <w:style w:type="character" w:customStyle="1" w:styleId="HeaderChar">
    <w:name w:val="Header Char"/>
    <w:basedOn w:val="DefaultParagraphFont"/>
    <w:link w:val="Header"/>
    <w:uiPriority w:val="99"/>
    <w:rsid w:val="00ED74CE"/>
    <w:rPr>
      <w:lang w:val="en-US"/>
    </w:rPr>
  </w:style>
  <w:style w:type="paragraph" w:styleId="Footer">
    <w:name w:val="footer"/>
    <w:basedOn w:val="Normal"/>
    <w:link w:val="FooterChar"/>
    <w:uiPriority w:val="99"/>
    <w:unhideWhenUsed/>
    <w:rsid w:val="00ED74CE"/>
    <w:pPr>
      <w:tabs>
        <w:tab w:val="center" w:pos="4513"/>
        <w:tab w:val="right" w:pos="9026"/>
      </w:tabs>
    </w:pPr>
  </w:style>
  <w:style w:type="character" w:customStyle="1" w:styleId="FooterChar">
    <w:name w:val="Footer Char"/>
    <w:basedOn w:val="DefaultParagraphFont"/>
    <w:link w:val="Footer"/>
    <w:uiPriority w:val="99"/>
    <w:rsid w:val="00ED74CE"/>
    <w:rPr>
      <w:lang w:val="en-US"/>
    </w:rPr>
  </w:style>
  <w:style w:type="paragraph" w:styleId="BodyText">
    <w:name w:val="Body Text"/>
    <w:basedOn w:val="Normal"/>
    <w:link w:val="BodyTextChar"/>
    <w:uiPriority w:val="1"/>
    <w:qFormat/>
    <w:rsid w:val="00ED74CE"/>
    <w:pPr>
      <w:spacing w:line="48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ED74CE"/>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A34AAE"/>
    <w:rPr>
      <w:color w:val="467886" w:themeColor="hyperlink"/>
      <w:u w:val="single"/>
    </w:rPr>
  </w:style>
  <w:style w:type="character" w:styleId="UnresolvedMention">
    <w:name w:val="Unresolved Mention"/>
    <w:basedOn w:val="DefaultParagraphFont"/>
    <w:uiPriority w:val="99"/>
    <w:semiHidden/>
    <w:unhideWhenUsed/>
    <w:rsid w:val="00A34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79975">
      <w:bodyDiv w:val="1"/>
      <w:marLeft w:val="0"/>
      <w:marRight w:val="0"/>
      <w:marTop w:val="0"/>
      <w:marBottom w:val="0"/>
      <w:divBdr>
        <w:top w:val="none" w:sz="0" w:space="0" w:color="auto"/>
        <w:left w:val="none" w:sz="0" w:space="0" w:color="auto"/>
        <w:bottom w:val="none" w:sz="0" w:space="0" w:color="auto"/>
        <w:right w:val="none" w:sz="0" w:space="0" w:color="auto"/>
      </w:divBdr>
    </w:div>
    <w:div w:id="166431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29/jhpn.v28i1.4520" TargetMode="External"/><Relationship Id="rId13" Type="http://schemas.openxmlformats.org/officeDocument/2006/relationships/hyperlink" Target="https://doi.org/10.1037/h00793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37/pas000118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s10578-013-0397-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cresq.2018.09.001" TargetMode="External"/><Relationship Id="rId5" Type="http://schemas.openxmlformats.org/officeDocument/2006/relationships/footnotes" Target="footnotes.xml"/><Relationship Id="rId15" Type="http://schemas.openxmlformats.org/officeDocument/2006/relationships/hyperlink" Target="https://doi.org/10.1111/jcpp.12322" TargetMode="External"/><Relationship Id="rId10" Type="http://schemas.openxmlformats.org/officeDocument/2006/relationships/hyperlink" Target="https://doi.org/10.1207/s15327922par0604_1" TargetMode="External"/><Relationship Id="rId4" Type="http://schemas.openxmlformats.org/officeDocument/2006/relationships/webSettings" Target="webSettings.xml"/><Relationship Id="rId9" Type="http://schemas.openxmlformats.org/officeDocument/2006/relationships/hyperlink" Target="https://doi.org/10.1353/mpq.2012.0012" TargetMode="External"/><Relationship Id="rId14" Type="http://schemas.openxmlformats.org/officeDocument/2006/relationships/hyperlink" Target="https://doi.org/10.1007/s10984-016-92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2272</Words>
  <Characters>13501</Characters>
  <Application>Microsoft Office Word</Application>
  <DocSecurity>0</DocSecurity>
  <Lines>204</Lines>
  <Paragraphs>35</Paragraphs>
  <ScaleCrop>false</ScaleCrop>
  <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 Gong</dc:creator>
  <cp:keywords/>
  <dc:description/>
  <cp:lastModifiedBy>Jing Gong</cp:lastModifiedBy>
  <cp:revision>3</cp:revision>
  <dcterms:created xsi:type="dcterms:W3CDTF">2025-05-22T09:02:00Z</dcterms:created>
  <dcterms:modified xsi:type="dcterms:W3CDTF">2025-05-22T09:52:00Z</dcterms:modified>
</cp:coreProperties>
</file>