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center"/>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materials</w:t>
      </w: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of decoding over Years 1, 3 and 6</w:t>
      </w:r>
    </w:p>
    <w:p>
      <w:pPr>
        <w:numPr>
          <w:ilvl w:val="0"/>
          <w:numId w:val="0"/>
        </w:numPr>
        <w:spacing w:line="24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7740" cy="2952115"/>
            <wp:effectExtent l="0" t="0" r="22860" b="19685"/>
            <wp:docPr id="2" name="Picture 2" descr="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c"/>
                    <pic:cNvPicPr>
                      <a:picLocks noChangeAspect="1"/>
                    </pic:cNvPicPr>
                  </pic:nvPicPr>
                  <pic:blipFill>
                    <a:blip r:embed="rId5"/>
                    <a:stretch>
                      <a:fillRect/>
                    </a:stretch>
                  </pic:blipFill>
                  <pic:spPr>
                    <a:xfrm>
                      <a:off x="0" y="0"/>
                      <a:ext cx="4777740"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The trajectory in bold is based on means at each time point.</w:t>
      </w:r>
    </w:p>
    <w:p>
      <w:pPr>
        <w:numPr>
          <w:ilvl w:val="0"/>
          <w:numId w:val="0"/>
        </w:numPr>
        <w:spacing w:line="360" w:lineRule="auto"/>
        <w:rPr>
          <w:rFonts w:hint="default" w:ascii="Times New Roman Bold" w:hAnsi="Times New Roman Bold" w:cs="Times New Roman Bold"/>
          <w:b/>
          <w:bCs/>
          <w:i w:val="0"/>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S2</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of receptive vocabulary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3" name="Picture 3" descr="ROWP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OWPVT"/>
                    <pic:cNvPicPr>
                      <a:picLocks noChangeAspect="1"/>
                    </pic:cNvPicPr>
                  </pic:nvPicPr>
                  <pic:blipFill>
                    <a:blip r:embed="rId6"/>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S3</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of expressive vocabulary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4" name="Picture 4" descr="EOWP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OWPVT"/>
                    <pic:cNvPicPr>
                      <a:picLocks noChangeAspect="1"/>
                    </pic:cNvPicPr>
                  </pic:nvPicPr>
                  <pic:blipFill>
                    <a:blip r:embed="rId7"/>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S4</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for mean reaction time in correct Go trials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80280" cy="2952115"/>
            <wp:effectExtent l="0" t="0" r="20320" b="19685"/>
            <wp:docPr id="5" name="Picture 5" descr="mean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anRT"/>
                    <pic:cNvPicPr>
                      <a:picLocks noChangeAspect="1"/>
                    </pic:cNvPicPr>
                  </pic:nvPicPr>
                  <pic:blipFill>
                    <a:blip r:embed="rId8"/>
                    <a:stretch>
                      <a:fillRect/>
                    </a:stretch>
                  </pic:blipFill>
                  <pic:spPr>
                    <a:xfrm>
                      <a:off x="0" y="0"/>
                      <a:ext cx="4780280"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S5</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for intra-individual variability in reaction time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6" name="Picture 6" descr="I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IV"/>
                    <pic:cNvPicPr>
                      <a:picLocks noChangeAspect="1"/>
                    </pic:cNvPicPr>
                  </pic:nvPicPr>
                  <pic:blipFill>
                    <a:blip r:embed="rId9"/>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S6</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for omission error rate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7" name="Picture 7" descr="o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mission"/>
                    <pic:cNvPicPr>
                      <a:picLocks noChangeAspect="1"/>
                    </pic:cNvPicPr>
                  </pic:nvPicPr>
                  <pic:blipFill>
                    <a:blip r:embed="rId10"/>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S7</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for commission error rate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8" name="Picture 8" descr="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mmission"/>
                    <pic:cNvPicPr>
                      <a:picLocks noChangeAspect="1"/>
                    </pic:cNvPicPr>
                  </pic:nvPicPr>
                  <pic:blipFill>
                    <a:blip r:embed="rId11"/>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S8</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for impulsivity error rate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9" name="Picture 9" descr="impul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pulsivity"/>
                    <pic:cNvPicPr>
                      <a:picLocks noChangeAspect="1"/>
                    </pic:cNvPicPr>
                  </pic:nvPicPr>
                  <pic:blipFill>
                    <a:blip r:embed="rId12"/>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S9</w:t>
      </w:r>
    </w:p>
    <w:p>
      <w:pPr>
        <w:numPr>
          <w:ilvl w:val="0"/>
          <w:numId w:val="0"/>
        </w:numPr>
        <w:spacing w:line="480" w:lineRule="auto"/>
        <w:rPr>
          <w:rFonts w:hint="default" w:ascii="Times New Roman Italic" w:hAnsi="Times New Roman Italic" w:cs="Times New Roman Italic"/>
          <w:b w:val="0"/>
          <w:i/>
          <w:iCs/>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for post-error slowing over Years 1, 3 and 6</w:t>
      </w:r>
    </w:p>
    <w:p>
      <w:pPr>
        <w:numPr>
          <w:ilvl w:val="0"/>
          <w:numId w:val="0"/>
        </w:numPr>
        <w:spacing w:line="360" w:lineRule="auto"/>
        <w:jc w:val="center"/>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80280" cy="2952115"/>
            <wp:effectExtent l="0" t="0" r="20320" b="19685"/>
            <wp:docPr id="10" name="Picture 10" descr="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S"/>
                    <pic:cNvPicPr>
                      <a:picLocks noChangeAspect="1"/>
                    </pic:cNvPicPr>
                  </pic:nvPicPr>
                  <pic:blipFill>
                    <a:blip r:embed="rId13"/>
                    <a:stretch>
                      <a:fillRect/>
                    </a:stretch>
                  </pic:blipFill>
                  <pic:spPr>
                    <a:xfrm>
                      <a:off x="0" y="0"/>
                      <a:ext cx="4780280"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xml:space="preserve">. The trajectory in bold is based on means at each time point. </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S10</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impulsivity error rate and commission error rate in Year 1</w:t>
      </w:r>
    </w:p>
    <w:p>
      <w:pPr>
        <w:numPr>
          <w:ilvl w:val="0"/>
          <w:numId w:val="0"/>
        </w:numPr>
        <w:spacing w:line="360" w:lineRule="auto"/>
        <w:rPr>
          <w:rFonts w:hint="default" w:ascii="Times New Roman Bold" w:hAnsi="Times New Roman Bold" w:cs="Times New Roman Bold"/>
          <w:b/>
          <w:bCs/>
          <w:i w:val="0"/>
          <w:color w:val="000000" w:themeColor="text1"/>
          <w:sz w:val="24"/>
          <w:szCs w:val="24"/>
          <w14:textFill>
            <w14:solidFill>
              <w14:schemeClr w14:val="tx1"/>
            </w14:solidFill>
          </w14:textFill>
        </w:rPr>
      </w:pPr>
      <w:r>
        <w:rPr>
          <w:rFonts w:hint="default" w:ascii="Times New Roman Bold" w:hAnsi="Times New Roman Bold" w:cs="Times New Roman Bold"/>
          <w:b/>
          <w:bCs/>
          <w:i w:val="0"/>
          <w:color w:val="000000" w:themeColor="text1"/>
          <w:sz w:val="24"/>
          <w:szCs w:val="24"/>
          <w14:textFill>
            <w14:solidFill>
              <w14:schemeClr w14:val="tx1"/>
            </w14:solidFill>
          </w14:textFill>
        </w:rPr>
        <w:drawing>
          <wp:inline distT="0" distB="0" distL="114300" distR="114300">
            <wp:extent cx="4779645" cy="2952115"/>
            <wp:effectExtent l="0" t="0" r="20955" b="19685"/>
            <wp:docPr id="18" name="Picture 18" descr="000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00002a"/>
                    <pic:cNvPicPr>
                      <a:picLocks noChangeAspect="1"/>
                    </pic:cNvPicPr>
                  </pic:nvPicPr>
                  <pic:blipFill>
                    <a:blip r:embed="rId14"/>
                    <a:stretch>
                      <a:fillRect/>
                    </a:stretch>
                  </pic:blipFill>
                  <pic:spPr>
                    <a:xfrm>
                      <a:off x="0" y="0"/>
                      <a:ext cx="4779645" cy="2952115"/>
                    </a:xfrm>
                    <a:prstGeom prst="rect">
                      <a:avLst/>
                    </a:prstGeom>
                  </pic:spPr>
                </pic:pic>
              </a:graphicData>
            </a:graphic>
          </wp:inline>
        </w:drawing>
      </w:r>
    </w:p>
    <w:p>
      <w:pPr>
        <w:numPr>
          <w:ilvl w:val="0"/>
          <w:numId w:val="0"/>
        </w:numPr>
        <w:spacing w:line="360" w:lineRule="auto"/>
        <w:rPr>
          <w:rFonts w:hint="default" w:ascii="Times New Roman Bold" w:hAnsi="Times New Roman Bold" w:cs="Times New Roman Bold"/>
          <w:b/>
          <w:bCs/>
          <w:i w:val="0"/>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i w:val="0"/>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S11</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impulsivity error rate and intra-individual variability in reaction time in Year 1</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drawing>
          <wp:inline distT="0" distB="0" distL="114300" distR="114300">
            <wp:extent cx="4780280" cy="2952115"/>
            <wp:effectExtent l="0" t="0" r="20320" b="19685"/>
            <wp:docPr id="16" name="Picture 16" descr="000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00002c"/>
                    <pic:cNvPicPr>
                      <a:picLocks noChangeAspect="1"/>
                    </pic:cNvPicPr>
                  </pic:nvPicPr>
                  <pic:blipFill>
                    <a:blip r:embed="rId15"/>
                    <a:stretch>
                      <a:fillRect/>
                    </a:stretch>
                  </pic:blipFill>
                  <pic:spPr>
                    <a:xfrm>
                      <a:off x="0" y="0"/>
                      <a:ext cx="4780280"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IIV = intra-individual variability in reaction time.</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S12</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commission error rate and intra-individual variability in reaction time in Year 1</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drawing>
          <wp:inline distT="0" distB="0" distL="114300" distR="114300">
            <wp:extent cx="4778375" cy="2952115"/>
            <wp:effectExtent l="0" t="0" r="22225" b="19685"/>
            <wp:docPr id="1" name="Picture 1" descr="com*IIV_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IIV_Y1"/>
                    <pic:cNvPicPr>
                      <a:picLocks noChangeAspect="1"/>
                    </pic:cNvPicPr>
                  </pic:nvPicPr>
                  <pic:blipFill>
                    <a:blip r:embed="rId16"/>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IIV = intra-individual variability in reaction time.</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S13</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impulsivity error rate and commission error rate in Year 3</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Regular" w:hAnsi="Times New Roman Regular" w:cs="Times New Roman Regular"/>
          <w:b w:val="0"/>
          <w:sz w:val="24"/>
          <w:szCs w:val="24"/>
        </w:rPr>
        <w:drawing>
          <wp:inline distT="0" distB="0" distL="114300" distR="114300">
            <wp:extent cx="4780280" cy="2952115"/>
            <wp:effectExtent l="0" t="0" r="20320" b="19685"/>
            <wp:docPr id="12" name="Picture 12" descr="0000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00002e"/>
                    <pic:cNvPicPr>
                      <a:picLocks noChangeAspect="1"/>
                    </pic:cNvPicPr>
                  </pic:nvPicPr>
                  <pic:blipFill>
                    <a:blip r:embed="rId17"/>
                    <a:stretch>
                      <a:fillRect/>
                    </a:stretch>
                  </pic:blipFill>
                  <pic:spPr>
                    <a:xfrm>
                      <a:off x="0" y="0"/>
                      <a:ext cx="4780280" cy="2952115"/>
                    </a:xfrm>
                    <a:prstGeom prst="rect">
                      <a:avLst/>
                    </a:prstGeom>
                  </pic:spPr>
                </pic:pic>
              </a:graphicData>
            </a:graphic>
          </wp:inline>
        </w:drawing>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S14</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impulsivity error rate and intra-individual variability in reaction time in Year 3</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Regular" w:hAnsi="Times New Roman Regular" w:cs="Times New Roman Regular"/>
          <w:b w:val="0"/>
          <w:sz w:val="24"/>
          <w:szCs w:val="24"/>
        </w:rPr>
        <w:drawing>
          <wp:inline distT="0" distB="0" distL="114300" distR="114300">
            <wp:extent cx="4780280" cy="2952115"/>
            <wp:effectExtent l="0" t="0" r="20320" b="19685"/>
            <wp:docPr id="13" name="Picture 13" descr="0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000030"/>
                    <pic:cNvPicPr>
                      <a:picLocks noChangeAspect="1"/>
                    </pic:cNvPicPr>
                  </pic:nvPicPr>
                  <pic:blipFill>
                    <a:blip r:embed="rId18"/>
                    <a:stretch>
                      <a:fillRect/>
                    </a:stretch>
                  </pic:blipFill>
                  <pic:spPr>
                    <a:xfrm>
                      <a:off x="0" y="0"/>
                      <a:ext cx="4780280"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IIV = intra-individual variability in reaction time.</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S15</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commission error rate and intra-individual variability in reaction time in Year 3</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drawing>
          <wp:inline distT="0" distB="0" distL="114300" distR="114300">
            <wp:extent cx="4778375" cy="2952115"/>
            <wp:effectExtent l="0" t="0" r="22225" b="19685"/>
            <wp:docPr id="17" name="Picture 17" descr="com*IIV_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om*IIV_Y3"/>
                    <pic:cNvPicPr>
                      <a:picLocks noChangeAspect="1"/>
                    </pic:cNvPicPr>
                  </pic:nvPicPr>
                  <pic:blipFill>
                    <a:blip r:embed="rId19"/>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IIV = intra-individual variability in reaction time.</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S16</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impulsivity error rate and commission error rate in Year 6</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Regular" w:hAnsi="Times New Roman Regular" w:cs="Times New Roman Regular"/>
          <w:b w:val="0"/>
          <w:sz w:val="24"/>
          <w:szCs w:val="24"/>
        </w:rPr>
        <w:drawing>
          <wp:inline distT="0" distB="0" distL="114300" distR="114300">
            <wp:extent cx="4780280" cy="2952115"/>
            <wp:effectExtent l="0" t="0" r="20320" b="19685"/>
            <wp:docPr id="14" name="Picture 14" descr="0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000032"/>
                    <pic:cNvPicPr>
                      <a:picLocks noChangeAspect="1"/>
                    </pic:cNvPicPr>
                  </pic:nvPicPr>
                  <pic:blipFill>
                    <a:blip r:embed="rId20"/>
                    <a:stretch>
                      <a:fillRect/>
                    </a:stretch>
                  </pic:blipFill>
                  <pic:spPr>
                    <a:xfrm>
                      <a:off x="0" y="0"/>
                      <a:ext cx="4780280" cy="2952115"/>
                    </a:xfrm>
                    <a:prstGeom prst="rect">
                      <a:avLst/>
                    </a:prstGeom>
                  </pic:spPr>
                </pic:pic>
              </a:graphicData>
            </a:graphic>
          </wp:inline>
        </w:drawing>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S17</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impulsivity error rate and intra-individual variability in reaction time in Year 6</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Regular" w:hAnsi="Times New Roman Regular" w:cs="Times New Roman Regular"/>
          <w:b w:val="0"/>
          <w:sz w:val="24"/>
          <w:szCs w:val="24"/>
        </w:rPr>
        <w:drawing>
          <wp:inline distT="0" distB="0" distL="114300" distR="114300">
            <wp:extent cx="4780280" cy="2952115"/>
            <wp:effectExtent l="0" t="0" r="20320" b="19685"/>
            <wp:docPr id="15" name="Picture 15" descr="0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000034"/>
                    <pic:cNvPicPr>
                      <a:picLocks noChangeAspect="1"/>
                    </pic:cNvPicPr>
                  </pic:nvPicPr>
                  <pic:blipFill>
                    <a:blip r:embed="rId21"/>
                    <a:stretch>
                      <a:fillRect/>
                    </a:stretch>
                  </pic:blipFill>
                  <pic:spPr>
                    <a:xfrm>
                      <a:off x="0" y="0"/>
                      <a:ext cx="4780280"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IIV = intra-individual variability in reaction time.</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S18</w:t>
      </w:r>
    </w:p>
    <w:p>
      <w:pPr>
        <w:numPr>
          <w:ilvl w:val="0"/>
          <w:numId w:val="0"/>
        </w:numPr>
        <w:spacing w:line="48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Scatter plot for commission error rate and intra-individual variability in reaction time in Year 6</w:t>
      </w: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drawing>
          <wp:inline distT="0" distB="0" distL="114300" distR="114300">
            <wp:extent cx="4778375" cy="2952115"/>
            <wp:effectExtent l="0" t="0" r="22225" b="19685"/>
            <wp:docPr id="19" name="Picture 19" descr="com*IIV_Y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om*IIV_Y6"/>
                    <pic:cNvPicPr>
                      <a:picLocks noChangeAspect="1"/>
                    </pic:cNvPicPr>
                  </pic:nvPicPr>
                  <pic:blipFill>
                    <a:blip r:embed="rId22"/>
                    <a:stretch>
                      <a:fillRect/>
                    </a:stretch>
                  </pic:blipFill>
                  <pic:spPr>
                    <a:xfrm>
                      <a:off x="0" y="0"/>
                      <a:ext cx="4778375" cy="295211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Regular" w:hAnsi="Times New Roman Regular" w:cs="Times New Roman Regular"/>
          <w:b w:val="0"/>
          <w:sz w:val="24"/>
          <w:szCs w:val="24"/>
        </w:rPr>
      </w:pPr>
      <w:r>
        <w:rPr>
          <w:rFonts w:hint="default" w:ascii="Times New Roman Italic" w:hAnsi="Times New Roman Italic" w:cs="Times New Roman Italic"/>
          <w:b w:val="0"/>
          <w:i/>
          <w:iCs/>
          <w:sz w:val="24"/>
          <w:szCs w:val="24"/>
        </w:rPr>
        <w:t>Note</w:t>
      </w:r>
      <w:r>
        <w:rPr>
          <w:rFonts w:hint="default" w:ascii="Times New Roman Regular" w:hAnsi="Times New Roman Regular" w:cs="Times New Roman Regular"/>
          <w:b w:val="0"/>
          <w:sz w:val="24"/>
          <w:szCs w:val="24"/>
        </w:rPr>
        <w:t>. IIV = intra-individual variability in reaction time.</w:t>
      </w: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Regular" w:hAnsi="Times New Roman Regular" w:cs="Times New Roman Regular"/>
          <w:b w:val="0"/>
          <w:sz w:val="24"/>
          <w:szCs w:val="24"/>
        </w:rPr>
      </w:pPr>
    </w:p>
    <w:p>
      <w:pPr>
        <w:numPr>
          <w:ilvl w:val="0"/>
          <w:numId w:val="0"/>
        </w:numPr>
        <w:spacing w:line="360" w:lineRule="auto"/>
        <w:rPr>
          <w:rFonts w:hint="default" w:ascii="Times New Roman Regular" w:hAnsi="Times New Roman Regular" w:cs="Times New Roman Regular"/>
          <w:b w:val="0"/>
          <w:sz w:val="24"/>
          <w:szCs w:val="24"/>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Table S1</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Comparisons between children who have complete data and those who have missing data in Years 3 and 6 on variables of interest in Year 1</w:t>
      </w:r>
    </w:p>
    <w:tbl>
      <w:tblPr>
        <w:tblStyle w:val="7"/>
        <w:tblW w:w="12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8"/>
        <w:gridCol w:w="1154"/>
        <w:gridCol w:w="1138"/>
        <w:gridCol w:w="2958"/>
        <w:gridCol w:w="1178"/>
        <w:gridCol w:w="1169"/>
        <w:gridCol w:w="3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tcBorders>
              <w:top w:val="single" w:color="auto" w:sz="4" w:space="0"/>
              <w:bottom w:val="nil"/>
            </w:tcBorders>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color w:val="auto"/>
                <w:sz w:val="24"/>
                <w:szCs w:val="24"/>
                <w:vertAlign w:val="baseline"/>
              </w:rPr>
              <w:t>Time point</w:t>
            </w:r>
          </w:p>
        </w:tc>
        <w:tc>
          <w:tcPr>
            <w:tcW w:w="5250" w:type="dxa"/>
            <w:gridSpan w:val="3"/>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Year 3</w:t>
            </w:r>
          </w:p>
        </w:tc>
        <w:tc>
          <w:tcPr>
            <w:tcW w:w="5443" w:type="dxa"/>
            <w:gridSpan w:val="3"/>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Year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tcBorders>
              <w:top w:val="nil"/>
              <w:bottom w:val="single" w:color="auto" w:sz="4" w:space="0"/>
            </w:tcBorders>
          </w:tcPr>
          <w:p>
            <w:pPr>
              <w:spacing w:after="0" w:line="240" w:lineRule="auto"/>
              <w:rPr>
                <w:rFonts w:hint="default" w:ascii="Times New Roman Regular" w:hAnsi="Times New Roman Regular" w:cs="Times New Roman Regular"/>
                <w:sz w:val="24"/>
                <w:szCs w:val="24"/>
              </w:rPr>
            </w:pPr>
          </w:p>
        </w:tc>
        <w:tc>
          <w:tcPr>
            <w:tcW w:w="1154" w:type="dxa"/>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Complete</w:t>
            </w:r>
          </w:p>
        </w:tc>
        <w:tc>
          <w:tcPr>
            <w:tcW w:w="1138" w:type="dxa"/>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Missing</w:t>
            </w:r>
          </w:p>
        </w:tc>
        <w:tc>
          <w:tcPr>
            <w:tcW w:w="2958" w:type="dxa"/>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T-test</w:t>
            </w:r>
          </w:p>
        </w:tc>
        <w:tc>
          <w:tcPr>
            <w:tcW w:w="1178" w:type="dxa"/>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Complete</w:t>
            </w:r>
          </w:p>
        </w:tc>
        <w:tc>
          <w:tcPr>
            <w:tcW w:w="1169" w:type="dxa"/>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Missing</w:t>
            </w:r>
          </w:p>
        </w:tc>
        <w:tc>
          <w:tcPr>
            <w:tcW w:w="3096" w:type="dxa"/>
            <w:tcBorders>
              <w:top w:val="single" w:color="auto" w:sz="4" w:space="0"/>
              <w:bottom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T-test</w:t>
            </w:r>
          </w:p>
        </w:tc>
      </w:tr>
      <w:tr>
        <w:trPr>
          <w:trHeight w:val="266" w:hRule="atLeast"/>
          <w:jc w:val="center"/>
        </w:trPr>
        <w:tc>
          <w:tcPr>
            <w:tcW w:w="2088" w:type="dxa"/>
            <w:tcBorders>
              <w:top w:val="single" w:color="auto" w:sz="4" w:space="0"/>
            </w:tcBorders>
          </w:tcPr>
          <w:p>
            <w:pPr>
              <w:spacing w:after="0" w:line="24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N</w:t>
            </w:r>
          </w:p>
        </w:tc>
        <w:tc>
          <w:tcPr>
            <w:tcW w:w="1154" w:type="dxa"/>
            <w:tcBorders>
              <w:top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451</w:t>
            </w:r>
          </w:p>
        </w:tc>
        <w:tc>
          <w:tcPr>
            <w:tcW w:w="1138" w:type="dxa"/>
            <w:tcBorders>
              <w:top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78</w:t>
            </w:r>
          </w:p>
        </w:tc>
        <w:tc>
          <w:tcPr>
            <w:tcW w:w="2958" w:type="dxa"/>
            <w:tcBorders>
              <w:top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p>
        </w:tc>
        <w:tc>
          <w:tcPr>
            <w:tcW w:w="1178" w:type="dxa"/>
            <w:tcBorders>
              <w:top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328</w:t>
            </w:r>
          </w:p>
        </w:tc>
        <w:tc>
          <w:tcPr>
            <w:tcW w:w="1169" w:type="dxa"/>
            <w:tcBorders>
              <w:top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201</w:t>
            </w:r>
          </w:p>
        </w:tc>
        <w:tc>
          <w:tcPr>
            <w:tcW w:w="3096" w:type="dxa"/>
            <w:tcBorders>
              <w:top w:val="single" w:color="auto" w:sz="4" w:space="0"/>
            </w:tcBorders>
            <w:vAlign w:val="top"/>
          </w:tcPr>
          <w:p>
            <w:pPr>
              <w:spacing w:after="0" w:line="240" w:lineRule="auto"/>
              <w:jc w:val="center"/>
              <w:rPr>
                <w:rFonts w:hint="default" w:ascii="Times New Roman Regular" w:hAnsi="Times New Roman Regular" w:cs="Times New Roman Regular"/>
                <w:sz w:val="24"/>
                <w:szCs w:val="24"/>
              </w:rPr>
            </w:pPr>
          </w:p>
        </w:tc>
      </w:tr>
      <w:tr>
        <w:trPr>
          <w:trHeight w:val="266" w:hRule="atLeast"/>
          <w:jc w:val="center"/>
        </w:trPr>
        <w:tc>
          <w:tcPr>
            <w:tcW w:w="2088" w:type="dxa"/>
          </w:tcPr>
          <w:p>
            <w:pPr>
              <w:spacing w:after="0" w:line="24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Year 1 variables</w:t>
            </w:r>
          </w:p>
        </w:tc>
        <w:tc>
          <w:tcPr>
            <w:tcW w:w="1154" w:type="dxa"/>
            <w:vAlign w:val="top"/>
          </w:tcPr>
          <w:p>
            <w:pPr>
              <w:spacing w:after="0" w:line="240" w:lineRule="auto"/>
              <w:jc w:val="center"/>
              <w:rPr>
                <w:rFonts w:hint="default" w:ascii="Times New Roman Regular" w:hAnsi="Times New Roman Regular" w:cs="Times New Roman Regular"/>
                <w:sz w:val="24"/>
                <w:szCs w:val="24"/>
              </w:rPr>
            </w:pPr>
          </w:p>
        </w:tc>
        <w:tc>
          <w:tcPr>
            <w:tcW w:w="1138" w:type="dxa"/>
            <w:vAlign w:val="top"/>
          </w:tcPr>
          <w:p>
            <w:pPr>
              <w:spacing w:after="0" w:line="240" w:lineRule="auto"/>
              <w:jc w:val="center"/>
              <w:rPr>
                <w:rFonts w:hint="default" w:ascii="Times New Roman Regular" w:hAnsi="Times New Roman Regular" w:cs="Times New Roman Regular"/>
                <w:sz w:val="24"/>
                <w:szCs w:val="24"/>
              </w:rPr>
            </w:pPr>
          </w:p>
        </w:tc>
        <w:tc>
          <w:tcPr>
            <w:tcW w:w="2958" w:type="dxa"/>
            <w:vAlign w:val="top"/>
          </w:tcPr>
          <w:p>
            <w:pPr>
              <w:spacing w:after="0" w:line="240" w:lineRule="auto"/>
              <w:jc w:val="center"/>
              <w:rPr>
                <w:rFonts w:hint="default" w:ascii="Times New Roman Italic" w:hAnsi="Times New Roman Italic" w:cs="Times New Roman Italic"/>
                <w:i/>
                <w:iCs/>
                <w:sz w:val="24"/>
                <w:szCs w:val="24"/>
              </w:rPr>
            </w:pPr>
          </w:p>
        </w:tc>
        <w:tc>
          <w:tcPr>
            <w:tcW w:w="1178" w:type="dxa"/>
            <w:vAlign w:val="top"/>
          </w:tcPr>
          <w:p>
            <w:pPr>
              <w:spacing w:after="0" w:line="240" w:lineRule="auto"/>
              <w:jc w:val="center"/>
              <w:rPr>
                <w:rFonts w:hint="default" w:ascii="Times New Roman Regular" w:hAnsi="Times New Roman Regular" w:cs="Times New Roman Regular"/>
                <w:sz w:val="24"/>
                <w:szCs w:val="24"/>
              </w:rPr>
            </w:pPr>
          </w:p>
        </w:tc>
        <w:tc>
          <w:tcPr>
            <w:tcW w:w="1169" w:type="dxa"/>
            <w:vAlign w:val="top"/>
          </w:tcPr>
          <w:p>
            <w:pPr>
              <w:spacing w:after="0" w:line="240" w:lineRule="auto"/>
              <w:jc w:val="center"/>
              <w:rPr>
                <w:rFonts w:hint="default" w:ascii="Times New Roman Regular" w:hAnsi="Times New Roman Regular" w:cs="Times New Roman Regular"/>
                <w:sz w:val="24"/>
                <w:szCs w:val="24"/>
              </w:rPr>
            </w:pPr>
          </w:p>
        </w:tc>
        <w:tc>
          <w:tcPr>
            <w:tcW w:w="3096" w:type="dxa"/>
            <w:vAlign w:val="top"/>
          </w:tcPr>
          <w:p>
            <w:pPr>
              <w:spacing w:after="0" w:line="240" w:lineRule="auto"/>
              <w:jc w:val="center"/>
              <w:rPr>
                <w:rFonts w:hint="default" w:ascii="Times New Roman Italic" w:hAnsi="Times New Roman Italic" w:cs="Times New Roman Italic"/>
                <w:i/>
                <w:i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tcPr>
          <w:p>
            <w:pPr>
              <w:spacing w:after="0" w:line="240" w:lineRule="auto"/>
              <w:ind w:firstLine="360" w:firstLineChars="15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IWR </w:t>
            </w:r>
            <w:r>
              <w:rPr>
                <w:rFonts w:hint="default" w:ascii="Times New Roman Regular" w:hAnsi="Times New Roman Regular" w:cs="Times New Roman Regular"/>
                <w:sz w:val="24"/>
                <w:szCs w:val="24"/>
                <w:vertAlign w:val="superscript"/>
              </w:rPr>
              <w:t>a</w:t>
            </w:r>
            <w:r>
              <w:rPr>
                <w:rFonts w:hint="default" w:ascii="Times New Roman Regular" w:hAnsi="Times New Roman Regular" w:cs="Times New Roman Regular"/>
                <w:sz w:val="24"/>
                <w:szCs w:val="24"/>
              </w:rPr>
              <w:t xml:space="preserve"> </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10.75%</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10.49%</w:t>
            </w:r>
          </w:p>
        </w:tc>
        <w:tc>
          <w:tcPr>
            <w:tcW w:w="295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Italic" w:hAnsi="Times New Roman Italic" w:cs="Times New Roman Italic"/>
                <w:i/>
                <w:iCs/>
                <w:sz w:val="24"/>
                <w:szCs w:val="24"/>
              </w:rPr>
              <w:t xml:space="preserve">t </w:t>
            </w:r>
            <w:r>
              <w:rPr>
                <w:rFonts w:hint="default" w:ascii="Times New Roman Regular" w:hAnsi="Times New Roman Regular" w:cs="Times New Roman Regular"/>
                <w:sz w:val="24"/>
                <w:szCs w:val="24"/>
              </w:rPr>
              <w:t xml:space="preserve">(94.89) = -.16,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.87</w:t>
            </w:r>
          </w:p>
        </w:tc>
        <w:tc>
          <w:tcPr>
            <w:tcW w:w="117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10.92%</w:t>
            </w:r>
          </w:p>
        </w:tc>
        <w:tc>
          <w:tcPr>
            <w:tcW w:w="1169"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10.37%</w:t>
            </w:r>
          </w:p>
        </w:tc>
        <w:tc>
          <w:tcPr>
            <w:tcW w:w="3096"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Italic" w:hAnsi="Times New Roman Italic" w:cs="Times New Roman Italic"/>
                <w:i/>
                <w:iCs/>
                <w:sz w:val="24"/>
                <w:szCs w:val="24"/>
              </w:rPr>
              <w:t xml:space="preserve">t </w:t>
            </w:r>
            <w:r>
              <w:rPr>
                <w:rFonts w:hint="default" w:ascii="Times New Roman Regular" w:hAnsi="Times New Roman Regular" w:cs="Times New Roman Regular"/>
                <w:sz w:val="24"/>
                <w:szCs w:val="24"/>
              </w:rPr>
              <w:t xml:space="preserve">(427.72) = -.50,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tcPr>
          <w:p>
            <w:pPr>
              <w:spacing w:after="0" w:line="240" w:lineRule="auto"/>
              <w:ind w:firstLine="360" w:firstLineChars="15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Decoding </w:t>
            </w:r>
            <w:r>
              <w:rPr>
                <w:rFonts w:hint="default" w:ascii="Times New Roman Regular" w:hAnsi="Times New Roman Regular" w:cs="Times New Roman Regular"/>
                <w:sz w:val="24"/>
                <w:szCs w:val="24"/>
                <w:vertAlign w:val="superscript"/>
              </w:rPr>
              <w:t>a</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20.77%</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19.40%</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Italic" w:hAnsi="Times New Roman Italic" w:cs="Times New Roman Italic"/>
                <w:i/>
                <w:iCs/>
                <w:sz w:val="24"/>
                <w:szCs w:val="24"/>
              </w:rPr>
              <w:t>t</w:t>
            </w:r>
            <w:r>
              <w:rPr>
                <w:rFonts w:hint="default" w:ascii="Times New Roman Regular" w:hAnsi="Times New Roman Regular" w:cs="Times New Roman Regular"/>
                <w:sz w:val="24"/>
                <w:szCs w:val="24"/>
              </w:rPr>
              <w:t xml:space="preserve"> (97.68) = -.51,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.61</w:t>
            </w:r>
          </w:p>
        </w:tc>
        <w:tc>
          <w:tcPr>
            <w:tcW w:w="117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20.83%</w:t>
            </w:r>
          </w:p>
        </w:tc>
        <w:tc>
          <w:tcPr>
            <w:tcW w:w="1169"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20.19%</w:t>
            </w:r>
          </w:p>
        </w:tc>
        <w:tc>
          <w:tcPr>
            <w:tcW w:w="3096"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Italic" w:hAnsi="Times New Roman Italic" w:cs="Times New Roman Italic"/>
                <w:i/>
                <w:iCs/>
                <w:sz w:val="24"/>
                <w:szCs w:val="24"/>
              </w:rPr>
              <w:t>t</w:t>
            </w:r>
            <w:r>
              <w:rPr>
                <w:rFonts w:hint="default" w:ascii="Times New Roman Regular" w:hAnsi="Times New Roman Regular" w:cs="Times New Roman Regular"/>
                <w:sz w:val="24"/>
                <w:szCs w:val="24"/>
              </w:rPr>
              <w:t xml:space="preserve"> (425.50) = -.32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tcPr>
          <w:p>
            <w:pPr>
              <w:spacing w:after="0" w:line="240" w:lineRule="auto"/>
              <w:ind w:firstLine="360" w:firstLineChars="15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ROWPVT </w:t>
            </w:r>
            <w:r>
              <w:rPr>
                <w:rFonts w:hint="default" w:ascii="Times New Roman Regular" w:hAnsi="Times New Roman Regular" w:cs="Times New Roman Regular"/>
                <w:sz w:val="24"/>
                <w:szCs w:val="24"/>
                <w:vertAlign w:val="superscript"/>
              </w:rPr>
              <w:t>a</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41.32%</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37.53%</w:t>
            </w:r>
          </w:p>
        </w:tc>
        <w:tc>
          <w:tcPr>
            <w:tcW w:w="295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(90.63) = -3.38,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.001</w:t>
            </w:r>
          </w:p>
        </w:tc>
        <w:tc>
          <w:tcPr>
            <w:tcW w:w="117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41.31%</w:t>
            </w:r>
          </w:p>
        </w:tc>
        <w:tc>
          <w:tcPr>
            <w:tcW w:w="1169"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39.87%</w:t>
            </w:r>
          </w:p>
        </w:tc>
        <w:tc>
          <w:tcPr>
            <w:tcW w:w="3096"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(399.46) = -2.13,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tcPr>
          <w:p>
            <w:pPr>
              <w:spacing w:after="0" w:line="240" w:lineRule="auto"/>
              <w:ind w:firstLine="360" w:firstLineChars="15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EOWPVT </w:t>
            </w:r>
            <w:r>
              <w:rPr>
                <w:rFonts w:hint="default" w:ascii="Times New Roman Regular" w:hAnsi="Times New Roman Regular" w:cs="Times New Roman Regular"/>
                <w:sz w:val="24"/>
                <w:szCs w:val="24"/>
                <w:vertAlign w:val="superscript"/>
              </w:rPr>
              <w:t>a</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39.88%</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36.94%</w:t>
            </w:r>
          </w:p>
        </w:tc>
        <w:tc>
          <w:tcPr>
            <w:tcW w:w="295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(86.80) = -2.41,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.02</w:t>
            </w:r>
          </w:p>
        </w:tc>
        <w:tc>
          <w:tcPr>
            <w:tcW w:w="117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39.88%</w:t>
            </w:r>
          </w:p>
        </w:tc>
        <w:tc>
          <w:tcPr>
            <w:tcW w:w="1169"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38.79%</w:t>
            </w:r>
          </w:p>
        </w:tc>
        <w:tc>
          <w:tcPr>
            <w:tcW w:w="3096"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(379.40) = -1.48,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vAlign w:val="center"/>
          </w:tcPr>
          <w:p>
            <w:pPr>
              <w:widowControl w:val="0"/>
              <w:spacing w:after="0" w:line="240" w:lineRule="auto"/>
              <w:ind w:firstLine="360" w:firstLineChars="150"/>
              <w:jc w:val="left"/>
              <w:rPr>
                <w:rFonts w:hint="default" w:ascii="Times New Roman Regular" w:hAnsi="Times New Roman Regular" w:cs="Times New Roman Regular" w:eastAsiaTheme="minorEastAsia"/>
                <w:color w:val="auto"/>
                <w:kern w:val="2"/>
                <w:sz w:val="24"/>
                <w:szCs w:val="24"/>
                <w:vertAlign w:val="baseline"/>
                <w:lang w:eastAsia="zh-CN" w:bidi="ar-SA"/>
              </w:rPr>
            </w:pPr>
            <w:r>
              <w:rPr>
                <w:rFonts w:hint="default" w:ascii="Times New Roman Regular" w:hAnsi="Times New Roman Regular" w:cs="Times New Roman Regular"/>
                <w:color w:val="auto"/>
                <w:sz w:val="24"/>
                <w:szCs w:val="24"/>
                <w:vertAlign w:val="baseline"/>
              </w:rPr>
              <w:t xml:space="preserve">Mean RT </w:t>
            </w:r>
            <w:r>
              <w:rPr>
                <w:rFonts w:hint="default" w:ascii="Times New Roman Regular" w:hAnsi="Times New Roman Regular" w:cs="Times New Roman Regular"/>
                <w:color w:val="auto"/>
                <w:sz w:val="24"/>
                <w:szCs w:val="24"/>
                <w:vertAlign w:val="superscript"/>
              </w:rPr>
              <w:t>c</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592.15</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599.86</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(78.52) = .60,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.55</w:t>
            </w:r>
          </w:p>
        </w:tc>
        <w:tc>
          <w:tcPr>
            <w:tcW w:w="1178"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598.22</w:t>
            </w:r>
          </w:p>
        </w:tc>
        <w:tc>
          <w:tcPr>
            <w:tcW w:w="1169" w:type="dxa"/>
            <w:vAlign w:val="top"/>
          </w:tcPr>
          <w:p>
            <w:pPr>
              <w:spacing w:after="0" w:line="240" w:lineRule="auto"/>
              <w:jc w:val="center"/>
              <w:rPr>
                <w:rFonts w:hint="default" w:ascii="Times New Roman Regular" w:hAnsi="Times New Roman Regular" w:cs="Times New Roman Regular" w:eastAsiaTheme="minorEastAsia"/>
                <w:kern w:val="2"/>
                <w:sz w:val="24"/>
                <w:szCs w:val="24"/>
                <w:lang w:eastAsia="zh-CN" w:bidi="ar-SA"/>
              </w:rPr>
            </w:pPr>
            <w:r>
              <w:rPr>
                <w:rFonts w:hint="default" w:ascii="Times New Roman Regular" w:hAnsi="Times New Roman Regular" w:cs="Times New Roman Regular"/>
                <w:sz w:val="24"/>
                <w:szCs w:val="24"/>
              </w:rPr>
              <w:t>584.53</w:t>
            </w:r>
          </w:p>
        </w:tc>
        <w:tc>
          <w:tcPr>
            <w:tcW w:w="3096" w:type="dxa"/>
            <w:vAlign w:val="top"/>
          </w:tcPr>
          <w:p>
            <w:pPr>
              <w:spacing w:after="0" w:line="240" w:lineRule="auto"/>
              <w:jc w:val="center"/>
              <w:rPr>
                <w:rFonts w:hint="default" w:ascii="Times New Roman Regular" w:hAnsi="Times New Roman Regular" w:cs="Times New Roman Regular" w:eastAsiaTheme="minorEastAsia"/>
                <w:i/>
                <w:kern w:val="2"/>
                <w:sz w:val="24"/>
                <w:szCs w:val="24"/>
                <w:lang w:val="en-US" w:eastAsia="zh-CN" w:bidi="ar-SA"/>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(427.35) = -1.85,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vAlign w:val="center"/>
          </w:tcPr>
          <w:p>
            <w:pPr>
              <w:widowControl w:val="0"/>
              <w:spacing w:after="0" w:line="240" w:lineRule="auto"/>
              <w:ind w:firstLine="360" w:firstLineChars="150"/>
              <w:jc w:val="left"/>
              <w:rPr>
                <w:rFonts w:hint="default" w:ascii="Times New Roman Regular" w:hAnsi="Times New Roman Regular" w:cs="Times New Roman Regular" w:eastAsiaTheme="minorEastAsia"/>
                <w:color w:val="auto"/>
                <w:kern w:val="2"/>
                <w:sz w:val="24"/>
                <w:szCs w:val="24"/>
                <w:vertAlign w:val="baseline"/>
                <w:lang w:eastAsia="zh-CN" w:bidi="ar-SA"/>
              </w:rPr>
            </w:pPr>
            <w:r>
              <w:rPr>
                <w:rFonts w:hint="default" w:ascii="Times New Roman Regular" w:hAnsi="Times New Roman Regular" w:cs="Times New Roman Regular"/>
                <w:color w:val="auto"/>
                <w:sz w:val="24"/>
                <w:szCs w:val="24"/>
                <w:vertAlign w:val="baseline"/>
              </w:rPr>
              <w:t>IIV</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.35</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.34</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(87.05) = -.60,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.55</w:t>
            </w:r>
          </w:p>
        </w:tc>
        <w:tc>
          <w:tcPr>
            <w:tcW w:w="1178"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.35</w:t>
            </w:r>
          </w:p>
        </w:tc>
        <w:tc>
          <w:tcPr>
            <w:tcW w:w="1169"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.34</w:t>
            </w:r>
          </w:p>
        </w:tc>
        <w:tc>
          <w:tcPr>
            <w:tcW w:w="3096" w:type="dxa"/>
            <w:vAlign w:val="top"/>
          </w:tcPr>
          <w:p>
            <w:pPr>
              <w:spacing w:after="0" w:line="240" w:lineRule="auto"/>
              <w:jc w:val="center"/>
              <w:rPr>
                <w:rFonts w:hint="default" w:ascii="Times New Roman Regular" w:hAnsi="Times New Roman Regular" w:cs="Times New Roman Regular" w:eastAsiaTheme="minorEastAsia"/>
                <w:i/>
                <w:kern w:val="2"/>
                <w:sz w:val="24"/>
                <w:szCs w:val="24"/>
                <w:lang w:val="en-US" w:eastAsia="zh-CN" w:bidi="ar-SA"/>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(387.19) = -1.41,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vAlign w:val="center"/>
          </w:tcPr>
          <w:p>
            <w:pPr>
              <w:widowControl w:val="0"/>
              <w:spacing w:after="0" w:line="240" w:lineRule="auto"/>
              <w:ind w:firstLine="360" w:firstLineChars="150"/>
              <w:jc w:val="left"/>
              <w:rPr>
                <w:rFonts w:hint="default" w:ascii="Times New Roman Regular" w:hAnsi="Times New Roman Regular" w:cs="Times New Roman Regular" w:eastAsiaTheme="minorEastAsia"/>
                <w:color w:val="auto"/>
                <w:kern w:val="2"/>
                <w:sz w:val="24"/>
                <w:szCs w:val="24"/>
                <w:vertAlign w:val="baseline"/>
                <w:lang w:eastAsia="zh-CN" w:bidi="ar-SA"/>
              </w:rPr>
            </w:pPr>
            <w:r>
              <w:rPr>
                <w:rFonts w:hint="default" w:ascii="Times New Roman Regular" w:hAnsi="Times New Roman Regular" w:cs="Times New Roman Regular"/>
                <w:color w:val="auto"/>
                <w:sz w:val="24"/>
                <w:szCs w:val="24"/>
                <w:vertAlign w:val="baseline"/>
              </w:rPr>
              <w:t xml:space="preserve">Omission </w:t>
            </w:r>
            <w:r>
              <w:rPr>
                <w:rFonts w:hint="default" w:ascii="Times New Roman Regular" w:hAnsi="Times New Roman Regular" w:cs="Times New Roman Regular"/>
                <w:color w:val="auto"/>
                <w:sz w:val="24"/>
                <w:szCs w:val="24"/>
                <w:vertAlign w:val="superscript"/>
              </w:rPr>
              <w:t>b</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10.36%</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10.33%</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(86.71) = -.31,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.98</w:t>
            </w:r>
          </w:p>
        </w:tc>
        <w:tc>
          <w:tcPr>
            <w:tcW w:w="1178"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10.67%</w:t>
            </w:r>
          </w:p>
        </w:tc>
        <w:tc>
          <w:tcPr>
            <w:tcW w:w="1169"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9.81%</w:t>
            </w:r>
          </w:p>
        </w:tc>
        <w:tc>
          <w:tcPr>
            <w:tcW w:w="3096" w:type="dxa"/>
            <w:vAlign w:val="top"/>
          </w:tcPr>
          <w:p>
            <w:pPr>
              <w:spacing w:after="0" w:line="240" w:lineRule="auto"/>
              <w:jc w:val="center"/>
              <w:rPr>
                <w:rFonts w:hint="default" w:ascii="Times New Roman Regular" w:hAnsi="Times New Roman Regular" w:cs="Times New Roman Regular" w:eastAsiaTheme="minorEastAsia"/>
                <w:i/>
                <w:kern w:val="2"/>
                <w:sz w:val="24"/>
                <w:szCs w:val="24"/>
                <w:lang w:val="en-US" w:eastAsia="zh-CN" w:bidi="ar-SA"/>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(456.60) = -1.22,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vAlign w:val="center"/>
          </w:tcPr>
          <w:p>
            <w:pPr>
              <w:widowControl w:val="0"/>
              <w:spacing w:after="0" w:line="240" w:lineRule="auto"/>
              <w:ind w:firstLine="360" w:firstLineChars="150"/>
              <w:jc w:val="left"/>
              <w:rPr>
                <w:rFonts w:hint="default" w:ascii="Times New Roman Regular" w:hAnsi="Times New Roman Regular" w:cs="Times New Roman Regular" w:eastAsiaTheme="minorEastAsia"/>
                <w:color w:val="auto"/>
                <w:kern w:val="2"/>
                <w:sz w:val="24"/>
                <w:szCs w:val="24"/>
                <w:vertAlign w:val="baseline"/>
                <w:lang w:eastAsia="zh-CN" w:bidi="ar-SA"/>
              </w:rPr>
            </w:pPr>
            <w:r>
              <w:rPr>
                <w:rFonts w:hint="default" w:ascii="Times New Roman Regular" w:hAnsi="Times New Roman Regular" w:cs="Times New Roman Regular"/>
                <w:color w:val="auto"/>
                <w:sz w:val="24"/>
                <w:szCs w:val="24"/>
                <w:vertAlign w:val="baseline"/>
              </w:rPr>
              <w:t xml:space="preserve">Commission </w:t>
            </w:r>
            <w:r>
              <w:rPr>
                <w:rFonts w:hint="default" w:ascii="Times New Roman Regular" w:hAnsi="Times New Roman Regular" w:cs="Times New Roman Regular"/>
                <w:color w:val="auto"/>
                <w:sz w:val="24"/>
                <w:szCs w:val="24"/>
                <w:vertAlign w:val="superscript"/>
              </w:rPr>
              <w:t>b</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34.40%</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30.91%</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(87.05) = -1.43,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.16</w:t>
            </w:r>
          </w:p>
        </w:tc>
        <w:tc>
          <w:tcPr>
            <w:tcW w:w="1178"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34.11%</w:t>
            </w:r>
          </w:p>
        </w:tc>
        <w:tc>
          <w:tcPr>
            <w:tcW w:w="1169"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33.67%</w:t>
            </w:r>
          </w:p>
        </w:tc>
        <w:tc>
          <w:tcPr>
            <w:tcW w:w="3096" w:type="dxa"/>
            <w:vAlign w:val="top"/>
          </w:tcPr>
          <w:p>
            <w:pPr>
              <w:spacing w:after="0" w:line="240" w:lineRule="auto"/>
              <w:jc w:val="center"/>
              <w:rPr>
                <w:rFonts w:hint="default" w:ascii="Times New Roman Regular" w:hAnsi="Times New Roman Regular" w:cs="Times New Roman Regular" w:eastAsiaTheme="minorEastAsia"/>
                <w:i/>
                <w:kern w:val="2"/>
                <w:sz w:val="24"/>
                <w:szCs w:val="24"/>
                <w:lang w:val="en-US" w:eastAsia="zh-CN" w:bidi="ar-SA"/>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(406.11) = -.26,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vAlign w:val="center"/>
          </w:tcPr>
          <w:p>
            <w:pPr>
              <w:widowControl w:val="0"/>
              <w:spacing w:after="0" w:line="240" w:lineRule="auto"/>
              <w:ind w:firstLine="360" w:firstLineChars="150"/>
              <w:jc w:val="left"/>
              <w:rPr>
                <w:rFonts w:hint="default" w:ascii="Times New Roman Regular" w:hAnsi="Times New Roman Regular" w:cs="Times New Roman Regular" w:eastAsiaTheme="minorEastAsia"/>
                <w:color w:val="auto"/>
                <w:kern w:val="2"/>
                <w:sz w:val="24"/>
                <w:szCs w:val="24"/>
                <w:vertAlign w:val="baseline"/>
                <w:lang w:eastAsia="zh-CN" w:bidi="ar-SA"/>
              </w:rPr>
            </w:pPr>
            <w:r>
              <w:rPr>
                <w:rFonts w:hint="default" w:ascii="Times New Roman Regular" w:hAnsi="Times New Roman Regular" w:cs="Times New Roman Regular"/>
                <w:color w:val="auto"/>
                <w:sz w:val="24"/>
                <w:szCs w:val="24"/>
                <w:vertAlign w:val="baseline"/>
              </w:rPr>
              <w:t xml:space="preserve">Impulsivity </w:t>
            </w:r>
            <w:r>
              <w:rPr>
                <w:rFonts w:hint="default" w:ascii="Times New Roman Regular" w:hAnsi="Times New Roman Regular" w:cs="Times New Roman Regular"/>
                <w:color w:val="auto"/>
                <w:sz w:val="24"/>
                <w:szCs w:val="24"/>
                <w:vertAlign w:val="superscript"/>
              </w:rPr>
              <w:t>b</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7.50%</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6.16%</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(109.00) = -1.27,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.21</w:t>
            </w:r>
          </w:p>
        </w:tc>
        <w:tc>
          <w:tcPr>
            <w:tcW w:w="1178"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7.45%</w:t>
            </w:r>
          </w:p>
        </w:tc>
        <w:tc>
          <w:tcPr>
            <w:tcW w:w="1169"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7.11%</w:t>
            </w:r>
          </w:p>
        </w:tc>
        <w:tc>
          <w:tcPr>
            <w:tcW w:w="3096" w:type="dxa"/>
            <w:vAlign w:val="top"/>
          </w:tcPr>
          <w:p>
            <w:pPr>
              <w:spacing w:after="0" w:line="240" w:lineRule="auto"/>
              <w:jc w:val="center"/>
              <w:rPr>
                <w:rFonts w:hint="default" w:ascii="Times New Roman Regular" w:hAnsi="Times New Roman Regular" w:cs="Times New Roman Regular" w:eastAsiaTheme="minorEastAsia"/>
                <w:i/>
                <w:kern w:val="2"/>
                <w:sz w:val="24"/>
                <w:szCs w:val="24"/>
                <w:lang w:val="en-US" w:eastAsia="zh-CN" w:bidi="ar-SA"/>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(397.14) = -.37,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6" w:hRule="atLeast"/>
          <w:jc w:val="center"/>
        </w:trPr>
        <w:tc>
          <w:tcPr>
            <w:tcW w:w="2088" w:type="dxa"/>
            <w:vAlign w:val="center"/>
          </w:tcPr>
          <w:p>
            <w:pPr>
              <w:widowControl w:val="0"/>
              <w:spacing w:after="0" w:line="240" w:lineRule="auto"/>
              <w:ind w:firstLine="360" w:firstLineChars="150"/>
              <w:jc w:val="left"/>
              <w:rPr>
                <w:rFonts w:hint="default" w:ascii="Times New Roman Regular" w:hAnsi="Times New Roman Regular" w:cs="Times New Roman Regular" w:eastAsiaTheme="minorEastAsia"/>
                <w:color w:val="auto"/>
                <w:kern w:val="2"/>
                <w:sz w:val="24"/>
                <w:szCs w:val="24"/>
                <w:vertAlign w:val="baseline"/>
                <w:lang w:eastAsia="zh-CN" w:bidi="ar-SA"/>
              </w:rPr>
            </w:pPr>
            <w:r>
              <w:rPr>
                <w:rFonts w:hint="default" w:ascii="Times New Roman Regular" w:hAnsi="Times New Roman Regular" w:cs="Times New Roman Regular"/>
                <w:color w:val="auto"/>
                <w:sz w:val="24"/>
                <w:szCs w:val="24"/>
                <w:vertAlign w:val="baseline"/>
              </w:rPr>
              <w:t xml:space="preserve">PES </w:t>
            </w:r>
            <w:r>
              <w:rPr>
                <w:rFonts w:hint="default" w:ascii="Times New Roman Regular" w:hAnsi="Times New Roman Regular" w:cs="Times New Roman Regular"/>
                <w:color w:val="auto"/>
                <w:sz w:val="24"/>
                <w:szCs w:val="24"/>
                <w:vertAlign w:val="superscript"/>
              </w:rPr>
              <w:t>c</w:t>
            </w:r>
          </w:p>
        </w:tc>
        <w:tc>
          <w:tcPr>
            <w:tcW w:w="1154"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125.88</w:t>
            </w:r>
          </w:p>
        </w:tc>
        <w:tc>
          <w:tcPr>
            <w:tcW w:w="1138" w:type="dxa"/>
            <w:vAlign w:val="top"/>
          </w:tcPr>
          <w:p>
            <w:pPr>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163.40</w:t>
            </w:r>
          </w:p>
        </w:tc>
        <w:tc>
          <w:tcPr>
            <w:tcW w:w="2958" w:type="dxa"/>
            <w:vAlign w:val="top"/>
          </w:tcPr>
          <w:p>
            <w:pPr>
              <w:spacing w:after="0" w:line="240" w:lineRule="auto"/>
              <w:jc w:val="center"/>
              <w:rPr>
                <w:rFonts w:hint="default" w:ascii="Times New Roman Regular" w:hAnsi="Times New Roman Regular" w:cs="Times New Roman Regular"/>
                <w:i/>
                <w:sz w:val="24"/>
                <w:szCs w:val="24"/>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(67.19) = .99,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.33</w:t>
            </w:r>
          </w:p>
        </w:tc>
        <w:tc>
          <w:tcPr>
            <w:tcW w:w="1178" w:type="dxa"/>
            <w:vAlign w:val="top"/>
          </w:tcPr>
          <w:p>
            <w:pPr>
              <w:spacing w:after="0" w:line="240" w:lineRule="auto"/>
              <w:jc w:val="center"/>
              <w:rPr>
                <w:rFonts w:hint="default" w:ascii="Times New Roman Regular" w:hAnsi="Times New Roman Regular" w:cs="Times New Roman Regular" w:eastAsiaTheme="minorEastAsia"/>
                <w:kern w:val="2"/>
                <w:sz w:val="24"/>
                <w:szCs w:val="24"/>
                <w:lang w:val="en-US" w:eastAsia="zh-CN" w:bidi="ar-SA"/>
              </w:rPr>
            </w:pPr>
            <w:r>
              <w:rPr>
                <w:rFonts w:hint="default" w:ascii="Times New Roman Regular" w:hAnsi="Times New Roman Regular" w:cs="Times New Roman Regular"/>
                <w:sz w:val="24"/>
                <w:szCs w:val="24"/>
              </w:rPr>
              <w:t>121.26</w:t>
            </w:r>
          </w:p>
        </w:tc>
        <w:tc>
          <w:tcPr>
            <w:tcW w:w="1169" w:type="dxa"/>
            <w:vAlign w:val="top"/>
          </w:tcPr>
          <w:p>
            <w:pPr>
              <w:spacing w:after="0" w:line="240" w:lineRule="auto"/>
              <w:jc w:val="center"/>
              <w:rPr>
                <w:rFonts w:hint="default" w:ascii="Times New Roman Regular" w:hAnsi="Times New Roman Regular" w:cs="Times New Roman Regular" w:eastAsiaTheme="minorEastAsia"/>
                <w:kern w:val="2"/>
                <w:sz w:val="24"/>
                <w:szCs w:val="24"/>
                <w:lang w:eastAsia="zh-CN" w:bidi="ar-SA"/>
              </w:rPr>
            </w:pPr>
            <w:r>
              <w:rPr>
                <w:rFonts w:hint="default" w:ascii="Times New Roman Regular" w:hAnsi="Times New Roman Regular" w:cs="Times New Roman Regular"/>
                <w:sz w:val="24"/>
                <w:szCs w:val="24"/>
              </w:rPr>
              <w:t>146.98</w:t>
            </w:r>
          </w:p>
        </w:tc>
        <w:tc>
          <w:tcPr>
            <w:tcW w:w="3096" w:type="dxa"/>
            <w:vAlign w:val="top"/>
          </w:tcPr>
          <w:p>
            <w:pPr>
              <w:spacing w:after="0" w:line="240" w:lineRule="auto"/>
              <w:jc w:val="center"/>
              <w:rPr>
                <w:rFonts w:hint="default" w:ascii="Times New Roman Regular" w:hAnsi="Times New Roman Regular" w:cs="Times New Roman Regular" w:eastAsiaTheme="minorEastAsia"/>
                <w:i/>
                <w:kern w:val="2"/>
                <w:sz w:val="24"/>
                <w:szCs w:val="24"/>
                <w:lang w:val="en-US" w:eastAsia="zh-CN" w:bidi="ar-SA"/>
              </w:rPr>
            </w:pPr>
            <w:r>
              <w:rPr>
                <w:rFonts w:hint="default" w:ascii="Times New Roman Regular" w:hAnsi="Times New Roman Regular" w:cs="Times New Roman Regular"/>
                <w:i/>
                <w:sz w:val="24"/>
                <w:szCs w:val="24"/>
              </w:rPr>
              <w:t xml:space="preserve">t </w:t>
            </w:r>
            <w:r>
              <w:rPr>
                <w:rFonts w:hint="default" w:ascii="Times New Roman Regular" w:hAnsi="Times New Roman Regular" w:cs="Times New Roman Regular"/>
                <w:sz w:val="24"/>
                <w:szCs w:val="24"/>
              </w:rPr>
              <w:t xml:space="preserve">(330.29) = 1.27, </w:t>
            </w:r>
            <w:r>
              <w:rPr>
                <w:rFonts w:hint="default" w:ascii="Times New Roman Regular" w:hAnsi="Times New Roman Regular" w:cs="Times New Roman Regular"/>
                <w:i/>
                <w:sz w:val="24"/>
                <w:szCs w:val="24"/>
              </w:rPr>
              <w:t>p</w:t>
            </w:r>
            <w:r>
              <w:rPr>
                <w:rFonts w:hint="default" w:ascii="Times New Roman Regular" w:hAnsi="Times New Roman Regular" w:cs="Times New Roman Regular"/>
                <w:sz w:val="24"/>
                <w:szCs w:val="24"/>
              </w:rPr>
              <w:t xml:space="preserve"> = .21</w:t>
            </w:r>
          </w:p>
        </w:tc>
      </w:tr>
    </w:tbl>
    <w:p>
      <w:pPr>
        <w:spacing w:line="360" w:lineRule="auto"/>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xml:space="preserve">. N= number; ROWPVT = receptive one word picture vocabulary test; EOWPVT = expressive one word picture vocabulary test; RT = reaction time; IIV = intra-individual variability in reaction time; PES = post-error slowing. </w:t>
      </w:r>
      <w:r>
        <w:rPr>
          <w:rFonts w:hint="default" w:ascii="Times New Roman Regular" w:hAnsi="Times New Roman Regular" w:cs="Times New Roman Regular"/>
          <w:sz w:val="24"/>
          <w:szCs w:val="24"/>
          <w:vertAlign w:val="superscript"/>
        </w:rPr>
        <w:t>a</w:t>
      </w:r>
      <w:r>
        <w:rPr>
          <w:rFonts w:hint="default" w:ascii="Times New Roman Regular" w:hAnsi="Times New Roman Regular" w:cs="Times New Roman Regular"/>
          <w:sz w:val="24"/>
          <w:szCs w:val="24"/>
        </w:rPr>
        <w:t xml:space="preserve"> Accuracy rate. </w:t>
      </w:r>
      <w:r>
        <w:rPr>
          <w:rFonts w:hint="default" w:ascii="Times New Roman Regular" w:hAnsi="Times New Roman Regular" w:cs="Times New Roman Regular"/>
          <w:sz w:val="24"/>
          <w:szCs w:val="24"/>
          <w:vertAlign w:val="superscript"/>
        </w:rPr>
        <w:t>b</w:t>
      </w:r>
      <w:r>
        <w:rPr>
          <w:rFonts w:hint="default" w:ascii="Times New Roman Regular" w:hAnsi="Times New Roman Regular" w:cs="Times New Roman Regular"/>
          <w:sz w:val="24"/>
          <w:szCs w:val="24"/>
        </w:rPr>
        <w:t xml:space="preserve"> Error rate. </w:t>
      </w:r>
      <w:r>
        <w:rPr>
          <w:rFonts w:hint="default" w:ascii="Times New Roman Regular" w:hAnsi="Times New Roman Regular" w:cs="Times New Roman Regular"/>
          <w:sz w:val="24"/>
          <w:szCs w:val="24"/>
          <w:vertAlign w:val="superscript"/>
        </w:rPr>
        <w:t>c</w:t>
      </w:r>
      <w:r>
        <w:rPr>
          <w:rFonts w:hint="default" w:ascii="Times New Roman Regular" w:hAnsi="Times New Roman Regular" w:cs="Times New Roman Regular"/>
          <w:sz w:val="24"/>
          <w:szCs w:val="24"/>
        </w:rPr>
        <w:t xml:space="preserve"> in millisecond.</w:t>
      </w:r>
    </w:p>
    <w:p>
      <w:pPr>
        <w:spacing w:after="0" w:line="360" w:lineRule="auto"/>
        <w:rPr>
          <w:rFonts w:hint="default" w:ascii="Times New Roman Regular" w:hAnsi="Times New Roman Regular" w:cs="Times New Roman Regular"/>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Table S2</w:t>
      </w:r>
    </w:p>
    <w:p>
      <w:pPr>
        <w:spacing w:line="48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i/>
          <w:iCs/>
          <w:color w:val="auto"/>
          <w:sz w:val="24"/>
          <w:szCs w:val="24"/>
        </w:rPr>
        <w:t>Covariance matrices of Go/No-Go measures in Years 1, 3 and 6</w:t>
      </w:r>
    </w:p>
    <w:tbl>
      <w:tblPr>
        <w:tblStyle w:val="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1"/>
        <w:gridCol w:w="1020"/>
        <w:gridCol w:w="1020"/>
        <w:gridCol w:w="1020"/>
        <w:gridCol w:w="1020"/>
        <w:gridCol w:w="1020"/>
        <w:gridCol w:w="10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w:t>
            </w:r>
          </w:p>
        </w:tc>
        <w:tc>
          <w:tcPr>
            <w:tcW w:w="1020"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w:t>
            </w:r>
          </w:p>
        </w:tc>
        <w:tc>
          <w:tcPr>
            <w:tcW w:w="1020"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w:t>
            </w:r>
          </w:p>
        </w:tc>
        <w:tc>
          <w:tcPr>
            <w:tcW w:w="1020"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4</w:t>
            </w:r>
          </w:p>
        </w:tc>
        <w:tc>
          <w:tcPr>
            <w:tcW w:w="1020"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5</w:t>
            </w:r>
          </w:p>
        </w:tc>
        <w:tc>
          <w:tcPr>
            <w:tcW w:w="1020" w:type="dxa"/>
            <w:tcBorders>
              <w:bottom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op w:val="single" w:color="000000" w:sz="4" w:space="0"/>
              <w:tl2br w:val="nil"/>
              <w:tr2bl w:val="nil"/>
            </w:tcBorders>
            <w:vAlign w:val="center"/>
          </w:tcPr>
          <w:p>
            <w:pPr>
              <w:widowControl w:val="0"/>
              <w:spacing w:after="0" w:line="240" w:lineRule="auto"/>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Year 1</w:t>
            </w:r>
          </w:p>
        </w:tc>
        <w:tc>
          <w:tcPr>
            <w:tcW w:w="1020" w:type="dxa"/>
            <w:tcBorders>
              <w:top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op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op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op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op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op w:val="single" w:color="000000" w:sz="4" w:space="0"/>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 Commission</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 IIV</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w:hAnsi="Times New Roman" w:cs="Times New Roman"/>
                <w:b w:val="0"/>
                <w:bCs w:val="0"/>
                <w:color w:val="auto"/>
                <w:sz w:val="24"/>
                <w:szCs w:val="24"/>
                <w:vertAlign w:val="baseline"/>
              </w:rPr>
              <w:t>.45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 Impulsivity</w:t>
            </w:r>
          </w:p>
        </w:tc>
        <w:tc>
          <w:tcPr>
            <w:tcW w:w="1020" w:type="dxa"/>
            <w:tcBorders>
              <w:tl2br w:val="nil"/>
              <w:tr2bl w:val="nil"/>
            </w:tcBorders>
            <w:vAlign w:val="center"/>
          </w:tcPr>
          <w:p>
            <w:pPr>
              <w:widowControl w:val="0"/>
              <w:spacing w:after="0" w:line="240" w:lineRule="auto"/>
              <w:jc w:val="center"/>
              <w:rPr>
                <w:rFonts w:hint="default" w:ascii="Times New Roman" w:hAnsi="Times New Roman" w:cs="Times New Roman"/>
                <w:b w:val="0"/>
                <w:bCs w:val="0"/>
                <w:color w:val="auto"/>
                <w:sz w:val="24"/>
                <w:szCs w:val="24"/>
                <w:vertAlign w:val="baseline"/>
              </w:rPr>
            </w:pPr>
            <w:r>
              <w:rPr>
                <w:rFonts w:hint="default" w:ascii="Times New Roman" w:hAnsi="Times New Roman" w:cs="Times New Roman"/>
                <w:b w:val="0"/>
                <w:bCs w:val="0"/>
                <w:color w:val="auto"/>
                <w:sz w:val="24"/>
                <w:szCs w:val="24"/>
                <w:vertAlign w:val="baseline"/>
              </w:rPr>
              <w:t>.51</w:t>
            </w:r>
          </w:p>
        </w:tc>
        <w:tc>
          <w:tcPr>
            <w:tcW w:w="1020" w:type="dxa"/>
            <w:tcBorders>
              <w:tl2br w:val="nil"/>
              <w:tr2bl w:val="nil"/>
            </w:tcBorders>
            <w:vAlign w:val="center"/>
          </w:tcPr>
          <w:p>
            <w:pPr>
              <w:widowControl w:val="0"/>
              <w:spacing w:after="0" w:line="240" w:lineRule="auto"/>
              <w:jc w:val="center"/>
              <w:rPr>
                <w:rFonts w:hint="default" w:ascii="Times New Roman" w:hAnsi="Times New Roman" w:cs="Times New Roman"/>
                <w:b w:val="0"/>
                <w:bCs w:val="0"/>
                <w:color w:val="auto"/>
                <w:sz w:val="24"/>
                <w:szCs w:val="24"/>
                <w:vertAlign w:val="baseline"/>
              </w:rPr>
            </w:pPr>
            <w:r>
              <w:rPr>
                <w:rFonts w:hint="default" w:ascii="Times New Roman" w:hAnsi="Times New Roman" w:cs="Times New Roman"/>
                <w:b w:val="0"/>
                <w:bCs w:val="0"/>
                <w:color w:val="auto"/>
                <w:sz w:val="24"/>
                <w:szCs w:val="24"/>
                <w:vertAlign w:val="baseline"/>
              </w:rPr>
              <w:t>.62</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90" w:hRule="atLeast"/>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4. Omission</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.26</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.23</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5. Mean RT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-.12</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.38</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.09</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.34</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6. PES</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-.12</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.18</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-.01</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.09</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Year 3</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1. Commission</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2. IIV</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w:hAnsi="Times New Roman" w:cs="Times New Roman"/>
                <w:b w:val="0"/>
                <w:bCs w:val="0"/>
                <w:color w:val="auto"/>
                <w:sz w:val="24"/>
                <w:szCs w:val="24"/>
                <w:vertAlign w:val="baseline"/>
              </w:rPr>
              <w:t>.45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3. Impulsivity</w:t>
            </w:r>
          </w:p>
        </w:tc>
        <w:tc>
          <w:tcPr>
            <w:tcW w:w="1020" w:type="dxa"/>
            <w:tcBorders>
              <w:tl2br w:val="nil"/>
              <w:tr2bl w:val="nil"/>
            </w:tcBorders>
            <w:vAlign w:val="center"/>
          </w:tcPr>
          <w:p>
            <w:pPr>
              <w:widowControl w:val="0"/>
              <w:spacing w:after="0" w:line="240" w:lineRule="auto"/>
              <w:jc w:val="center"/>
              <w:rPr>
                <w:rFonts w:hint="default" w:ascii="Times New Roman" w:hAnsi="Times New Roman" w:cs="Times New Roman"/>
                <w:b w:val="0"/>
                <w:bCs w:val="0"/>
                <w:color w:val="auto"/>
                <w:sz w:val="24"/>
                <w:szCs w:val="24"/>
                <w:vertAlign w:val="baseline"/>
              </w:rPr>
            </w:pPr>
            <w:r>
              <w:rPr>
                <w:rFonts w:hint="default" w:ascii="Times New Roman" w:hAnsi="Times New Roman" w:cs="Times New Roman"/>
                <w:b w:val="0"/>
                <w:bCs w:val="0"/>
                <w:color w:val="auto"/>
                <w:sz w:val="24"/>
                <w:szCs w:val="24"/>
                <w:vertAlign w:val="baseline"/>
              </w:rPr>
              <w:t>.44</w:t>
            </w:r>
          </w:p>
        </w:tc>
        <w:tc>
          <w:tcPr>
            <w:tcW w:w="1020" w:type="dxa"/>
            <w:tcBorders>
              <w:tl2br w:val="nil"/>
              <w:tr2bl w:val="nil"/>
            </w:tcBorders>
            <w:vAlign w:val="center"/>
          </w:tcPr>
          <w:p>
            <w:pPr>
              <w:widowControl w:val="0"/>
              <w:spacing w:after="0" w:line="240" w:lineRule="auto"/>
              <w:jc w:val="center"/>
              <w:rPr>
                <w:rFonts w:hint="default" w:ascii="Times New Roman" w:hAnsi="Times New Roman" w:cs="Times New Roman"/>
                <w:b w:val="0"/>
                <w:bCs w:val="0"/>
                <w:color w:val="auto"/>
                <w:sz w:val="24"/>
                <w:szCs w:val="24"/>
                <w:vertAlign w:val="baseline"/>
              </w:rPr>
            </w:pPr>
            <w:r>
              <w:rPr>
                <w:rFonts w:hint="default" w:ascii="Times New Roman" w:hAnsi="Times New Roman" w:cs="Times New Roman"/>
                <w:b w:val="0"/>
                <w:bCs w:val="0"/>
                <w:color w:val="auto"/>
                <w:sz w:val="24"/>
                <w:szCs w:val="24"/>
                <w:vertAlign w:val="baseline"/>
              </w:rPr>
              <w:t>.52</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4. Omission</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.22</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.34</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5. Mean RT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-.08</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.11</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.34</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6. PES</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-.11</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.07</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-.08</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.00</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.15</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Year 6</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1. Commission</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2. IIV</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w:hAnsi="Times New Roman" w:cs="Times New Roman"/>
                <w:b w:val="0"/>
                <w:bCs w:val="0"/>
                <w:color w:val="auto"/>
                <w:sz w:val="24"/>
                <w:szCs w:val="24"/>
                <w:vertAlign w:val="baseline"/>
              </w:rPr>
              <w:t>.51</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3. Impulsivity</w:t>
            </w:r>
          </w:p>
        </w:tc>
        <w:tc>
          <w:tcPr>
            <w:tcW w:w="1020" w:type="dxa"/>
            <w:tcBorders>
              <w:tl2br w:val="nil"/>
              <w:tr2bl w:val="nil"/>
            </w:tcBorders>
            <w:vAlign w:val="center"/>
          </w:tcPr>
          <w:p>
            <w:pPr>
              <w:widowControl w:val="0"/>
              <w:spacing w:after="0" w:line="240" w:lineRule="auto"/>
              <w:jc w:val="center"/>
              <w:rPr>
                <w:rFonts w:hint="default" w:ascii="Times New Roman" w:hAnsi="Times New Roman" w:cs="Times New Roman"/>
                <w:b w:val="0"/>
                <w:bCs w:val="0"/>
                <w:color w:val="auto"/>
                <w:sz w:val="24"/>
                <w:szCs w:val="24"/>
                <w:vertAlign w:val="baseline"/>
              </w:rPr>
            </w:pPr>
            <w:r>
              <w:rPr>
                <w:rFonts w:hint="default" w:ascii="Times New Roman" w:hAnsi="Times New Roman" w:cs="Times New Roman"/>
                <w:b w:val="0"/>
                <w:bCs w:val="0"/>
                <w:color w:val="auto"/>
                <w:sz w:val="24"/>
                <w:szCs w:val="24"/>
                <w:vertAlign w:val="baseline"/>
              </w:rPr>
              <w:t>.43</w:t>
            </w:r>
          </w:p>
        </w:tc>
        <w:tc>
          <w:tcPr>
            <w:tcW w:w="1020" w:type="dxa"/>
            <w:tcBorders>
              <w:tl2br w:val="nil"/>
              <w:tr2bl w:val="nil"/>
            </w:tcBorders>
            <w:vAlign w:val="center"/>
          </w:tcPr>
          <w:p>
            <w:pPr>
              <w:widowControl w:val="0"/>
              <w:spacing w:after="0" w:line="240" w:lineRule="auto"/>
              <w:jc w:val="center"/>
              <w:rPr>
                <w:rFonts w:hint="default" w:ascii="Times New Roman" w:hAnsi="Times New Roman" w:cs="Times New Roman"/>
                <w:b w:val="0"/>
                <w:bCs w:val="0"/>
                <w:color w:val="auto"/>
                <w:sz w:val="24"/>
                <w:szCs w:val="24"/>
                <w:vertAlign w:val="baseline"/>
              </w:rPr>
            </w:pPr>
            <w:r>
              <w:rPr>
                <w:rFonts w:hint="default" w:ascii="Times New Roman" w:hAnsi="Times New Roman" w:cs="Times New Roman"/>
                <w:b w:val="0"/>
                <w:bCs w:val="0"/>
                <w:color w:val="auto"/>
                <w:sz w:val="24"/>
                <w:szCs w:val="24"/>
                <w:vertAlign w:val="baseline"/>
              </w:rPr>
              <w:t>.50</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4. Omission</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.26</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.30</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.33</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5. Mean RT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.03</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.11</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.11</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.39</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2041" w:type="dxa"/>
            <w:tcBorders>
              <w:tl2br w:val="nil"/>
              <w:tr2bl w:val="nil"/>
            </w:tcBorders>
            <w:vAlign w:val="center"/>
          </w:tcPr>
          <w:p>
            <w:pPr>
              <w:widowControl w:val="0"/>
              <w:spacing w:after="0" w:line="240" w:lineRule="auto"/>
              <w:ind w:firstLine="360" w:firstLineChars="150"/>
              <w:jc w:val="left"/>
              <w:rPr>
                <w:rFonts w:hint="default" w:ascii="Times New Roman Regular" w:hAnsi="Times New Roman Regular" w:cs="Times New Roman Regular"/>
                <w:b w:val="0"/>
                <w:color w:val="auto"/>
                <w:sz w:val="24"/>
                <w:szCs w:val="24"/>
                <w:vertAlign w:val="baseline"/>
                <w:lang w:eastAsia="zh-CN"/>
              </w:rPr>
            </w:pPr>
            <w:r>
              <w:rPr>
                <w:rFonts w:hint="default" w:ascii="Times New Roman Regular" w:hAnsi="Times New Roman Regular" w:cs="Times New Roman Regular"/>
                <w:b w:val="0"/>
                <w:color w:val="auto"/>
                <w:sz w:val="24"/>
                <w:szCs w:val="24"/>
                <w:vertAlign w:val="baseline"/>
              </w:rPr>
              <w:t>6. PES</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-.13</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.06</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-.08</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.07</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.09</w:t>
            </w:r>
          </w:p>
        </w:tc>
        <w:tc>
          <w:tcPr>
            <w:tcW w:w="1020" w:type="dxa"/>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color w:val="auto"/>
                <w:sz w:val="24"/>
                <w:szCs w:val="24"/>
                <w:vertAlign w:val="baseline"/>
              </w:rPr>
            </w:pPr>
            <w:r>
              <w:rPr>
                <w:rFonts w:hint="default" w:ascii="Times New Roman Regular" w:hAnsi="Times New Roman Regular" w:cs="Times New Roman Regular"/>
                <w:b w:val="0"/>
                <w:color w:val="auto"/>
                <w:sz w:val="24"/>
                <w:szCs w:val="24"/>
                <w:vertAlign w:val="baseline"/>
              </w:rPr>
              <w:t>－</w:t>
            </w:r>
          </w:p>
        </w:tc>
      </w:tr>
    </w:tbl>
    <w:p>
      <w:pPr>
        <w:spacing w:line="360" w:lineRule="auto"/>
        <w:rPr>
          <w:rFonts w:hint="default" w:ascii="Times New Roman Regular" w:hAnsi="Times New Roman Regular" w:cs="Times New Roman Regular"/>
          <w:b w:val="0"/>
          <w:i w:val="0"/>
          <w:color w:val="auto"/>
          <w:sz w:val="24"/>
          <w:szCs w:val="24"/>
          <w:vertAlign w:val="baseline"/>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b w:val="0"/>
          <w:sz w:val="24"/>
          <w:szCs w:val="24"/>
        </w:rPr>
        <w:t xml:space="preserve">. </w:t>
      </w:r>
      <w:r>
        <w:rPr>
          <w:rFonts w:hint="default" w:ascii="Times New Roman Regular" w:hAnsi="Times New Roman Regular" w:cs="Times New Roman Regular"/>
          <w:b w:val="0"/>
          <w:i w:val="0"/>
          <w:color w:val="auto"/>
          <w:sz w:val="24"/>
          <w:szCs w:val="24"/>
          <w:vertAlign w:val="baseline"/>
        </w:rPr>
        <w:t>RT = reaction time; IIV = intra-individual variability in reaction time; PES = post-error slowing</w:t>
      </w:r>
    </w:p>
    <w:p>
      <w:pPr>
        <w:keepNext w:val="0"/>
        <w:keepLines w:val="0"/>
        <w:pageBreakBefore w:val="0"/>
        <w:widowControl/>
        <w:kinsoku/>
        <w:wordWrap/>
        <w:overflowPunct/>
        <w:topLinePunct w:val="0"/>
        <w:autoSpaceDE/>
        <w:autoSpaceDN/>
        <w:bidi w:val="0"/>
        <w:adjustRightInd/>
        <w:snapToGrid/>
        <w:spacing w:line="480" w:lineRule="auto"/>
        <w:ind w:right="0" w:rightChars="0"/>
        <w:jc w:val="both"/>
        <w:textAlignment w:val="auto"/>
        <w:outlineLvl w:val="9"/>
        <w:rPr>
          <w:rFonts w:hint="default" w:ascii="Times New Roman Regular" w:hAnsi="Times New Roman Regular" w:cs="Times New Roman Regular"/>
          <w:b/>
          <w:bCs/>
          <w:sz w:val="24"/>
          <w:szCs w:val="24"/>
        </w:rPr>
      </w:pPr>
    </w:p>
    <w:p>
      <w:pPr>
        <w:keepNext w:val="0"/>
        <w:keepLines w:val="0"/>
        <w:pageBreakBefore w:val="0"/>
        <w:widowControl/>
        <w:kinsoku/>
        <w:wordWrap/>
        <w:overflowPunct/>
        <w:topLinePunct w:val="0"/>
        <w:autoSpaceDE/>
        <w:autoSpaceDN/>
        <w:bidi w:val="0"/>
        <w:adjustRightInd/>
        <w:snapToGrid/>
        <w:spacing w:line="480" w:lineRule="auto"/>
        <w:ind w:right="0" w:rightChars="0"/>
        <w:jc w:val="both"/>
        <w:textAlignment w:val="auto"/>
        <w:outlineLvl w:val="9"/>
        <w:rPr>
          <w:rFonts w:hint="default" w:ascii="Times New Roman Regular" w:hAnsi="Times New Roman Regular" w:cs="Times New Roman Regular"/>
          <w:b/>
          <w:bCs/>
          <w:sz w:val="24"/>
          <w:szCs w:val="24"/>
        </w:rPr>
      </w:pPr>
    </w:p>
    <w:p>
      <w:pPr>
        <w:numPr>
          <w:ilvl w:val="0"/>
          <w:numId w:val="0"/>
        </w:numPr>
        <w:spacing w:line="480" w:lineRule="auto"/>
        <w:jc w:val="center"/>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Exploratory</w:t>
      </w:r>
      <w:r>
        <w:rPr>
          <w:rFonts w:hint="default" w:ascii="Times New Roman Bold" w:hAnsi="Times New Roman Bold" w:cs="Times New Roman Bold"/>
          <w:b/>
          <w:bCs/>
          <w:sz w:val="24"/>
          <w:szCs w:val="24"/>
        </w:rPr>
        <w:t xml:space="preserve"> analyses for regular word reading</w:t>
      </w:r>
    </w:p>
    <w:p>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720" w:firstLineChars="0"/>
        <w:jc w:val="both"/>
        <w:textAlignment w:val="auto"/>
        <w:outlineLvl w:val="9"/>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As Table S3 </w:t>
      </w:r>
      <w:r>
        <w:rPr>
          <w:rFonts w:hint="default" w:ascii="Times New Roman Regular" w:hAnsi="Times New Roman Regular" w:cs="Times New Roman Regular"/>
          <w:b w:val="0"/>
          <w:bCs w:val="0"/>
          <w:sz w:val="24"/>
          <w:szCs w:val="24"/>
        </w:rPr>
        <w:t xml:space="preserve">and </w:t>
      </w:r>
      <w:r>
        <w:rPr>
          <w:rFonts w:hint="default" w:ascii="Times New Roman" w:hAnsi="Times New Roman" w:cs="Times New Roman"/>
          <w:b w:val="0"/>
          <w:bCs w:val="0"/>
          <w:sz w:val="24"/>
          <w:szCs w:val="24"/>
        </w:rPr>
        <w:t xml:space="preserve">Figure S19 show, children’s regular word reading ability improved over Years 1, 3 and 6. There was a ceiling effect in Year 6. </w:t>
      </w:r>
    </w:p>
    <w:p>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720" w:firstLineChars="0"/>
        <w:jc w:val="both"/>
        <w:textAlignment w:val="auto"/>
        <w:outlineLvl w:val="9"/>
        <w:rPr>
          <w:rFonts w:hint="default" w:ascii="Times New Roman Regular" w:hAnsi="Times New Roman Regular" w:cs="Times New Roman Regular"/>
          <w:b w:val="0"/>
          <w:bCs w:val="0"/>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Table S3</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Accuracy rate of regular word reading in Years 1, 3 and 6</w:t>
      </w:r>
    </w:p>
    <w:tbl>
      <w:tblPr>
        <w:tblStyle w:val="7"/>
        <w:tblpPr w:leftFromText="180" w:rightFromText="180" w:vertAnchor="page" w:horzAnchor="page" w:tblpX="1776" w:tblpY="1689"/>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58"/>
        <w:gridCol w:w="576"/>
        <w:gridCol w:w="956"/>
        <w:gridCol w:w="956"/>
        <w:gridCol w:w="576"/>
        <w:gridCol w:w="956"/>
        <w:gridCol w:w="956"/>
        <w:gridCol w:w="576"/>
        <w:gridCol w:w="956"/>
        <w:gridCol w:w="956"/>
      </w:tblGrid>
      <w:tr>
        <w:trPr>
          <w:trHeight w:val="425" w:hRule="atLeast"/>
        </w:trPr>
        <w:tc>
          <w:tcPr>
            <w:tcW w:w="0" w:type="auto"/>
            <w:tcBorders>
              <w:bottom w:val="nil"/>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Time point</w:t>
            </w:r>
          </w:p>
        </w:tc>
        <w:tc>
          <w:tcPr>
            <w:tcW w:w="0" w:type="auto"/>
            <w:gridSpan w:val="3"/>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Year 1</w:t>
            </w:r>
          </w:p>
        </w:tc>
        <w:tc>
          <w:tcPr>
            <w:tcW w:w="0" w:type="auto"/>
            <w:gridSpan w:val="3"/>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Year 3</w:t>
            </w:r>
          </w:p>
        </w:tc>
        <w:tc>
          <w:tcPr>
            <w:tcW w:w="0" w:type="auto"/>
            <w:gridSpan w:val="3"/>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Year 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atLeast"/>
        </w:trPr>
        <w:tc>
          <w:tcPr>
            <w:tcW w:w="0" w:type="auto"/>
            <w:tcBorders>
              <w:top w:val="nil"/>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N</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Mean</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SD</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kern w:val="2"/>
                <w:sz w:val="24"/>
                <w:szCs w:val="24"/>
                <w:lang w:val="en-US"/>
              </w:rPr>
            </w:pPr>
            <w:r>
              <w:rPr>
                <w:rFonts w:hint="default" w:ascii="Times New Roman Regular" w:hAnsi="Times New Roman Regular" w:cs="Times New Roman Regular"/>
                <w:sz w:val="24"/>
                <w:szCs w:val="24"/>
              </w:rPr>
              <w:t>N</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kern w:val="2"/>
                <w:sz w:val="24"/>
                <w:szCs w:val="24"/>
              </w:rPr>
            </w:pPr>
            <w:r>
              <w:rPr>
                <w:rFonts w:hint="default" w:ascii="Times New Roman Regular" w:hAnsi="Times New Roman Regular" w:cs="Times New Roman Regular"/>
                <w:sz w:val="24"/>
                <w:szCs w:val="24"/>
              </w:rPr>
              <w:t>Mean</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kern w:val="2"/>
                <w:sz w:val="24"/>
                <w:szCs w:val="24"/>
                <w:lang w:val="en-US"/>
              </w:rPr>
            </w:pPr>
            <w:r>
              <w:rPr>
                <w:rFonts w:hint="default" w:ascii="Times New Roman Regular" w:hAnsi="Times New Roman Regular" w:cs="Times New Roman Regular"/>
                <w:sz w:val="24"/>
                <w:szCs w:val="24"/>
              </w:rPr>
              <w:t>SD</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kern w:val="2"/>
                <w:sz w:val="24"/>
                <w:szCs w:val="24"/>
                <w:lang w:val="en-US"/>
              </w:rPr>
            </w:pPr>
            <w:r>
              <w:rPr>
                <w:rFonts w:hint="default" w:ascii="Times New Roman Regular" w:hAnsi="Times New Roman Regular" w:cs="Times New Roman Regular"/>
                <w:sz w:val="24"/>
                <w:szCs w:val="24"/>
              </w:rPr>
              <w:t>N</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kern w:val="2"/>
                <w:sz w:val="24"/>
                <w:szCs w:val="24"/>
              </w:rPr>
            </w:pPr>
            <w:r>
              <w:rPr>
                <w:rFonts w:hint="default" w:ascii="Times New Roman Regular" w:hAnsi="Times New Roman Regular" w:cs="Times New Roman Regular"/>
                <w:sz w:val="24"/>
                <w:szCs w:val="24"/>
              </w:rPr>
              <w:t>Mean</w:t>
            </w:r>
          </w:p>
        </w:tc>
        <w:tc>
          <w:tcPr>
            <w:tcW w:w="0" w:type="auto"/>
            <w:tcBorders>
              <w:top w:val="single" w:color="auto" w:sz="4" w:space="0"/>
              <w:bottom w:val="single" w:color="auto" w:sz="4" w:space="0"/>
            </w:tcBorders>
            <w:vAlign w:val="center"/>
          </w:tcPr>
          <w:p>
            <w:pPr>
              <w:widowControl w:val="0"/>
              <w:spacing w:after="0" w:line="240" w:lineRule="auto"/>
              <w:jc w:val="center"/>
              <w:rPr>
                <w:rFonts w:hint="default" w:ascii="Times New Roman Regular" w:hAnsi="Times New Roman Regular" w:cs="Times New Roman Regular"/>
                <w:kern w:val="2"/>
                <w:sz w:val="24"/>
                <w:szCs w:val="24"/>
                <w:lang w:val="en-US"/>
              </w:rPr>
            </w:pPr>
            <w:r>
              <w:rPr>
                <w:rFonts w:hint="default" w:ascii="Times New Roman Regular" w:hAnsi="Times New Roman Regular" w:cs="Times New Roman Regular"/>
                <w:sz w:val="24"/>
                <w:szCs w:val="24"/>
              </w:rPr>
              <w:t>SD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atLeast"/>
        </w:trPr>
        <w:tc>
          <w:tcPr>
            <w:tcW w:w="0" w:type="auto"/>
            <w:tcBorders>
              <w:tl2br w:val="nil"/>
              <w:tr2bl w:val="nil"/>
            </w:tcBorders>
            <w:vAlign w:val="center"/>
          </w:tcPr>
          <w:p>
            <w:pPr>
              <w:widowControl w:val="0"/>
              <w:spacing w:after="0" w:line="240" w:lineRule="auto"/>
              <w:jc w:val="left"/>
              <w:rPr>
                <w:rFonts w:hint="default" w:ascii="Times New Roman Regular" w:hAnsi="Times New Roman Regular" w:cs="Times New Roman Regular"/>
                <w:kern w:val="2"/>
                <w:sz w:val="24"/>
                <w:szCs w:val="24"/>
                <w:lang w:val="en-US"/>
              </w:rPr>
            </w:pPr>
            <w:r>
              <w:rPr>
                <w:rFonts w:hint="default" w:ascii="Times New Roman Regular" w:hAnsi="Times New Roman Regular" w:cs="Times New Roman Regular"/>
                <w:sz w:val="24"/>
                <w:szCs w:val="24"/>
              </w:rPr>
              <w:t>Regular word reading</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517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29.32%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27.83%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495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70.08%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25.74%</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377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87.86%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16.11%</w:t>
            </w:r>
          </w:p>
        </w:tc>
      </w:tr>
    </w:tbl>
    <w:p>
      <w:pPr>
        <w:rPr>
          <w:rFonts w:hint="default" w:ascii="Times New Roman Regular" w:hAnsi="Times New Roman Regular" w:cs="Times New Roman Regular"/>
          <w:sz w:val="24"/>
          <w:szCs w:val="24"/>
        </w:rPr>
      </w:pPr>
    </w:p>
    <w:p>
      <w:pPr>
        <w:spacing w:line="360" w:lineRule="auto"/>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i/>
          <w:iCs/>
          <w:sz w:val="24"/>
          <w:szCs w:val="24"/>
        </w:rPr>
        <w:t xml:space="preserve">. </w:t>
      </w:r>
      <w:r>
        <w:rPr>
          <w:rFonts w:hint="default" w:ascii="Times New Roman Regular" w:hAnsi="Times New Roman Regular" w:cs="Times New Roman Regular"/>
          <w:sz w:val="24"/>
          <w:szCs w:val="24"/>
        </w:rPr>
        <w:t xml:space="preserve">N= number; SD = standard deviation. </w:t>
      </w:r>
    </w:p>
    <w:p>
      <w:pPr>
        <w:rPr>
          <w:rFonts w:hint="default" w:ascii="Times New Roman Regular" w:hAnsi="Times New Roman Regular" w:cs="Times New Roman Regular"/>
          <w:sz w:val="24"/>
          <w:szCs w:val="24"/>
        </w:rPr>
      </w:pPr>
    </w:p>
    <w:p>
      <w:pPr>
        <w:rPr>
          <w:rFonts w:hint="default" w:ascii="Times New Roman Regular" w:hAnsi="Times New Roman Regular" w:cs="Times New Roman Regular"/>
          <w:sz w:val="24"/>
          <w:szCs w:val="24"/>
        </w:r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S19</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Developmental trajectories of regular word reading over Years 1, 3 and 6</w:t>
      </w:r>
    </w:p>
    <w:p>
      <w:pPr>
        <w:spacing w:line="480" w:lineRule="auto"/>
        <w:jc w:val="cente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drawing>
          <wp:inline distT="0" distB="0" distL="114300" distR="114300">
            <wp:extent cx="5262880" cy="3250565"/>
            <wp:effectExtent l="0" t="0" r="20320" b="635"/>
            <wp:docPr id="25" name="Picture 25" descr="R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RWR"/>
                    <pic:cNvPicPr>
                      <a:picLocks noChangeAspect="1"/>
                    </pic:cNvPicPr>
                  </pic:nvPicPr>
                  <pic:blipFill>
                    <a:blip r:embed="rId23"/>
                    <a:stretch>
                      <a:fillRect/>
                    </a:stretch>
                  </pic:blipFill>
                  <pic:spPr>
                    <a:xfrm>
                      <a:off x="0" y="0"/>
                      <a:ext cx="5262880" cy="3250565"/>
                    </a:xfrm>
                    <a:prstGeom prst="rect">
                      <a:avLst/>
                    </a:prstGeom>
                  </pic:spPr>
                </pic:pic>
              </a:graphicData>
            </a:graphic>
          </wp:inline>
        </w:drawing>
      </w:r>
    </w:p>
    <w:p>
      <w:pPr>
        <w:spacing w:line="360" w:lineRule="auto"/>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xml:space="preserve"> The trajectory in bold is based on means at each time point.</w:t>
      </w:r>
    </w:p>
    <w:p>
      <w:pPr>
        <w:rPr>
          <w:rFonts w:hint="default" w:ascii="Times New Roman Regular" w:hAnsi="Times New Roman Regular" w:cs="Times New Roman Regular"/>
          <w:color w:val="0000FF"/>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numPr>
          <w:ilvl w:val="0"/>
          <w:numId w:val="0"/>
        </w:numPr>
        <w:spacing w:line="36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Table S4</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 xml:space="preserve">Correlation matrix for variables of interest (including regular word reading) in Years 1, 3 and 6 </w:t>
      </w:r>
    </w:p>
    <w:tbl>
      <w:tblPr>
        <w:tblStyle w:val="7"/>
        <w:tblpPr w:leftFromText="180" w:rightFromText="180" w:vertAnchor="text" w:horzAnchor="page" w:tblpX="1767" w:tblpY="91"/>
        <w:tblOverlap w:val="never"/>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02"/>
        <w:gridCol w:w="596"/>
        <w:gridCol w:w="596"/>
        <w:gridCol w:w="596"/>
        <w:gridCol w:w="596"/>
        <w:gridCol w:w="596"/>
        <w:gridCol w:w="596"/>
        <w:gridCol w:w="596"/>
        <w:gridCol w:w="596"/>
        <w:gridCol w:w="596"/>
        <w:gridCol w:w="596"/>
        <w:gridCol w:w="596"/>
        <w:gridCol w:w="596"/>
        <w:gridCol w:w="596"/>
        <w:gridCol w:w="516"/>
        <w:gridCol w:w="45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bottom w:val="single" w:color="auto" w:sz="4" w:space="0"/>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Variables</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2</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3</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4</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6</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7</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8</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9</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10</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11</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12</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13</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14</w:t>
            </w:r>
          </w:p>
        </w:tc>
        <w:tc>
          <w:tcPr>
            <w:tcW w:w="0" w:type="auto"/>
            <w:tcBorders>
              <w:bottom w:val="single" w:color="auto" w:sz="4" w:space="0"/>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op w:val="single" w:color="auto" w:sz="4" w:space="0"/>
              <w:bottom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 Irregular word reading in Year 1</w:t>
            </w: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eastAsia="SimSun" w:cs="Times New Roman Regular"/>
                <w:color w:val="auto"/>
                <w:sz w:val="24"/>
                <w:szCs w:val="24"/>
              </w:rPr>
              <w:t>－</w:t>
            </w: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single" w:color="auto" w:sz="4" w:space="0"/>
              <w:bottom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op w:val="nil"/>
              <w:tl2br w:val="nil"/>
              <w:tr2bl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2. Regular word reading in Year 1</w:t>
            </w: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eastAsia="SimSun" w:cs="Times New Roman Regular"/>
                <w:color w:val="auto"/>
                <w:sz w:val="24"/>
                <w:szCs w:val="24"/>
              </w:rPr>
            </w:pPr>
            <w:r>
              <w:rPr>
                <w:rFonts w:hint="default" w:ascii="Times New Roman Regular" w:hAnsi="Times New Roman Regular" w:cs="Times New Roman Regular"/>
                <w:color w:val="auto"/>
                <w:sz w:val="24"/>
                <w:szCs w:val="24"/>
              </w:rPr>
              <w:t>.83</w:t>
            </w: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eastAsia="SimSun" w:cs="Times New Roman Regular"/>
                <w:color w:val="auto"/>
                <w:sz w:val="24"/>
                <w:szCs w:val="24"/>
              </w:rPr>
              <w:t>－</w:t>
            </w: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op w:val="nil"/>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3. Inhibitory control in Year 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-.29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-.34</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4. Decoding in Year 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.76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.89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 Vocabulary in Year 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6. Irregular word reading in Year 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7. Regular word reading in Year 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-.33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b w:val="0"/>
                <w:bCs w:val="0"/>
                <w:color w:val="auto"/>
                <w:sz w:val="24"/>
                <w:szCs w:val="24"/>
                <w:lang w:eastAsia="zh-CN"/>
              </w:rPr>
            </w:pPr>
            <w:r>
              <w:rPr>
                <w:rFonts w:hint="default" w:ascii="Times New Roman Regular" w:hAnsi="Times New Roman Regular" w:cs="Times New Roman Regular"/>
                <w:b w:val="0"/>
                <w:bCs w:val="0"/>
                <w:color w:val="auto"/>
                <w:sz w:val="24"/>
                <w:szCs w:val="24"/>
                <w:lang w:eastAsia="zh-CN"/>
              </w:rPr>
              <w:t>.50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.83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8. Inhibitory control in Year 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-.27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-.32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w:t>
            </w:r>
            <w:r>
              <w:rPr>
                <w:rFonts w:hint="default" w:ascii="Times New Roman Regular" w:hAnsi="Times New Roman Regular" w:cs="Times New Roman Regular"/>
                <w:color w:val="auto"/>
                <w:sz w:val="24"/>
                <w:szCs w:val="24"/>
                <w:lang w:eastAsia="zh-CN"/>
              </w:rPr>
              <w:t>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-.41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9. Decoding in Year 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.63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.77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.89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10. Vocabulary in Year 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.92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.66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.62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11. Irregular word reading in Year 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.51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.67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val="en-GB" w:eastAsia="zh-CN"/>
              </w:rPr>
            </w:pPr>
            <w:r>
              <w:rPr>
                <w:rFonts w:hint="default" w:ascii="Times New Roman Regular" w:hAnsi="Times New Roman Regular" w:cs="Times New Roman Regular"/>
                <w:color w:val="auto"/>
                <w:sz w:val="24"/>
                <w:szCs w:val="24"/>
                <w:lang w:eastAsia="zh-CN"/>
              </w:rPr>
              <w:t>.66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.61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.60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12. Regular word reading in Year 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.36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.42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eastAsia="zh-CN" w:bidi="ar-SA"/>
              </w:rPr>
            </w:pPr>
            <w:r>
              <w:rPr>
                <w:rFonts w:hint="default" w:ascii="Times New Roman Regular" w:hAnsi="Times New Roman Regular" w:cs="Times New Roman Regular"/>
                <w:color w:val="auto"/>
                <w:sz w:val="24"/>
                <w:szCs w:val="24"/>
                <w:lang w:eastAsia="zh-CN" w:bidi="ar-SA"/>
              </w:rPr>
              <w:t>-.31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eastAsia="zh-CN" w:bidi="ar-SA"/>
              </w:rPr>
            </w:pPr>
            <w:r>
              <w:rPr>
                <w:rFonts w:hint="default" w:ascii="Times New Roman Regular" w:hAnsi="Times New Roman Regular" w:cs="Times New Roman Regular"/>
                <w:color w:val="auto"/>
                <w:sz w:val="24"/>
                <w:szCs w:val="24"/>
                <w:lang w:eastAsia="zh-CN" w:bidi="ar-SA"/>
              </w:rPr>
              <w:t>.35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.44</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.60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.69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-.38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.63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.80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13. Inhibitory control in Year 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-.27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-.31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-.29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-.45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w:t>
            </w:r>
            <w:r>
              <w:rPr>
                <w:rFonts w:hint="default" w:ascii="Times New Roman Regular" w:hAnsi="Times New Roman Regular" w:cs="Times New Roman Regular"/>
                <w:color w:val="auto"/>
                <w:sz w:val="24"/>
                <w:szCs w:val="24"/>
                <w:lang w:eastAsia="zh-CN"/>
              </w:rPr>
              <w:t>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w:t>
            </w:r>
            <w:r>
              <w:rPr>
                <w:rFonts w:hint="default" w:ascii="Times New Roman Regular" w:hAnsi="Times New Roman Regular" w:cs="Times New Roman Regular"/>
                <w:color w:val="auto"/>
                <w:sz w:val="24"/>
                <w:szCs w:val="24"/>
                <w:lang w:eastAsia="zh-CN"/>
              </w:rPr>
              <w:t>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w:t>
            </w:r>
            <w:r>
              <w:rPr>
                <w:rFonts w:hint="default" w:ascii="Times New Roman Regular" w:hAnsi="Times New Roman Regular" w:cs="Times New Roman Regular"/>
                <w:color w:val="auto"/>
                <w:sz w:val="24"/>
                <w:szCs w:val="24"/>
                <w:lang w:eastAsia="zh-CN"/>
              </w:rPr>
              <w:t>30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-.33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14. Decoding in Year 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.40</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.49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w:t>
            </w:r>
            <w:r>
              <w:rPr>
                <w:rFonts w:hint="default" w:ascii="Times New Roman Regular" w:hAnsi="Times New Roman Regular" w:cs="Times New Roman Regular"/>
                <w:color w:val="auto"/>
                <w:sz w:val="24"/>
                <w:szCs w:val="24"/>
                <w:lang w:eastAsia="zh-CN"/>
              </w:rPr>
              <w:t>31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w:t>
            </w:r>
            <w:r>
              <w:rPr>
                <w:rFonts w:hint="default" w:ascii="Times New Roman Regular" w:hAnsi="Times New Roman Regular" w:cs="Times New Roman Regular"/>
                <w:color w:val="auto"/>
                <w:sz w:val="24"/>
                <w:szCs w:val="24"/>
                <w:lang w:eastAsia="zh-CN"/>
              </w:rPr>
              <w:t>4</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w:t>
            </w:r>
            <w:r>
              <w:rPr>
                <w:rFonts w:hint="default" w:ascii="Times New Roman Regular" w:hAnsi="Times New Roman Regular" w:cs="Times New Roman Regular"/>
                <w:color w:val="auto"/>
                <w:sz w:val="24"/>
                <w:szCs w:val="24"/>
                <w:lang w:eastAsia="zh-CN"/>
              </w:rPr>
              <w:t>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.61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.73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w:t>
            </w:r>
            <w:r>
              <w:rPr>
                <w:rFonts w:hint="default" w:ascii="Times New Roman Regular" w:hAnsi="Times New Roman Regular" w:cs="Times New Roman Regular"/>
                <w:color w:val="auto"/>
                <w:sz w:val="24"/>
                <w:szCs w:val="24"/>
                <w:lang w:eastAsia="zh-CN"/>
              </w:rPr>
              <w:t>7</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.71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w:t>
            </w:r>
            <w:r>
              <w:rPr>
                <w:rFonts w:hint="default" w:ascii="Times New Roman Regular" w:hAnsi="Times New Roman Regular" w:cs="Times New Roman Regular"/>
                <w:color w:val="auto"/>
                <w:sz w:val="24"/>
                <w:szCs w:val="24"/>
                <w:lang w:eastAsia="zh-CN"/>
              </w:rPr>
              <w:t>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.7</w:t>
            </w:r>
            <w:r>
              <w:rPr>
                <w:rFonts w:hint="default" w:ascii="Times New Roman Regular" w:hAnsi="Times New Roman Regular" w:cs="Times New Roman Regular"/>
                <w:color w:val="auto"/>
                <w:sz w:val="24"/>
                <w:szCs w:val="24"/>
                <w:lang w:eastAsia="zh-CN"/>
              </w:rPr>
              <w:t>3</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.85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w:t>
            </w:r>
            <w:r>
              <w:rPr>
                <w:rFonts w:hint="default" w:ascii="Times New Roman Regular" w:hAnsi="Times New Roman Regular" w:cs="Times New Roman Regular"/>
                <w:color w:val="auto"/>
                <w:sz w:val="24"/>
                <w:szCs w:val="24"/>
                <w:lang w:eastAsia="zh-CN"/>
              </w:rPr>
              <w:t>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5" w:hRule="exact"/>
          <w:jc w:val="center"/>
        </w:trPr>
        <w:tc>
          <w:tcPr>
            <w:tcW w:w="0" w:type="auto"/>
            <w:tcBorders>
              <w:tl2br w:val="nil"/>
              <w:tr2bl w:val="nil"/>
            </w:tcBorders>
          </w:tcPr>
          <w:p>
            <w:pPr>
              <w:widowControl w:val="0"/>
              <w:spacing w:after="0" w:line="240" w:lineRule="auto"/>
              <w:jc w:val="both"/>
              <w:rPr>
                <w:rFonts w:hint="default" w:ascii="Times New Roman Regular" w:hAnsi="Times New Roman Regular" w:cs="Times New Roman Regular"/>
                <w:color w:val="auto"/>
                <w:kern w:val="2"/>
                <w:sz w:val="24"/>
                <w:szCs w:val="24"/>
              </w:rPr>
            </w:pPr>
            <w:r>
              <w:rPr>
                <w:rFonts w:hint="default" w:ascii="Times New Roman Regular" w:hAnsi="Times New Roman Regular" w:cs="Times New Roman Regular"/>
                <w:color w:val="auto"/>
                <w:sz w:val="24"/>
                <w:szCs w:val="24"/>
              </w:rPr>
              <w:t>15. Vocabulary in Year 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.49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.49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-.39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.44</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.76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.56</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.52</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.48</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.79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.74</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color w:val="auto"/>
                <w:sz w:val="24"/>
                <w:szCs w:val="24"/>
                <w:lang w:eastAsia="zh-CN"/>
              </w:rPr>
            </w:pPr>
            <w:r>
              <w:rPr>
                <w:rFonts w:hint="default" w:ascii="Times New Roman Regular" w:hAnsi="Times New Roman Regular" w:cs="Times New Roman Regular"/>
                <w:color w:val="auto"/>
                <w:sz w:val="24"/>
                <w:szCs w:val="24"/>
                <w:lang w:eastAsia="zh-CN"/>
              </w:rPr>
              <w:t>.59</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-.41</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cs="Times New Roman Regular"/>
                <w:color w:val="auto"/>
                <w:sz w:val="24"/>
                <w:szCs w:val="24"/>
              </w:rPr>
              <w:t>.55</w:t>
            </w:r>
          </w:p>
        </w:tc>
        <w:tc>
          <w:tcPr>
            <w:tcW w:w="0" w:type="auto"/>
            <w:tcBorders>
              <w:tl2br w:val="nil"/>
              <w:tr2bl w:val="nil"/>
            </w:tcBorders>
            <w:vAlign w:val="center"/>
          </w:tcPr>
          <w:p>
            <w:pPr>
              <w:widowControl w:val="0"/>
              <w:spacing w:after="0" w:line="240" w:lineRule="auto"/>
              <w:jc w:val="center"/>
              <w:rPr>
                <w:rFonts w:hint="default" w:ascii="Times New Roman Regular" w:hAnsi="Times New Roman Regular" w:cs="Times New Roman Regular" w:eastAsiaTheme="minorEastAsia"/>
                <w:color w:val="auto"/>
                <w:sz w:val="24"/>
                <w:szCs w:val="24"/>
                <w:lang w:val="en-GB" w:eastAsia="zh-CN" w:bidi="ar-SA"/>
              </w:rPr>
            </w:pPr>
            <w:r>
              <w:rPr>
                <w:rFonts w:hint="default" w:ascii="Times New Roman Regular" w:hAnsi="Times New Roman Regular" w:eastAsia="SimSun" w:cs="Times New Roman Regular"/>
                <w:color w:val="auto"/>
                <w:sz w:val="24"/>
                <w:szCs w:val="24"/>
              </w:rPr>
              <w:t>－</w:t>
            </w:r>
          </w:p>
        </w:tc>
      </w:tr>
    </w:tbl>
    <w:p>
      <w:pPr>
        <w:spacing w:line="480" w:lineRule="auto"/>
        <w:jc w:val="both"/>
        <w:rPr>
          <w:rFonts w:hint="default" w:ascii="Times New Roman Regular" w:hAnsi="Times New Roman Regular" w:cs="Times New Roman Regular"/>
          <w:sz w:val="24"/>
          <w:szCs w:val="24"/>
        </w:rPr>
      </w:pPr>
    </w:p>
    <w:p>
      <w:pPr>
        <w:spacing w:line="480" w:lineRule="auto"/>
        <w:jc w:val="both"/>
        <w:rPr>
          <w:rFonts w:hint="default" w:ascii="Times New Roman Regular" w:hAnsi="Times New Roman Regular" w:cs="Times New Roman Regular"/>
          <w:sz w:val="24"/>
          <w:szCs w:val="24"/>
        </w:rPr>
        <w:sectPr>
          <w:pgSz w:w="16838" w:h="11906" w:orient="landscape"/>
          <w:pgMar w:top="1440" w:right="1440" w:bottom="1440" w:left="1440" w:header="851" w:footer="992" w:gutter="0"/>
          <w:pgBorders>
            <w:top w:val="none" w:sz="0" w:space="0"/>
            <w:left w:val="none" w:sz="0" w:space="0"/>
            <w:bottom w:val="none" w:sz="0" w:space="0"/>
            <w:right w:val="none" w:sz="0" w:space="0"/>
          </w:pgBorders>
          <w:cols w:space="425" w:num="1"/>
          <w:docGrid w:type="lines" w:linePitch="332" w:charSpace="0"/>
        </w:sect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Regression analyses: predicting concurrent regular word reading</w:t>
      </w:r>
      <w:r>
        <w:rPr>
          <w:rFonts w:hint="default" w:ascii="Times New Roman Bold" w:hAnsi="Times New Roman Bold" w:cs="Times New Roman Bold"/>
          <w:b/>
          <w:bCs/>
          <w:sz w:val="24"/>
          <w:szCs w:val="24"/>
        </w:rPr>
        <w:t xml:space="preserve"> </w:t>
      </w:r>
    </w:p>
    <w:p>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72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Decoding and vocabulary significantly predicted concurrent</w:t>
      </w:r>
      <w:r>
        <w:rPr>
          <w:rFonts w:hint="default" w:ascii="Times New Roman Regular" w:hAnsi="Times New Roman Regular" w:cs="Times New Roman Regular"/>
          <w:sz w:val="24"/>
          <w:szCs w:val="24"/>
        </w:rPr>
        <w:t xml:space="preserve"> regular word reading</w:t>
      </w:r>
      <w:r>
        <w:rPr>
          <w:rFonts w:hint="default" w:ascii="Times New Roman Regular" w:hAnsi="Times New Roman Regular" w:cs="Times New Roman Regular"/>
          <w:sz w:val="24"/>
          <w:szCs w:val="24"/>
        </w:rPr>
        <w:t xml:space="preserve"> across time points (ps &lt;.001; effect sizes, .82, .14 in Y1; .78, .19 in Y3; .75, .17 in Y6 respectively). </w:t>
      </w:r>
    </w:p>
    <w:p>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72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Adding a regressive path from inhibitory control to regular word reading did not improve fit at any time point. None of the regressive paths from inhibitory control is significant. </w:t>
      </w:r>
    </w:p>
    <w:p>
      <w:pPr>
        <w:spacing w:line="480" w:lineRule="auto"/>
        <w:jc w:val="both"/>
        <w:rPr>
          <w:rFonts w:hint="default" w:ascii="Times New Roman Regular" w:hAnsi="Times New Roman Regular" w:cs="Times New Roman Regular"/>
          <w:b/>
          <w:bCs/>
          <w:color w:val="000000" w:themeColor="text1"/>
          <w:sz w:val="24"/>
          <w:szCs w:val="24"/>
          <w14:textFill>
            <w14:solidFill>
              <w14:schemeClr w14:val="tx1"/>
            </w14:solidFill>
          </w14:textFill>
        </w:r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Latent change score models</w:t>
      </w:r>
    </w:p>
    <w:p>
      <w:pPr>
        <w:numPr>
          <w:ilvl w:val="0"/>
          <w:numId w:val="0"/>
        </w:numPr>
        <w:spacing w:line="480" w:lineRule="auto"/>
        <w:rPr>
          <w:rFonts w:hint="default" w:ascii="Times New Roman Bold Italic" w:hAnsi="Times New Roman Bold Italic" w:cs="Times New Roman Bold Italic"/>
          <w:b/>
          <w:bCs/>
          <w:i/>
          <w:iCs/>
          <w:sz w:val="24"/>
          <w:szCs w:val="24"/>
        </w:rPr>
      </w:pPr>
      <w:r>
        <w:rPr>
          <w:rFonts w:hint="default" w:ascii="Times New Roman Bold Italic" w:hAnsi="Times New Roman Bold Italic" w:cs="Times New Roman Bold Italic"/>
          <w:b/>
          <w:bCs/>
          <w:i/>
          <w:iCs/>
          <w:sz w:val="24"/>
          <w:szCs w:val="24"/>
        </w:rPr>
        <w:t>Univariate latent change score model of regular word reading</w:t>
      </w:r>
    </w:p>
    <w:p>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720" w:firstLineChars="0"/>
        <w:jc w:val="both"/>
        <w:textAlignment w:val="auto"/>
        <w:outlineLvl w:val="9"/>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sz w:val="24"/>
          <w:szCs w:val="24"/>
        </w:rPr>
        <w:t>A</w:t>
      </w:r>
      <w:r>
        <w:rPr>
          <w:rFonts w:hint="default" w:ascii="Times New Roman Regular" w:hAnsi="Times New Roman Regular" w:cs="Times New Roman Regular"/>
          <w:b w:val="0"/>
          <w:bCs w:val="0"/>
          <w:sz w:val="24"/>
          <w:szCs w:val="24"/>
        </w:rPr>
        <w:t xml:space="preserve"> univariate latent change score model (Figure S20) was built for regular word reading, with two latent change scores (circles with ΔRWR inside), one reflecting changes between Year 1 and 3, the other between Year 3 and 6. For the two change scores, each parameter was first constrained to be equal across waves (intercept, yellow arrows; variance, purple arrows; self-feedback parameter, green arrows). Variance parameters were unconstrained, because this significantly improved fit, Δ</w:t>
      </w:r>
      <w:r>
        <w:rPr>
          <w:rFonts w:hint="default" w:ascii="Times New Roman Italic" w:hAnsi="Times New Roman Italic" w:cs="Times New Roman Italic"/>
          <w:b w:val="0"/>
          <w:bCs w:val="0"/>
          <w:i/>
          <w:iCs/>
          <w:sz w:val="24"/>
          <w:szCs w:val="24"/>
        </w:rPr>
        <w:t>X</w:t>
      </w:r>
      <w:r>
        <w:rPr>
          <w:rFonts w:hint="default" w:ascii="Times New Roman Regular" w:hAnsi="Times New Roman Regular" w:cs="Times New Roman Regular"/>
          <w:b w:val="0"/>
          <w:bCs w:val="0"/>
          <w:sz w:val="24"/>
          <w:szCs w:val="24"/>
          <w:vertAlign w:val="superscript"/>
        </w:rPr>
        <w:t>2</w:t>
      </w:r>
      <w:r>
        <w:rPr>
          <w:rFonts w:hint="default" w:ascii="Times New Roman Regular" w:hAnsi="Times New Roman Regular" w:cs="Times New Roman Regular"/>
          <w:b w:val="0"/>
          <w:bCs w:val="0"/>
          <w:sz w:val="24"/>
          <w:szCs w:val="24"/>
        </w:rPr>
        <w:t xml:space="preserve"> (1) = 40.591, </w:t>
      </w:r>
      <w:r>
        <w:rPr>
          <w:rFonts w:hint="default" w:ascii="Times New Roman Italic" w:hAnsi="Times New Roman Italic" w:cs="Times New Roman Italic"/>
          <w:b w:val="0"/>
          <w:bCs w:val="0"/>
          <w:i/>
          <w:iCs/>
          <w:sz w:val="24"/>
          <w:szCs w:val="24"/>
        </w:rPr>
        <w:t>p</w:t>
      </w:r>
      <w:r>
        <w:rPr>
          <w:rFonts w:hint="default" w:ascii="Times New Roman Regular" w:hAnsi="Times New Roman Regular" w:cs="Times New Roman Regular"/>
          <w:b w:val="0"/>
          <w:bCs w:val="0"/>
          <w:sz w:val="24"/>
          <w:szCs w:val="24"/>
        </w:rPr>
        <w:t xml:space="preserve"> &lt; .001. There was less variance in the change score between Year 3 and 6 than between Year 1 and 3. This is in line with the ceiling effect in Year 6. For participants with high accuracy in regular word reading, the change score between Year 3 and 6 was limited by the ceiling effect in Year 6 (the task was too easy for them), and might not be able to reflect their development in regular word reading. Intercept parameters were further unconstrained, because this significantly improved fit, Δ</w:t>
      </w:r>
      <w:r>
        <w:rPr>
          <w:rFonts w:hint="default" w:ascii="Times New Roman Italic" w:hAnsi="Times New Roman Italic" w:cs="Times New Roman Italic"/>
          <w:b w:val="0"/>
          <w:bCs w:val="0"/>
          <w:i/>
          <w:iCs/>
          <w:sz w:val="24"/>
          <w:szCs w:val="24"/>
        </w:rPr>
        <w:t>X</w:t>
      </w:r>
      <w:r>
        <w:rPr>
          <w:rFonts w:hint="default" w:ascii="Times New Roman Regular" w:hAnsi="Times New Roman Regular" w:cs="Times New Roman Regular"/>
          <w:b w:val="0"/>
          <w:bCs w:val="0"/>
          <w:sz w:val="24"/>
          <w:szCs w:val="24"/>
          <w:vertAlign w:val="superscript"/>
        </w:rPr>
        <w:t>2</w:t>
      </w:r>
      <w:r>
        <w:rPr>
          <w:rFonts w:hint="default" w:ascii="Times New Roman Regular" w:hAnsi="Times New Roman Regular" w:cs="Times New Roman Regular"/>
          <w:b w:val="0"/>
          <w:bCs w:val="0"/>
          <w:sz w:val="24"/>
          <w:szCs w:val="24"/>
        </w:rPr>
        <w:t xml:space="preserve"> (1) = 5.958, </w:t>
      </w:r>
      <w:r>
        <w:rPr>
          <w:rFonts w:hint="default" w:ascii="Times New Roman Italic" w:hAnsi="Times New Roman Italic" w:cs="Times New Roman Italic"/>
          <w:b w:val="0"/>
          <w:bCs w:val="0"/>
          <w:i/>
          <w:iCs/>
          <w:sz w:val="24"/>
          <w:szCs w:val="24"/>
        </w:rPr>
        <w:t>p</w:t>
      </w:r>
      <w:r>
        <w:rPr>
          <w:rFonts w:hint="default" w:ascii="Times New Roman Regular" w:hAnsi="Times New Roman Regular" w:cs="Times New Roman Regular"/>
          <w:b w:val="0"/>
          <w:bCs w:val="0"/>
          <w:sz w:val="24"/>
          <w:szCs w:val="24"/>
        </w:rPr>
        <w:t xml:space="preserve"> = .015. The intercept was smaller for the change score between Year 1 and 3 (standardised value 2.200) than that between Year 3 and 6 (standardised value 2.864). </w:t>
      </w:r>
    </w:p>
    <w:p>
      <w:pPr>
        <w:keepNext w:val="0"/>
        <w:keepLines w:val="0"/>
        <w:pageBreakBefore w:val="0"/>
        <w:widowControl/>
        <w:kinsoku/>
        <w:wordWrap/>
        <w:overflowPunct/>
        <w:topLinePunct w:val="0"/>
        <w:autoSpaceDE/>
        <w:autoSpaceDN/>
        <w:bidi w:val="0"/>
        <w:adjustRightInd/>
        <w:snapToGrid/>
        <w:spacing w:line="480" w:lineRule="auto"/>
        <w:ind w:right="0" w:rightChars="0"/>
        <w:jc w:val="both"/>
        <w:textAlignment w:val="auto"/>
        <w:outlineLvl w:val="9"/>
        <w:rPr>
          <w:rFonts w:hint="default" w:ascii="Times New Roman Regular" w:hAnsi="Times New Roman Regular" w:cs="Times New Roman Regular"/>
          <w:b w:val="0"/>
          <w:bCs w:val="0"/>
          <w:sz w:val="24"/>
          <w:szCs w:val="24"/>
        </w:r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S20</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Univariate latent change score model of regular word reading</w:t>
      </w:r>
    </w:p>
    <w:p>
      <w:pPr>
        <w:spacing w:line="480" w:lineRule="auto"/>
        <w:jc w:val="both"/>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color w:val="000000" w:themeColor="text1"/>
          <w:sz w:val="24"/>
          <w:szCs w:val="24"/>
          <w14:textFill>
            <w14:solidFill>
              <w14:schemeClr w14:val="tx1"/>
            </w14:solidFill>
          </w14:textFill>
        </w:rPr>
        <w:drawing>
          <wp:inline distT="0" distB="0" distL="114300" distR="114300">
            <wp:extent cx="5268595" cy="3067050"/>
            <wp:effectExtent l="0" t="0" r="14605" b="6350"/>
            <wp:docPr id="26" name="Picture 26" descr="Screenshot 2022-11-05 at 19.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2022-11-05 at 19.32.46"/>
                    <pic:cNvPicPr>
                      <a:picLocks noChangeAspect="1"/>
                    </pic:cNvPicPr>
                  </pic:nvPicPr>
                  <pic:blipFill>
                    <a:blip r:embed="rId24"/>
                    <a:stretch>
                      <a:fillRect/>
                    </a:stretch>
                  </pic:blipFill>
                  <pic:spPr>
                    <a:xfrm>
                      <a:off x="0" y="0"/>
                      <a:ext cx="5268595" cy="3067050"/>
                    </a:xfrm>
                    <a:prstGeom prst="rect">
                      <a:avLst/>
                    </a:prstGeom>
                  </pic:spPr>
                </pic:pic>
              </a:graphicData>
            </a:graphic>
          </wp:inline>
        </w:drawing>
      </w:r>
    </w:p>
    <w:p>
      <w:pPr>
        <w:spacing w:line="480" w:lineRule="auto"/>
        <w:jc w:val="both"/>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xml:space="preserve">. RWR = regular word reading; Y1 = Year 1; Y3 = Year 3; Y6 = Year 6. Standardised parameter estimates are in roman font. Unstandardised parameter estimates (with standard error estimates in parentheses) are in italics. Key parameters of interest are in boldface. </w:t>
      </w:r>
    </w:p>
    <w:p>
      <w:pPr>
        <w:spacing w:line="480" w:lineRule="auto"/>
        <w:jc w:val="both"/>
        <w:rPr>
          <w:rFonts w:hint="default" w:ascii="Times New Roman Regular" w:hAnsi="Times New Roman Regular" w:cs="Times New Roman Regular"/>
          <w:sz w:val="24"/>
          <w:szCs w:val="24"/>
        </w:rPr>
      </w:pP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final model had a good fit, </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 = 1.898,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 .168, CFI = .998, SRMR = .017, RMSEA = .038, 90% CI = [.000, .122]. Initial regular word reading ability significantly predicted change scores for regular word reading in subsequent years (self-feedback effect;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s &lt; .001;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-.548, Year 1 reading predicting the change score between Year 1 and 3;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-.686, Year 3 reading predicting the change score between Year 3 and 6). Participants with better initial regular word reading ability achieved less growth in regular word reading in following years. After accounting for the effect of initial reading ability, there remained a significant amount of variance to be explained in both change scores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s &lt; .001). </w:t>
      </w:r>
    </w:p>
    <w:p>
      <w:pPr>
        <w:spacing w:line="480" w:lineRule="auto"/>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Italic" w:hAnsi="Times New Roman Bold Italic" w:cs="Times New Roman Bold Italic"/>
          <w:b/>
          <w:bCs/>
          <w:i/>
          <w:iCs/>
          <w:sz w:val="24"/>
          <w:szCs w:val="24"/>
        </w:rPr>
      </w:pPr>
      <w:r>
        <w:rPr>
          <w:rFonts w:hint="default" w:ascii="Times New Roman Bold Italic" w:hAnsi="Times New Roman Bold Italic" w:cs="Times New Roman Bold Italic"/>
          <w:b/>
          <w:bCs/>
          <w:i/>
          <w:iCs/>
          <w:sz w:val="24"/>
          <w:szCs w:val="24"/>
        </w:rPr>
        <w:t>I</w:t>
      </w:r>
      <w:r>
        <w:rPr>
          <w:rFonts w:hint="default" w:ascii="Times New Roman Bold Italic" w:hAnsi="Times New Roman Bold Italic" w:cs="Times New Roman Bold Italic"/>
          <w:b/>
          <w:bCs/>
          <w:i/>
          <w:iCs/>
          <w:sz w:val="24"/>
          <w:szCs w:val="24"/>
        </w:rPr>
        <w:t>nhibitory control</w:t>
      </w:r>
      <w:r>
        <w:rPr>
          <w:rFonts w:hint="default" w:ascii="Times New Roman Bold Italic" w:hAnsi="Times New Roman Bold Italic" w:cs="Times New Roman Bold Italic"/>
          <w:b/>
          <w:bCs/>
          <w:i/>
          <w:iCs/>
          <w:sz w:val="24"/>
          <w:szCs w:val="24"/>
        </w:rPr>
        <w:t>: no strong evidence for its role in growth in regular word reading</w:t>
      </w:r>
    </w:p>
    <w:p>
      <w:pPr>
        <w:spacing w:line="480" w:lineRule="auto"/>
        <w:ind w:firstLine="720"/>
        <w:jc w:val="both"/>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sz w:val="24"/>
          <w:szCs w:val="24"/>
        </w:rPr>
        <w:t>Inhibitory control variables and two regressive paths were added to the univariate latent change score model, one path from Year 1 inhibitory control to the change score for regular word reading between Year 1 and 3, and the other from Year 3 inhibitory control to the change score between Year 3</w:t>
      </w:r>
      <w:r>
        <w:rPr>
          <w:rFonts w:hint="default" w:ascii="Times New Roman Regular" w:hAnsi="Times New Roman Regular" w:cs="Times New Roman Regular"/>
          <w:color w:val="000000" w:themeColor="text1"/>
          <w:sz w:val="24"/>
          <w:szCs w:val="24"/>
          <w14:textFill>
            <w14:solidFill>
              <w14:schemeClr w14:val="tx1"/>
            </w14:solidFill>
          </w14:textFill>
        </w:rPr>
        <w:t xml:space="preserve"> and 6 (Figure S21). The regressive parameters were constrained to be equal across waves where possible but were unconstrained if free estimation significantly improved model fit. Covariance was allowed between regular word reading and inhibitory control in Year 1. </w:t>
      </w:r>
    </w:p>
    <w:p>
      <w:pPr>
        <w:spacing w:line="480" w:lineRule="auto"/>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S21</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Univariate latent change score model of regular word reading predicted by inhibitory control</w:t>
      </w:r>
    </w:p>
    <w:p>
      <w:pPr>
        <w:spacing w:line="480" w:lineRule="auto"/>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drawing>
          <wp:inline distT="0" distB="0" distL="114300" distR="114300">
            <wp:extent cx="5268595" cy="3300730"/>
            <wp:effectExtent l="0" t="0" r="14605" b="1270"/>
            <wp:docPr id="27" name="Picture 27" descr="Screenshot 2022-11-18 at 19.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2022-11-18 at 19.26.48"/>
                    <pic:cNvPicPr>
                      <a:picLocks noChangeAspect="1"/>
                    </pic:cNvPicPr>
                  </pic:nvPicPr>
                  <pic:blipFill>
                    <a:blip r:embed="rId25"/>
                    <a:stretch>
                      <a:fillRect/>
                    </a:stretch>
                  </pic:blipFill>
                  <pic:spPr>
                    <a:xfrm>
                      <a:off x="0" y="0"/>
                      <a:ext cx="5268595" cy="3300730"/>
                    </a:xfrm>
                    <a:prstGeom prst="rect">
                      <a:avLst/>
                    </a:prstGeom>
                  </pic:spPr>
                </pic:pic>
              </a:graphicData>
            </a:graphic>
          </wp:inline>
        </w:drawing>
      </w:r>
    </w:p>
    <w:p>
      <w:pPr>
        <w:spacing w:line="480" w:lineRule="auto"/>
        <w:jc w:val="both"/>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RWR = regular word reading; IC = inhibitory control; Y1 = Year 1; Y3 = Year 3; Y6 = Year 6. Standardised parameter estimates are in roman font. Unstandardised parameter estimates (with standard error estimates in parentheses) are in italics. Key parameters of interest are in boldface. Indicators and parameters of inhibitory control variable</w:t>
      </w:r>
      <w:r>
        <w:rPr>
          <w:rFonts w:hint="default" w:ascii="Times New Roman Regular" w:hAnsi="Times New Roman Regular" w:cs="Times New Roman Regular"/>
          <w:sz w:val="24"/>
          <w:szCs w:val="24"/>
        </w:rPr>
        <w:t>s</w:t>
      </w:r>
      <w:r>
        <w:rPr>
          <w:rFonts w:hint="default" w:ascii="Times New Roman Regular" w:hAnsi="Times New Roman Regular" w:cs="Times New Roman Regular"/>
          <w:sz w:val="24"/>
          <w:szCs w:val="24"/>
        </w:rPr>
        <w:t xml:space="preserve"> are not displayed for visual simplicity.</w:t>
      </w:r>
    </w:p>
    <w:p>
      <w:pPr>
        <w:spacing w:line="480" w:lineRule="auto"/>
        <w:jc w:val="both"/>
        <w:rPr>
          <w:rFonts w:hint="default" w:ascii="Times New Roman Regular" w:hAnsi="Times New Roman Regular" w:cs="Times New Roman Regular"/>
          <w:sz w:val="24"/>
          <w:szCs w:val="24"/>
        </w:rPr>
      </w:pP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final model had an acceptable fit, </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(22) = 69.585,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CFI = .969, SRMR = .062, RMSEA = .068, 90% CI = [.050, .086]. After controlling for initial regular word reading, both regressive paths from inhibitory control were significant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s = .045). The effects were small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-.109, from Year 1 inhibitory control to the change score between Year 1 and 3;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-.126, from Year 3 inhibitory control to the change score between Year 3 and 6). Participants with better inhibitory control ability gained more growth in regular word reading. However, fixing the regressive paths to zero did not significantly worsen model fit,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 = 3.7706,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 .052. There is no strong evidence that inhibitory control predicted growth in regular word reading.</w:t>
      </w:r>
    </w:p>
    <w:p>
      <w:pPr>
        <w:spacing w:line="480" w:lineRule="auto"/>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Italic" w:hAnsi="Times New Roman Bold Italic" w:cs="Times New Roman Bold Italic"/>
          <w:b/>
          <w:bCs/>
          <w:i/>
          <w:iCs/>
          <w:sz w:val="24"/>
          <w:szCs w:val="24"/>
        </w:rPr>
      </w:pPr>
      <w:r>
        <w:rPr>
          <w:rFonts w:hint="default" w:ascii="Times New Roman Bold Italic" w:hAnsi="Times New Roman Bold Italic" w:cs="Times New Roman Bold Italic"/>
          <w:b/>
          <w:bCs/>
          <w:i/>
          <w:iCs/>
          <w:sz w:val="24"/>
          <w:szCs w:val="24"/>
        </w:rPr>
        <w:t>Decoding: a significant predictor of growth</w:t>
      </w: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Similar analysis steps were applied for decoding, with two regressive paths from decoding</w:t>
      </w:r>
      <w:r>
        <w:rPr>
          <w:rFonts w:hint="default" w:ascii="Times New Roman Regular" w:hAnsi="Times New Roman Regular" w:cs="Times New Roman Regular"/>
          <w:color w:val="auto"/>
          <w:sz w:val="24"/>
          <w:szCs w:val="24"/>
        </w:rPr>
        <w:t xml:space="preserve"> (Figure S22). However, model fit was not acceptable, regardless of whether regressive paths were constrained to be equal, unconstrained, or removed. Given that decoding and regular word reading are highly correlated (</w:t>
      </w:r>
      <w:r>
        <w:rPr>
          <w:rFonts w:hint="default" w:ascii="Times New Roman Regular" w:hAnsi="Times New Roman Regular" w:cs="Times New Roman Regular"/>
          <w:i/>
          <w:iCs/>
          <w:color w:val="auto"/>
          <w:sz w:val="24"/>
          <w:szCs w:val="24"/>
        </w:rPr>
        <w:t>r</w:t>
      </w:r>
      <w:r>
        <w:rPr>
          <w:rFonts w:hint="default" w:ascii="Times New Roman Regular" w:hAnsi="Times New Roman Regular" w:cs="Times New Roman Regular"/>
          <w:color w:val="auto"/>
          <w:sz w:val="24"/>
          <w:szCs w:val="24"/>
        </w:rPr>
        <w:t xml:space="preserve"> = .89 in both Year 1 and Year 3), the residual of Year 3 decoding might be correlated to that of the </w:t>
      </w:r>
      <w:r>
        <w:rPr>
          <w:rFonts w:hint="default" w:ascii="Times New Roman Regular" w:hAnsi="Times New Roman Regular" w:cs="Times New Roman Regular"/>
          <w:sz w:val="24"/>
          <w:szCs w:val="24"/>
        </w:rPr>
        <w:t>change score for regular word reading between Year 1 and 3</w:t>
      </w:r>
      <w:r>
        <w:rPr>
          <w:rFonts w:hint="default" w:ascii="Times New Roman Regular" w:hAnsi="Times New Roman Regular" w:cs="Times New Roman Regular"/>
          <w:color w:val="auto"/>
          <w:sz w:val="24"/>
          <w:szCs w:val="24"/>
        </w:rPr>
        <w:t xml:space="preserve">. Therefore, their residual covariance was added to the model (as predicted, </w:t>
      </w:r>
      <w:r>
        <w:rPr>
          <w:rFonts w:hint="default" w:ascii="Times New Roman Regular" w:hAnsi="Times New Roman Regular" w:cs="Times New Roman Regular"/>
          <w:i/>
          <w:iCs/>
          <w:color w:val="auto"/>
          <w:sz w:val="24"/>
          <w:szCs w:val="24"/>
        </w:rPr>
        <w:t>r</w:t>
      </w:r>
      <w:r>
        <w:rPr>
          <w:rFonts w:hint="default" w:ascii="Times New Roman Regular" w:hAnsi="Times New Roman Regular" w:cs="Times New Roman Regular"/>
          <w:color w:val="auto"/>
          <w:sz w:val="24"/>
          <w:szCs w:val="24"/>
        </w:rPr>
        <w:t xml:space="preserve"> = .844, </w:t>
      </w:r>
      <w:r>
        <w:rPr>
          <w:rFonts w:hint="default" w:ascii="Times New Roman Regular" w:hAnsi="Times New Roman Regular" w:cs="Times New Roman Regular"/>
          <w:i/>
          <w:iCs/>
          <w:color w:val="auto"/>
          <w:sz w:val="24"/>
          <w:szCs w:val="24"/>
        </w:rPr>
        <w:t>p</w:t>
      </w:r>
      <w:r>
        <w:rPr>
          <w:rFonts w:hint="default" w:ascii="Times New Roman Regular" w:hAnsi="Times New Roman Regular" w:cs="Times New Roman Regular"/>
          <w:color w:val="auto"/>
          <w:sz w:val="24"/>
          <w:szCs w:val="24"/>
        </w:rPr>
        <w:t xml:space="preserve"> &lt; .001). The fit became acceptable, </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(4) = 68.114,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CFI = .969, SRMR = .087, RMSEA = .175, 90% CI = [.140, .212]</w:t>
      </w:r>
      <w:r>
        <w:rPr>
          <w:rFonts w:hint="default" w:ascii="Times New Roman Regular" w:hAnsi="Times New Roman Regular" w:cs="Times New Roman Regular"/>
          <w:color w:val="auto"/>
          <w:sz w:val="24"/>
          <w:szCs w:val="24"/>
        </w:rPr>
        <w:t xml:space="preserve">. Regressive paths were then unconstrained, because this significantly improved model fit, </w:t>
      </w:r>
      <w:r>
        <w:rPr>
          <w:rFonts w:hint="default" w:ascii="Times New Roman Regular" w:hAnsi="Times New Roman Regular" w:cs="Times New Roman Regular"/>
          <w:sz w:val="24"/>
          <w:szCs w:val="24"/>
        </w:rPr>
        <w:t>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 = 11.595,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w:t>
      </w:r>
    </w:p>
    <w:p>
      <w:pPr>
        <w:spacing w:line="480" w:lineRule="auto"/>
        <w:ind w:firstLine="720"/>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S22</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Univariate latent change score model of regular word reading predicted by decoding</w:t>
      </w:r>
    </w:p>
    <w:p>
      <w:pPr>
        <w:spacing w:line="480" w:lineRule="auto"/>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drawing>
          <wp:inline distT="0" distB="0" distL="114300" distR="114300">
            <wp:extent cx="5722620" cy="3557905"/>
            <wp:effectExtent l="0" t="0" r="17780" b="23495"/>
            <wp:docPr id="28" name="Picture 28" descr="Screenshot 2022-11-25 at 15.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2022-11-25 at 15.17.33"/>
                    <pic:cNvPicPr>
                      <a:picLocks noChangeAspect="1"/>
                    </pic:cNvPicPr>
                  </pic:nvPicPr>
                  <pic:blipFill>
                    <a:blip r:embed="rId26"/>
                    <a:stretch>
                      <a:fillRect/>
                    </a:stretch>
                  </pic:blipFill>
                  <pic:spPr>
                    <a:xfrm>
                      <a:off x="0" y="0"/>
                      <a:ext cx="5722620" cy="3557905"/>
                    </a:xfrm>
                    <a:prstGeom prst="rect">
                      <a:avLst/>
                    </a:prstGeom>
                  </pic:spPr>
                </pic:pic>
              </a:graphicData>
            </a:graphic>
          </wp:inline>
        </w:drawing>
      </w:r>
    </w:p>
    <w:p>
      <w:pPr>
        <w:spacing w:line="480" w:lineRule="auto"/>
        <w:jc w:val="both"/>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RWR = regular word reading; Dec = decoding; Y1 = Year 1; Y3 = Year 3; Y6 = Year 6. Standardised parameter estimates are in roman font. Unstandardised parameter estimates (with standard error estimates in parentheses) are in italics. Key parameters of interest are in boldface. For visual simplicity, the residual covariance between Year 3 decoding and the change score between Year 1 and 3 is not displayed.</w:t>
      </w:r>
    </w:p>
    <w:p>
      <w:pPr>
        <w:spacing w:line="480" w:lineRule="auto"/>
        <w:jc w:val="both"/>
        <w:rPr>
          <w:rFonts w:hint="default" w:ascii="Times New Roman Regular" w:hAnsi="Times New Roman Regular" w:cs="Times New Roman Regular"/>
          <w:sz w:val="24"/>
          <w:szCs w:val="24"/>
        </w:rPr>
      </w:pP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color w:val="auto"/>
          <w:sz w:val="24"/>
          <w:szCs w:val="24"/>
        </w:rPr>
        <w:t>The fina</w:t>
      </w:r>
      <w:r>
        <w:rPr>
          <w:rFonts w:hint="default" w:ascii="Times New Roman Regular" w:hAnsi="Times New Roman Regular" w:cs="Times New Roman Regular"/>
          <w:sz w:val="24"/>
          <w:szCs w:val="24"/>
        </w:rPr>
        <w:t xml:space="preserve">l model had an acceptable fit, </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(3) = 88.988,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CFI = .973, SRMR = .044, RMSEA = .187, 90% CI = [.155, .221]. After controlling for initial regular word reading ability, both regressive paths from decoding were significant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s &lt; .001). Participants with better decoding ability achieved more growth in regular word reading. Year 3 decoding had a larger effect size on the growth in regular word reading between Year 3 and 6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.394) than Year 1 decoding on the growth between Year 1 and 3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.351). Fixing the regressive paths to zero significantly reduced fit,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(2) = 43.65,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This confirms that decoding significantly contributed to growth in regular word reading.</w:t>
      </w:r>
    </w:p>
    <w:p>
      <w:pPr>
        <w:spacing w:line="480" w:lineRule="auto"/>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Italic" w:hAnsi="Times New Roman Bold Italic" w:cs="Times New Roman Bold Italic"/>
          <w:b/>
          <w:bCs/>
          <w:i/>
          <w:iCs/>
          <w:sz w:val="24"/>
          <w:szCs w:val="24"/>
        </w:rPr>
      </w:pPr>
      <w:r>
        <w:rPr>
          <w:rFonts w:hint="default" w:ascii="Times New Roman Bold Italic" w:hAnsi="Times New Roman Bold Italic" w:cs="Times New Roman Bold Italic"/>
          <w:b/>
          <w:bCs/>
          <w:i/>
          <w:iCs/>
          <w:sz w:val="24"/>
          <w:szCs w:val="24"/>
        </w:rPr>
        <w:t>Vocabulary: a significant predictor of growth</w:t>
      </w: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Similar analysis steps were applied for vocabulary, with two regressive paths from vocabulary</w:t>
      </w:r>
      <w:r>
        <w:rPr>
          <w:rFonts w:hint="default" w:ascii="Times New Roman Regular" w:hAnsi="Times New Roman Regular" w:cs="Times New Roman Regular"/>
          <w:color w:val="auto"/>
          <w:sz w:val="24"/>
          <w:szCs w:val="24"/>
        </w:rPr>
        <w:t xml:space="preserve"> (Figure S23). Regressive paths were unconstrained, because this significantly improved model fit, </w:t>
      </w:r>
      <w:r>
        <w:rPr>
          <w:rFonts w:hint="default" w:ascii="Times New Roman Regular" w:hAnsi="Times New Roman Regular" w:cs="Times New Roman Regular"/>
          <w:sz w:val="24"/>
          <w:szCs w:val="24"/>
        </w:rPr>
        <w:t>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 = 21.18,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w:t>
      </w:r>
      <w:r>
        <w:rPr>
          <w:rFonts w:hint="default" w:ascii="Times New Roman Regular" w:hAnsi="Times New Roman Regular" w:cs="Times New Roman Regular"/>
          <w:color w:val="auto"/>
          <w:sz w:val="24"/>
          <w:szCs w:val="24"/>
        </w:rPr>
        <w:t>The fina</w:t>
      </w:r>
      <w:r>
        <w:rPr>
          <w:rFonts w:hint="default" w:ascii="Times New Roman Regular" w:hAnsi="Times New Roman Regular" w:cs="Times New Roman Regular"/>
          <w:sz w:val="24"/>
          <w:szCs w:val="24"/>
        </w:rPr>
        <w:t xml:space="preserve">l model had a good fit, </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(11) = 63.846,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CFI = .976, SRMR = .034, RMSEA = .093, 90% CI = [.072, .116]. After controlling for initial regular word reading ability, both regressive paths from vocabulary were significant. Participants with better vocabulary knowledge achieved more growth in regular word reading. Year 1 vocabulary had a larger effect size on the growth in regular word reading between Year 1 and 3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.374,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than Year 3 vocabulary on the growth between Year 3 and 6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.149,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 .033). When the regressive path from Year 3 vocabulary was fixed to zero, the model fit significantly reduced,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 = 5.178,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 0.022. Fixing both regressive paths to zero also significantly reduced fit,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(2) = 40.642,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Therefore, vocabulary significantly contributed to growth in regular word reading across waves.</w:t>
      </w:r>
    </w:p>
    <w:p>
      <w:pPr>
        <w:spacing w:line="480" w:lineRule="auto"/>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S23</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Univariate latent change score model of regular word reading predicted by vocabulary</w:t>
      </w:r>
    </w:p>
    <w:p>
      <w:pPr>
        <w:spacing w:line="480" w:lineRule="auto"/>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drawing>
          <wp:inline distT="0" distB="0" distL="114300" distR="114300">
            <wp:extent cx="5727700" cy="3550285"/>
            <wp:effectExtent l="0" t="0" r="12700" b="5715"/>
            <wp:docPr id="29" name="Picture 29" descr="Screenshot 2022-11-25 at 17.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2022-11-25 at 17.30.40"/>
                    <pic:cNvPicPr>
                      <a:picLocks noChangeAspect="1"/>
                    </pic:cNvPicPr>
                  </pic:nvPicPr>
                  <pic:blipFill>
                    <a:blip r:embed="rId27"/>
                    <a:stretch>
                      <a:fillRect/>
                    </a:stretch>
                  </pic:blipFill>
                  <pic:spPr>
                    <a:xfrm>
                      <a:off x="0" y="0"/>
                      <a:ext cx="5727700" cy="3550285"/>
                    </a:xfrm>
                    <a:prstGeom prst="rect">
                      <a:avLst/>
                    </a:prstGeom>
                  </pic:spPr>
                </pic:pic>
              </a:graphicData>
            </a:graphic>
          </wp:inline>
        </w:drawing>
      </w:r>
    </w:p>
    <w:p>
      <w:pPr>
        <w:spacing w:line="480" w:lineRule="auto"/>
        <w:jc w:val="both"/>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RWR = regular word reading; Voc = vocabulary; Y1 = Year 1; Y3 = Year 3; Y6 = Year 6. Standardised parameter estimates are in roman font. Unstandardised parameter estimates (with standard error estimates in parentheses) are in italics. Key parameters of interest are in boldface. For visual simplicity, indicators and parameters of vocabulary variable are not displayed.</w:t>
      </w:r>
    </w:p>
    <w:p>
      <w:pPr>
        <w:spacing w:line="480" w:lineRule="auto"/>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Italic" w:hAnsi="Times New Roman Bold Italic" w:cs="Times New Roman Bold Italic"/>
          <w:b/>
          <w:bCs/>
          <w:i/>
          <w:iCs/>
          <w:sz w:val="24"/>
          <w:szCs w:val="24"/>
        </w:rPr>
      </w:pPr>
      <w:r>
        <w:rPr>
          <w:rFonts w:hint="default" w:ascii="Times New Roman Bold Italic" w:hAnsi="Times New Roman Bold Italic" w:cs="Times New Roman Bold Italic"/>
          <w:b/>
          <w:bCs/>
          <w:i/>
          <w:iCs/>
          <w:sz w:val="24"/>
          <w:szCs w:val="24"/>
        </w:rPr>
        <w:t>Final model: inhibitory control is not a predictor over and above decoding and vocabulary</w:t>
      </w: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As shown </w:t>
      </w:r>
      <w:r>
        <w:rPr>
          <w:rFonts w:hint="default" w:ascii="Times New Roman Regular" w:hAnsi="Times New Roman Regular" w:cs="Times New Roman Regular"/>
          <w:color w:val="000000" w:themeColor="text1"/>
          <w:sz w:val="24"/>
          <w:szCs w:val="24"/>
          <w14:textFill>
            <w14:solidFill>
              <w14:schemeClr w14:val="tx1"/>
            </w14:solidFill>
          </w14:textFill>
        </w:rPr>
        <w:t xml:space="preserve">in Figure S24, inhibitory </w:t>
      </w:r>
      <w:r>
        <w:rPr>
          <w:rFonts w:hint="default" w:ascii="Times New Roman Regular" w:hAnsi="Times New Roman Regular" w:cs="Times New Roman Regular"/>
          <w:sz w:val="24"/>
          <w:szCs w:val="24"/>
        </w:rPr>
        <w:t xml:space="preserve">control, decoding, vocabulary, and their regressive paths were added to the univariate latent change score model (regressive paths from Year 1 inhibitory control, decoding, and vocabulary to the latent change score for regular word reading between Year 1 and 3, as well as from Year 3 inhibitory control, decoding, and vocabulary to the latent change score between Year 3 and 6). Covariances were allowed between Year 1 variables. The residual covariance between Year 3 decoding and the change score between Year 1 and 3 was also added to the model. </w:t>
      </w:r>
    </w:p>
    <w:p>
      <w:pPr>
        <w:spacing w:line="480" w:lineRule="auto"/>
        <w:ind w:firstLine="720"/>
        <w:jc w:val="both"/>
        <w:rPr>
          <w:rFonts w:hint="default" w:ascii="Times New Roman Regular" w:hAnsi="Times New Roman Regular" w:cs="Times New Roman Regular"/>
          <w:sz w:val="24"/>
          <w:szCs w:val="24"/>
        </w:rPr>
      </w:pPr>
    </w:p>
    <w:p>
      <w:pPr>
        <w:numPr>
          <w:ilvl w:val="0"/>
          <w:numId w:val="0"/>
        </w:numPr>
        <w:spacing w:line="480" w:lineRule="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Figure S24</w:t>
      </w:r>
    </w:p>
    <w:p>
      <w:pPr>
        <w:numPr>
          <w:ilvl w:val="0"/>
          <w:numId w:val="0"/>
        </w:numPr>
        <w:spacing w:line="480" w:lineRule="auto"/>
        <w:rPr>
          <w:rFonts w:hint="default" w:ascii="Times New Roman Italic" w:hAnsi="Times New Roman Italic" w:cs="Times New Roman Italic"/>
          <w:b w:val="0"/>
          <w:i/>
          <w:iCs/>
          <w:color w:val="000000" w:themeColor="text1"/>
          <w:sz w:val="24"/>
          <w:szCs w:val="24"/>
          <w14:textFill>
            <w14:solidFill>
              <w14:schemeClr w14:val="tx1"/>
            </w14:solidFill>
          </w14:textFill>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Univariate latent change score model of regular word reading predicted by decoding and vocabulary</w:t>
      </w:r>
    </w:p>
    <w:p>
      <w:pPr>
        <w:spacing w:line="480" w:lineRule="auto"/>
        <w:jc w:val="both"/>
        <w:rPr>
          <w:rFonts w:hint="default" w:ascii="Times New Roman Regular" w:hAnsi="Times New Roman Regular" w:cs="Times New Roman Regular"/>
          <w:i/>
          <w:iCs/>
          <w:sz w:val="24"/>
          <w:szCs w:val="24"/>
        </w:rPr>
      </w:pPr>
      <w:r>
        <w:rPr>
          <w:rFonts w:hint="default" w:ascii="Times New Roman Regular" w:hAnsi="Times New Roman Regular" w:cs="Times New Roman Regular"/>
          <w:i/>
          <w:iCs/>
          <w:sz w:val="24"/>
          <w:szCs w:val="24"/>
        </w:rPr>
        <w:drawing>
          <wp:inline distT="0" distB="0" distL="114300" distR="114300">
            <wp:extent cx="5271770" cy="4528185"/>
            <wp:effectExtent l="0" t="0" r="11430" b="18415"/>
            <wp:docPr id="20" name="Picture 20"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8"/>
                    <pic:cNvPicPr>
                      <a:picLocks noChangeAspect="1"/>
                    </pic:cNvPicPr>
                  </pic:nvPicPr>
                  <pic:blipFill>
                    <a:blip r:embed="rId28"/>
                    <a:stretch>
                      <a:fillRect/>
                    </a:stretch>
                  </pic:blipFill>
                  <pic:spPr>
                    <a:xfrm>
                      <a:off x="0" y="0"/>
                      <a:ext cx="5271770" cy="4528185"/>
                    </a:xfrm>
                    <a:prstGeom prst="rect">
                      <a:avLst/>
                    </a:prstGeom>
                  </pic:spPr>
                </pic:pic>
              </a:graphicData>
            </a:graphic>
          </wp:inline>
        </w:drawing>
      </w:r>
    </w:p>
    <w:p>
      <w:pPr>
        <w:spacing w:line="480" w:lineRule="auto"/>
        <w:jc w:val="both"/>
        <w:rPr>
          <w:rFonts w:hint="default" w:ascii="Times New Roman Regular" w:hAnsi="Times New Roman Regular" w:cs="Times New Roman Regular"/>
          <w:sz w:val="24"/>
          <w:szCs w:val="24"/>
        </w:rPr>
      </w:pPr>
      <w:r>
        <w:rPr>
          <w:rFonts w:hint="default" w:ascii="Times New Roman Italic" w:hAnsi="Times New Roman Italic" w:cs="Times New Roman Italic"/>
          <w:b w:val="0"/>
          <w:i/>
          <w:iCs/>
          <w:color w:val="000000" w:themeColor="text1"/>
          <w:sz w:val="24"/>
          <w:szCs w:val="24"/>
          <w14:textFill>
            <w14:solidFill>
              <w14:schemeClr w14:val="tx1"/>
            </w14:solidFill>
          </w14:textFill>
        </w:rPr>
        <w:t>Note</w:t>
      </w:r>
      <w:r>
        <w:rPr>
          <w:rFonts w:hint="default" w:ascii="Times New Roman Regular" w:hAnsi="Times New Roman Regular" w:cs="Times New Roman Regular"/>
          <w:sz w:val="24"/>
          <w:szCs w:val="24"/>
        </w:rPr>
        <w:t>. RWR = regular word reading; Dec = decoding; Voc = vocabulary; IC = inhibitory control; Y1 = Year 1; Y3 = Year 3; Y6 = Year 6. Standardised parameter estimates are in roman font. Unstandar</w:t>
      </w:r>
      <w:bookmarkStart w:id="0" w:name="_GoBack"/>
      <w:bookmarkEnd w:id="0"/>
      <w:r>
        <w:rPr>
          <w:rFonts w:hint="default" w:ascii="Times New Roman Regular" w:hAnsi="Times New Roman Regular" w:cs="Times New Roman Regular"/>
          <w:sz w:val="24"/>
          <w:szCs w:val="24"/>
        </w:rPr>
        <w:t>dised parameter estimates (with standard error estimates in parentheses) are in italics. Key parameters of interest are in boldface. For visual simplicity, indicators and parameters of vocabulary and inhibitory control latent variables are not displayed. The residual covariance between Year 3 decoding and the change score between Year 1 and 3 is also not displayed.</w:t>
      </w:r>
    </w:p>
    <w:p>
      <w:pPr>
        <w:spacing w:line="480" w:lineRule="auto"/>
        <w:jc w:val="both"/>
        <w:rPr>
          <w:rFonts w:hint="default" w:ascii="Times New Roman Regular" w:hAnsi="Times New Roman Regular" w:cs="Times New Roman Regular"/>
          <w:sz w:val="24"/>
          <w:szCs w:val="24"/>
        </w:rPr>
      </w:pP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model had an acceptable fit, </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(75) = 286.930,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CFI = .957, SRMR = .096, RMSEA = .074, 90% CI = [.065, .084]. Regressive paths from decoding were significant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s &lt; .001). The effects were medium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.333, from Year 1 decoding to the change score between Year 1 and 3;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.355, from Year 3 decoding to the change score between Year 3 and 6). Fixing the regressive paths to zero significantly worsened fit,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(2) = 57.804,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These results suggest that decoding significantly contributed to growth in regular word reading, after accounting for other predictors in the model. </w:t>
      </w: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Regressive paths from vocabulary were also significant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s &lt; .001). The effects were small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.145, from Year 1 vocabulary to the change score between Year 1 and 3; </w:t>
      </w:r>
      <w:r>
        <w:rPr>
          <w:rFonts w:hint="default" w:ascii="Times New Roman Regular" w:hAnsi="Times New Roman Regular" w:cs="Times New Roman Regular"/>
          <w:i/>
          <w:iCs/>
          <w:sz w:val="24"/>
          <w:szCs w:val="24"/>
        </w:rPr>
        <w:t>r</w:t>
      </w:r>
      <w:r>
        <w:rPr>
          <w:rFonts w:hint="default" w:ascii="Times New Roman Regular" w:hAnsi="Times New Roman Regular" w:cs="Times New Roman Regular"/>
          <w:sz w:val="24"/>
          <w:szCs w:val="24"/>
        </w:rPr>
        <w:t xml:space="preserve"> = .169, from Year 3 vocabulary to the change score between Year 3 and 6). Fixing the regressive paths to zero significantly worsened fit,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(2) = 30.218,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&lt; .001. Therefore, vocabulary significantly contributed to growth in regular word reading, after controlling for other predictors.</w:t>
      </w:r>
    </w:p>
    <w:p>
      <w:pPr>
        <w:spacing w:line="480" w:lineRule="auto"/>
        <w:ind w:firstLine="72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After controlling for initial regular word reading, decoding, and vocabulary, inhibitory control did not significantly predict growth in regular word reading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s = .265). Fixing the regressive paths to zero for inhibitory control did not worsen fit, Δ</w:t>
      </w:r>
      <w:r>
        <w:rPr>
          <w:rFonts w:hint="default" w:ascii="Times New Roman Regular" w:hAnsi="Times New Roman Regular" w:cs="Times New Roman Regular"/>
          <w:i/>
          <w:iCs/>
          <w:sz w:val="24"/>
          <w:szCs w:val="24"/>
        </w:rPr>
        <w:t>X</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 xml:space="preserve"> (1) = 1.179, </w:t>
      </w:r>
      <w:r>
        <w:rPr>
          <w:rFonts w:hint="default" w:ascii="Times New Roman Regular" w:hAnsi="Times New Roman Regular" w:cs="Times New Roman Regular"/>
          <w:i/>
          <w:iCs/>
          <w:sz w:val="24"/>
          <w:szCs w:val="24"/>
        </w:rPr>
        <w:t>p</w:t>
      </w:r>
      <w:r>
        <w:rPr>
          <w:rFonts w:hint="default" w:ascii="Times New Roman Regular" w:hAnsi="Times New Roman Regular" w:cs="Times New Roman Regular"/>
          <w:sz w:val="24"/>
          <w:szCs w:val="24"/>
        </w:rPr>
        <w:t xml:space="preserve"> = .278. Therefore, inhibitory control did not contribute to growth in regular word reading over and above decoding, vocabulary, and initial regular word reading.</w:t>
      </w:r>
    </w:p>
    <w:p>
      <w:pPr>
        <w:spacing w:after="0" w:line="480" w:lineRule="auto"/>
        <w:rPr>
          <w:rFonts w:hint="default" w:ascii="Times New Roman Regular" w:hAnsi="Times New Roman Regular" w:cs="Times New Roman Regular"/>
          <w:sz w:val="24"/>
          <w:szCs w:val="24"/>
        </w:rPr>
      </w:pPr>
    </w:p>
    <w:p>
      <w:pPr>
        <w:spacing w:after="0" w:line="480" w:lineRule="auto"/>
        <w:rPr>
          <w:rFonts w:hint="default" w:ascii="Times New Roman Regular" w:hAnsi="Times New Roman Regular" w:cs="Times New Roman Regular"/>
          <w:sz w:val="24"/>
          <w:szCs w:val="24"/>
        </w:rPr>
      </w:pPr>
    </w:p>
    <w:p>
      <w:pPr>
        <w:spacing w:after="0" w:line="480" w:lineRule="auto"/>
        <w:rPr>
          <w:rFonts w:hint="default" w:ascii="Times New Roman Regular" w:hAnsi="Times New Roman Regular" w:cs="Times New Roman Regular"/>
          <w:sz w:val="24"/>
          <w:szCs w:val="24"/>
        </w:rPr>
      </w:pPr>
    </w:p>
    <w:p>
      <w:pPr>
        <w:spacing w:after="0" w:line="480" w:lineRule="auto"/>
        <w:rPr>
          <w:rFonts w:hint="default" w:ascii="Times New Roman Regular" w:hAnsi="Times New Roman Regular" w:cs="Times New Roman Regular"/>
          <w:sz w:val="24"/>
          <w:szCs w:val="24"/>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汉仪中黑KW"/>
    <w:panose1 w:val="02010600030101010101"/>
    <w:charset w:val="00"/>
    <w:family w:val="auto"/>
    <w:pitch w:val="default"/>
    <w:sig w:usb0="00000001" w:usb1="080E0000" w:usb2="00000010" w:usb3="00000000" w:csb0="00040000" w:csb1="00000000"/>
  </w:font>
  <w:font w:name="汉仪中黑KW">
    <w:panose1 w:val="00020600040101010101"/>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6" w:usb3="00000000" w:csb0="00040001" w:csb1="00000000"/>
  </w:font>
  <w:font w:name="Times New Roman Bold">
    <w:panose1 w:val="02020603050405020304"/>
    <w:charset w:val="00"/>
    <w:family w:val="auto"/>
    <w:pitch w:val="default"/>
    <w:sig w:usb0="00000000" w:usb1="00000000" w:usb2="00000000" w:usb3="00000000" w:csb0="00000000" w:csb1="00000000"/>
  </w:font>
  <w:font w:name="Times New Roman Italic">
    <w:panose1 w:val="020206030504050203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Times New Roman Bold Italic">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UipxIQIAAGIEAAAOAAAAZHJz&#10;L2Uyb0RvYy54bWytVE2P2jAQvVfqf7B8LwlUXSFEWNFFVJVQdyW26tk4DrHkL9mGhP76PjuEXW17&#10;2EMvYTwzfjPvzZjlfa8VOQsfpDUVnU5KSoThtpbmWNGfz9tPc0pCZKZmyhpR0YsI9H718cOycwsx&#10;s61VtfAEICYsOlfRNka3KIrAW6FZmFgnDIKN9ZpFHP2xqD3rgK5VMSvLu6KzvnbechECvJshSK+I&#10;/j2AtmkkFxvLT1qYOKB6oVgEpdBKF+gqd9s0gsfHpgkiElVRMI35iyKwD+lbrJZscfTMtZJfW2Dv&#10;aeENJ82kQdEb1IZFRk5e/gWlJfc22CZOuNXFQCQrAhbT8o02+5Y5kblA6uBuoof/B8t/nJ88kTU2&#10;YUqJYRoTfxZ9JF9tT+CCPp0LC6TtHRJjDz9yR3+AM9HuG6/TLwgRxKHu5aZuQuPp0nw2n5cIccTG&#10;A/CLl+vOh/hNWE2SUVGP8WVV2XkX4pA6pqRqxm6lUnmEypCuonefv5T5wi0CcGVQI5EYmk1W7A/9&#10;ldnB1hcQ83ZYjeD4VqL4joX4xDx2AQ3jtcRHfBplUcReLUpa63//y5/yMSJEKemwWxU1eEqUqO8G&#10;owNgHA0/GofRMCf9YLGsmAZ6ySYu+KhGs/FW/8ITWqcaCDHDUamicTQf4rDfeIJcrNc56eS8PLbD&#10;BSyeY3Fn9o6nMknI4NanCDGzxkmgQZWrbli9PKXrM0m7/fqcs17+Gl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DKUipxIQIAAGIEAAAOAAAAAAAAAAEAIAAAADUBAABkcnMvZTJvRG9jLnht&#10;bFBLBQYAAAAABgAGAFkBAADI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DF6580"/>
    <w:rsid w:val="5EFB2C6B"/>
    <w:rsid w:val="5FCF6D10"/>
    <w:rsid w:val="65BD68CF"/>
    <w:rsid w:val="6FDFE8F2"/>
    <w:rsid w:val="7BDF5F09"/>
    <w:rsid w:val="7D6B84B3"/>
    <w:rsid w:val="7DFDC89F"/>
    <w:rsid w:val="7FB3735F"/>
    <w:rsid w:val="7FEDC18A"/>
    <w:rsid w:val="AFBC5E18"/>
    <w:rsid w:val="BD777616"/>
    <w:rsid w:val="BFDECEEF"/>
    <w:rsid w:val="D3FFADE2"/>
    <w:rsid w:val="DF77EE10"/>
    <w:rsid w:val="DFCAECCE"/>
    <w:rsid w:val="DFDF6580"/>
    <w:rsid w:val="F7F65E7A"/>
    <w:rsid w:val="FBC65958"/>
    <w:rsid w:val="FE7EB8A3"/>
    <w:rsid w:val="FF8D5CE4"/>
    <w:rsid w:val="FFBE8FDC"/>
    <w:rsid w:val="FFCBA6D7"/>
    <w:rsid w:val="FFF12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character" w:styleId="6">
    <w:name w:val="Strong"/>
    <w:basedOn w:val="2"/>
    <w:qFormat/>
    <w:uiPriority w:val="0"/>
    <w:rPr>
      <w:b/>
      <w:bCs/>
    </w:rPr>
  </w:style>
  <w:style w:type="table" w:styleId="7">
    <w:name w:val="Table Grid"/>
    <w:basedOn w:val="3"/>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Office_5.1.1.7662_F1E327BC-269C-435d-A152-05C5408002CA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2021-10-19T04:38:00Z</dcterms:created>
  <dc:creator>yaniqiu</dc:creator>
  <cp:lastModifiedBy>雅旎Yani</cp:lastModifiedBy>
  <dcterms:modified xsi:type="dcterms:W3CDTF">2023-04-05T15:51:31Z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1033-5.1.1.7662</vt:lpwstr>
  </property>
  <property fmtid="{D5CDD505-2E9C-101B-9397-08002B2CF9AE}" pid="3" name="ICV">
    <vt:lpwstr>08A5ECBAE380CF63463D2D64F4D998C9</vt:lpwstr>
  </property>
</Properties>
</file>