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D7EBD" w14:textId="45B7086B" w:rsidR="000434E7" w:rsidRDefault="001227B0" w:rsidP="000434E7">
      <w:pPr>
        <w:pStyle w:val="APAIndexedHeading1"/>
        <w:numPr>
          <w:ilvl w:val="0"/>
          <w:numId w:val="0"/>
        </w:numPr>
        <w:ind w:left="288"/>
        <w:rPr>
          <w:rFonts w:ascii="Calibri" w:hAnsi="Calibri" w:cs="Calibri"/>
          <w:sz w:val="22"/>
        </w:rPr>
      </w:pPr>
      <w:r>
        <w:rPr>
          <w:rFonts w:ascii="Calibri" w:hAnsi="Calibri" w:cs="Calibri"/>
          <w:sz w:val="22"/>
        </w:rPr>
        <w:t>Supplemental</w:t>
      </w:r>
      <w:r w:rsidR="008E4604">
        <w:rPr>
          <w:rFonts w:ascii="Calibri" w:hAnsi="Calibri" w:cs="Calibri"/>
          <w:sz w:val="22"/>
        </w:rPr>
        <w:t xml:space="preserve"> meta-analytic</w:t>
      </w:r>
      <w:r>
        <w:rPr>
          <w:rFonts w:ascii="Calibri" w:hAnsi="Calibri" w:cs="Calibri"/>
          <w:sz w:val="22"/>
        </w:rPr>
        <w:t xml:space="preserve"> r</w:t>
      </w:r>
      <w:r w:rsidR="00232972" w:rsidRPr="006E1B20">
        <w:rPr>
          <w:rFonts w:ascii="Calibri" w:hAnsi="Calibri" w:cs="Calibri"/>
          <w:sz w:val="22"/>
        </w:rPr>
        <w:t>esults</w:t>
      </w:r>
    </w:p>
    <w:p w14:paraId="40F9F3C9" w14:textId="1D73C267" w:rsidR="003064A9" w:rsidRPr="006E1B20" w:rsidRDefault="001227B0" w:rsidP="000434E7">
      <w:pPr>
        <w:pStyle w:val="APAIndexedHeading1"/>
        <w:numPr>
          <w:ilvl w:val="0"/>
          <w:numId w:val="0"/>
        </w:numPr>
        <w:ind w:left="288"/>
        <w:jc w:val="left"/>
        <w:rPr>
          <w:rFonts w:ascii="Calibri" w:hAnsi="Calibri" w:cs="Calibri"/>
          <w:sz w:val="22"/>
        </w:rPr>
      </w:pPr>
      <w:r>
        <w:rPr>
          <w:rFonts w:ascii="Calibri" w:hAnsi="Calibri" w:cs="Calibri"/>
          <w:sz w:val="22"/>
        </w:rPr>
        <w:t>Outcome selection</w:t>
      </w:r>
    </w:p>
    <w:p w14:paraId="400E1E81" w14:textId="77777777" w:rsidR="0097275D" w:rsidRDefault="003064A9" w:rsidP="00BB15B7">
      <w:pPr>
        <w:pStyle w:val="APANormal"/>
        <w:rPr>
          <w:rFonts w:ascii="Calibri" w:hAnsi="Calibri" w:cs="Calibri"/>
          <w:sz w:val="22"/>
          <w:szCs w:val="22"/>
          <w:lang w:val="en-GB"/>
        </w:rPr>
      </w:pPr>
      <w:r w:rsidRPr="006E1B20">
        <w:rPr>
          <w:rFonts w:ascii="Calibri" w:hAnsi="Calibri" w:cs="Calibri"/>
          <w:sz w:val="22"/>
          <w:szCs w:val="22"/>
          <w:lang w:val="en-GB"/>
        </w:rPr>
        <w:t>In terms of the studies reporting on craving, most of the studies used the Obsessive-Compulsive Drinking Scale (OCDS) to assess craving</w:t>
      </w:r>
      <w:r w:rsidR="0097275D">
        <w:rPr>
          <w:rFonts w:ascii="Calibri" w:hAnsi="Calibri" w:cs="Calibri"/>
          <w:sz w:val="22"/>
          <w:szCs w:val="22"/>
          <w:lang w:val="en-GB"/>
        </w:rPr>
        <w:t>, which was selected as the first hierarchical choice</w:t>
      </w:r>
      <w:r w:rsidRPr="006E1B20">
        <w:rPr>
          <w:rFonts w:ascii="Calibri" w:hAnsi="Calibri" w:cs="Calibri"/>
          <w:sz w:val="22"/>
          <w:szCs w:val="22"/>
          <w:lang w:val="en-GB"/>
        </w:rPr>
        <w:t xml:space="preserve"> (</w:t>
      </w:r>
      <w:r w:rsidR="004F2FAF" w:rsidRPr="006E1B20">
        <w:rPr>
          <w:rFonts w:ascii="Calibri" w:hAnsi="Calibri" w:cs="Calibri"/>
          <w:i/>
          <w:iCs/>
          <w:sz w:val="22"/>
          <w:szCs w:val="22"/>
          <w:lang w:val="en-GB"/>
        </w:rPr>
        <w:t>k</w:t>
      </w:r>
      <w:r w:rsidRPr="006E1B20">
        <w:rPr>
          <w:rFonts w:ascii="Calibri" w:hAnsi="Calibri" w:cs="Calibri"/>
          <w:sz w:val="22"/>
          <w:szCs w:val="22"/>
          <w:lang w:val="en-GB"/>
        </w:rPr>
        <w:t xml:space="preserve"> = 3</w:t>
      </w:r>
      <w:r w:rsidR="0013715F">
        <w:rPr>
          <w:rFonts w:ascii="Calibri" w:hAnsi="Calibri" w:cs="Calibri"/>
          <w:sz w:val="22"/>
          <w:szCs w:val="22"/>
          <w:lang w:val="en-GB"/>
        </w:rPr>
        <w:t>; see Table S1</w:t>
      </w:r>
      <w:r w:rsidRPr="006E1B20">
        <w:rPr>
          <w:rFonts w:ascii="Calibri" w:hAnsi="Calibri" w:cs="Calibri"/>
          <w:sz w:val="22"/>
          <w:szCs w:val="22"/>
          <w:lang w:val="en-GB"/>
        </w:rPr>
        <w:t xml:space="preserve">). However, two of these studies did not provide adequate information on OCDS </w:t>
      </w:r>
      <w:r w:rsidR="004F2FAF" w:rsidRPr="006E1B20">
        <w:rPr>
          <w:rFonts w:ascii="Calibri" w:hAnsi="Calibri" w:cs="Calibri"/>
          <w:sz w:val="22"/>
          <w:szCs w:val="22"/>
          <w:lang w:val="en-GB"/>
        </w:rPr>
        <w:t xml:space="preserve">scale </w:t>
      </w:r>
      <w:r w:rsidRPr="006E1B20">
        <w:rPr>
          <w:rFonts w:ascii="Calibri" w:hAnsi="Calibri" w:cs="Calibri"/>
          <w:sz w:val="22"/>
          <w:szCs w:val="22"/>
          <w:lang w:val="en-GB"/>
        </w:rPr>
        <w:t xml:space="preserve">scores that could be used for </w:t>
      </w:r>
      <w:r w:rsidR="00450144" w:rsidRPr="006E1B20">
        <w:rPr>
          <w:rFonts w:ascii="Calibri" w:hAnsi="Calibri" w:cs="Calibri"/>
          <w:sz w:val="22"/>
          <w:szCs w:val="22"/>
          <w:lang w:val="en-GB"/>
        </w:rPr>
        <w:t>the</w:t>
      </w:r>
      <w:r w:rsidRPr="006E1B20">
        <w:rPr>
          <w:rFonts w:ascii="Calibri" w:hAnsi="Calibri" w:cs="Calibri"/>
          <w:sz w:val="22"/>
          <w:szCs w:val="22"/>
          <w:lang w:val="en-GB"/>
        </w:rPr>
        <w:t xml:space="preserve"> synthesis </w:t>
      </w:r>
      <w:r w:rsidRPr="006E1B20">
        <w:rPr>
          <w:rFonts w:ascii="Calibri" w:eastAsiaTheme="minorHAnsi" w:hAnsi="Calibri" w:cs="Calibri"/>
          <w:sz w:val="22"/>
          <w:szCs w:val="22"/>
          <w:lang w:val="en-GB"/>
          <w14:ligatures w14:val="standardContextual"/>
        </w:rPr>
        <w:t>(Kvamme et al., 2019; Stein et al</w:t>
      </w:r>
      <w:r w:rsidRPr="0013715F">
        <w:rPr>
          <w:rFonts w:ascii="Calibri" w:eastAsiaTheme="minorHAnsi" w:hAnsi="Calibri" w:cs="Calibri"/>
          <w:sz w:val="22"/>
          <w:szCs w:val="22"/>
          <w:lang w:val="en-GB"/>
          <w14:ligatures w14:val="standardContextual"/>
        </w:rPr>
        <w:t>., 2023</w:t>
      </w:r>
      <w:r w:rsidR="0013715F" w:rsidRPr="0013715F">
        <w:rPr>
          <w:rFonts w:ascii="Calibri" w:eastAsiaTheme="minorHAnsi" w:hAnsi="Calibri" w:cs="Calibri"/>
          <w:sz w:val="22"/>
          <w:szCs w:val="22"/>
          <w:lang w:val="en-GB"/>
          <w14:ligatures w14:val="standardContextual"/>
        </w:rPr>
        <w:t>)</w:t>
      </w:r>
      <w:r w:rsidR="0013715F">
        <w:rPr>
          <w:rFonts w:ascii="Calibri" w:eastAsiaTheme="minorHAnsi" w:hAnsi="Calibri" w:cs="Calibri"/>
          <w:sz w:val="22"/>
          <w:szCs w:val="22"/>
          <w:lang w:val="en-GB"/>
          <w14:ligatures w14:val="standardContextual"/>
        </w:rPr>
        <w:t>.</w:t>
      </w:r>
      <w:r w:rsidR="0013715F" w:rsidRPr="0013715F">
        <w:rPr>
          <w:rFonts w:ascii="Calibri" w:hAnsi="Calibri" w:cs="Calibri"/>
          <w:sz w:val="22"/>
          <w:szCs w:val="22"/>
        </w:rPr>
        <w:t xml:space="preserve"> Th</w:t>
      </w:r>
      <w:r w:rsidR="0013715F" w:rsidRPr="0013715F">
        <w:rPr>
          <w:rFonts w:ascii="Calibri" w:eastAsiaTheme="minorHAnsi" w:hAnsi="Calibri" w:cs="Calibri"/>
          <w:sz w:val="22"/>
          <w:szCs w:val="22"/>
          <w:lang w:val="en-GB"/>
          <w14:ligatures w14:val="standardContextual"/>
        </w:rPr>
        <w:t>e corresponding authors were therefore contacted, and the missing data were provided.</w:t>
      </w:r>
    </w:p>
    <w:p w14:paraId="776839A7" w14:textId="2DC32B70" w:rsidR="001227B0" w:rsidRPr="00ED0092" w:rsidRDefault="0097275D" w:rsidP="00ED0092">
      <w:pPr>
        <w:pStyle w:val="APANormal"/>
        <w:rPr>
          <w:rFonts w:ascii="Calibri" w:hAnsi="Calibri" w:cs="Calibri"/>
          <w:sz w:val="22"/>
          <w:szCs w:val="22"/>
          <w:lang w:val="en-GB"/>
        </w:rPr>
      </w:pPr>
      <w:r>
        <w:rPr>
          <w:rFonts w:ascii="Calibri" w:hAnsi="Calibri" w:cs="Calibri"/>
          <w:sz w:val="22"/>
          <w:szCs w:val="22"/>
          <w:lang w:val="en-GB"/>
        </w:rPr>
        <w:t>T</w:t>
      </w:r>
      <w:r w:rsidR="003064A9" w:rsidRPr="006E1B20">
        <w:rPr>
          <w:rFonts w:ascii="Calibri" w:hAnsi="Calibri" w:cs="Calibri"/>
          <w:sz w:val="22"/>
          <w:szCs w:val="22"/>
          <w:lang w:val="en-GB"/>
        </w:rPr>
        <w:t xml:space="preserve">he Alcohol Craving Questionnaire-Short Form (ACQ-SF-R) was selected as </w:t>
      </w:r>
      <w:r w:rsidR="00450144" w:rsidRPr="006E1B20">
        <w:rPr>
          <w:rFonts w:ascii="Calibri" w:hAnsi="Calibri" w:cs="Calibri"/>
          <w:sz w:val="22"/>
          <w:szCs w:val="22"/>
          <w:lang w:val="en-GB"/>
        </w:rPr>
        <w:t>the</w:t>
      </w:r>
      <w:r w:rsidR="003064A9" w:rsidRPr="006E1B20">
        <w:rPr>
          <w:rFonts w:ascii="Calibri" w:hAnsi="Calibri" w:cs="Calibri"/>
          <w:sz w:val="22"/>
          <w:szCs w:val="22"/>
          <w:lang w:val="en-GB"/>
        </w:rPr>
        <w:t xml:space="preserve"> second </w:t>
      </w:r>
      <w:r>
        <w:rPr>
          <w:rFonts w:ascii="Calibri" w:hAnsi="Calibri" w:cs="Calibri"/>
          <w:sz w:val="22"/>
          <w:szCs w:val="22"/>
          <w:lang w:val="en-GB"/>
        </w:rPr>
        <w:t xml:space="preserve">hierarchical </w:t>
      </w:r>
      <w:r w:rsidR="003064A9" w:rsidRPr="006E1B20">
        <w:rPr>
          <w:rFonts w:ascii="Calibri" w:hAnsi="Calibri" w:cs="Calibri"/>
          <w:sz w:val="22"/>
          <w:szCs w:val="22"/>
          <w:lang w:val="en-GB"/>
        </w:rPr>
        <w:t xml:space="preserve">choice </w:t>
      </w:r>
      <w:r w:rsidR="003064A9" w:rsidRPr="006E1B20">
        <w:rPr>
          <w:rFonts w:ascii="Calibri" w:eastAsiaTheme="minorHAnsi" w:hAnsi="Calibri" w:cs="Calibri"/>
          <w:sz w:val="22"/>
          <w:szCs w:val="22"/>
          <w:lang w:val="en-GB"/>
          <w14:ligatures w14:val="standardContextual"/>
        </w:rPr>
        <w:t>(</w:t>
      </w:r>
      <w:r w:rsidR="004F2FAF" w:rsidRPr="006E1B20">
        <w:rPr>
          <w:rFonts w:ascii="Calibri" w:eastAsiaTheme="minorHAnsi" w:hAnsi="Calibri" w:cs="Calibri"/>
          <w:i/>
          <w:iCs/>
          <w:sz w:val="22"/>
          <w:szCs w:val="22"/>
          <w:lang w:val="en-GB"/>
          <w14:ligatures w14:val="standardContextual"/>
        </w:rPr>
        <w:t>k</w:t>
      </w:r>
      <w:r w:rsidR="003064A9" w:rsidRPr="006E1B20">
        <w:rPr>
          <w:rFonts w:ascii="Calibri" w:eastAsiaTheme="minorHAnsi" w:hAnsi="Calibri" w:cs="Calibri"/>
          <w:sz w:val="22"/>
          <w:szCs w:val="22"/>
          <w:lang w:val="en-GB"/>
          <w14:ligatures w14:val="standardContextual"/>
        </w:rPr>
        <w:t xml:space="preserve"> = 2; Garfield et al., 2022; Manning et al., 2016)</w:t>
      </w:r>
      <w:r w:rsidR="003064A9" w:rsidRPr="006E1B20">
        <w:rPr>
          <w:rFonts w:ascii="Calibri" w:hAnsi="Calibri" w:cs="Calibri"/>
          <w:sz w:val="22"/>
          <w:szCs w:val="22"/>
          <w:lang w:val="en-GB"/>
        </w:rPr>
        <w:t xml:space="preserve">. </w:t>
      </w:r>
      <w:r w:rsidRPr="0097275D">
        <w:rPr>
          <w:rFonts w:ascii="Calibri" w:hAnsi="Calibri" w:cs="Calibri"/>
          <w:sz w:val="22"/>
          <w:szCs w:val="22"/>
          <w:lang w:val="en-GB"/>
        </w:rPr>
        <w:t>The remaining craving measures were each reported by a single study and included the Desires for Alcohol Questionnaire (DAQ; Schoenmakers et al., 2010), the Penn Alcohol Craving Scale (PACS; Uyl et al., 2018), a subjective craving scale (Dubuson et al., 2021), and craving assessed using a visual analogue scale (VAS; Wiers et al., 2011).</w:t>
      </w:r>
      <w:r>
        <w:rPr>
          <w:rFonts w:ascii="Calibri" w:hAnsi="Calibri" w:cs="Calibri"/>
          <w:sz w:val="22"/>
          <w:szCs w:val="22"/>
          <w:lang w:val="en-GB"/>
        </w:rPr>
        <w:t xml:space="preserve"> </w:t>
      </w:r>
      <w:r w:rsidRPr="0097275D">
        <w:rPr>
          <w:rFonts w:ascii="Calibri" w:hAnsi="Calibri" w:cs="Calibri"/>
          <w:sz w:val="22"/>
          <w:szCs w:val="22"/>
          <w:lang w:val="en-GB"/>
        </w:rPr>
        <w:t>No lower ranking was imposed among these single-study measures. For Schoenmakers et al. (2010), a composite score was calculated from the reported DAQ subscale scores and used in the analysis.</w:t>
      </w:r>
      <w:r w:rsidR="003064A9" w:rsidRPr="006E1B20">
        <w:rPr>
          <w:rFonts w:ascii="Calibri" w:hAnsi="Calibri" w:cs="Calibri"/>
          <w:sz w:val="22"/>
          <w:szCs w:val="22"/>
          <w:lang w:val="en-GB"/>
        </w:rPr>
        <w:t xml:space="preserve"> This resulted in a total of nine studies that were included in </w:t>
      </w:r>
      <w:r w:rsidR="00450144" w:rsidRPr="006E1B20">
        <w:rPr>
          <w:rFonts w:ascii="Calibri" w:hAnsi="Calibri" w:cs="Calibri"/>
          <w:sz w:val="22"/>
          <w:szCs w:val="22"/>
          <w:lang w:val="en-GB"/>
        </w:rPr>
        <w:t>the</w:t>
      </w:r>
      <w:r w:rsidR="003064A9" w:rsidRPr="006E1B20">
        <w:rPr>
          <w:rFonts w:ascii="Calibri" w:hAnsi="Calibri" w:cs="Calibri"/>
          <w:sz w:val="22"/>
          <w:szCs w:val="22"/>
          <w:lang w:val="en-GB"/>
        </w:rPr>
        <w:t xml:space="preserve"> analysis of the effects on craving.</w:t>
      </w:r>
    </w:p>
    <w:p w14:paraId="32A86216" w14:textId="7CF5A92E" w:rsidR="008910D2" w:rsidRPr="006E1B20" w:rsidRDefault="008910D2" w:rsidP="00103F24">
      <w:pPr>
        <w:pStyle w:val="APATableTitle"/>
        <w:tabs>
          <w:tab w:val="clear" w:pos="8640"/>
        </w:tabs>
        <w:spacing w:before="120" w:after="120" w:line="360" w:lineRule="auto"/>
        <w:rPr>
          <w:rFonts w:ascii="Calibri" w:hAnsi="Calibri" w:cs="Calibri"/>
          <w:b/>
          <w:bCs/>
          <w:sz w:val="22"/>
          <w:szCs w:val="22"/>
          <w:lang w:val="en-GB"/>
        </w:rPr>
      </w:pPr>
      <w:r w:rsidRPr="006E1B20">
        <w:rPr>
          <w:rFonts w:ascii="Calibri" w:hAnsi="Calibri" w:cs="Calibri"/>
          <w:b/>
          <w:bCs/>
          <w:sz w:val="22"/>
          <w:szCs w:val="22"/>
          <w:lang w:val="en-GB"/>
        </w:rPr>
        <w:t>Table S</w:t>
      </w:r>
      <w:r w:rsidR="00234830">
        <w:rPr>
          <w:rFonts w:ascii="Calibri" w:hAnsi="Calibri" w:cs="Calibri"/>
          <w:b/>
          <w:bCs/>
          <w:sz w:val="22"/>
          <w:szCs w:val="22"/>
          <w:lang w:val="en-GB"/>
        </w:rPr>
        <w:t>1</w:t>
      </w:r>
    </w:p>
    <w:p w14:paraId="4D6AA3CB" w14:textId="58DD177B" w:rsidR="008910D2" w:rsidRPr="006E1B20" w:rsidRDefault="00F67C8F" w:rsidP="00103F24">
      <w:pPr>
        <w:pStyle w:val="APANormal"/>
        <w:spacing w:line="360" w:lineRule="auto"/>
        <w:ind w:firstLine="0"/>
        <w:rPr>
          <w:rFonts w:ascii="Calibri" w:hAnsi="Calibri" w:cs="Calibri"/>
          <w:i/>
          <w:iCs/>
          <w:sz w:val="22"/>
          <w:szCs w:val="22"/>
          <w:lang w:val="en-GB"/>
        </w:rPr>
      </w:pPr>
      <w:r w:rsidRPr="006E1B20">
        <w:rPr>
          <w:rFonts w:ascii="Calibri" w:hAnsi="Calibri" w:cs="Calibri"/>
          <w:i/>
          <w:iCs/>
          <w:sz w:val="22"/>
          <w:szCs w:val="22"/>
          <w:lang w:val="en-GB"/>
        </w:rPr>
        <w:t>Study identifiers, e</w:t>
      </w:r>
      <w:r w:rsidR="008910D2" w:rsidRPr="006E1B20">
        <w:rPr>
          <w:rFonts w:ascii="Calibri" w:hAnsi="Calibri" w:cs="Calibri"/>
          <w:i/>
          <w:iCs/>
          <w:sz w:val="22"/>
          <w:szCs w:val="22"/>
          <w:lang w:val="en-GB"/>
        </w:rPr>
        <w:t>xtracted outcome measures</w:t>
      </w:r>
      <w:r w:rsidRPr="006E1B20">
        <w:rPr>
          <w:rFonts w:ascii="Calibri" w:hAnsi="Calibri" w:cs="Calibri"/>
          <w:i/>
          <w:iCs/>
          <w:sz w:val="22"/>
          <w:szCs w:val="22"/>
          <w:lang w:val="en-GB"/>
        </w:rPr>
        <w:t xml:space="preserve">, and </w:t>
      </w:r>
      <w:r w:rsidR="008910D2" w:rsidRPr="006E1B20">
        <w:rPr>
          <w:rFonts w:ascii="Calibri" w:hAnsi="Calibri" w:cs="Calibri"/>
          <w:i/>
          <w:iCs/>
          <w:sz w:val="22"/>
          <w:szCs w:val="22"/>
          <w:lang w:val="en-GB"/>
        </w:rPr>
        <w:t>stratification</w:t>
      </w:r>
      <w:r w:rsidRPr="006E1B20">
        <w:rPr>
          <w:rFonts w:ascii="Calibri" w:hAnsi="Calibri" w:cs="Calibri"/>
          <w:i/>
          <w:iCs/>
          <w:sz w:val="22"/>
          <w:szCs w:val="22"/>
          <w:lang w:val="en-GB"/>
        </w:rPr>
        <w:t xml:space="preserve"> </w:t>
      </w:r>
      <w:r w:rsidR="008910D2" w:rsidRPr="006E1B20">
        <w:rPr>
          <w:rFonts w:ascii="Calibri" w:hAnsi="Calibri" w:cs="Calibri"/>
          <w:i/>
          <w:iCs/>
          <w:sz w:val="22"/>
          <w:szCs w:val="22"/>
          <w:lang w:val="en-GB"/>
        </w:rPr>
        <w:t xml:space="preserve">used for </w:t>
      </w:r>
      <w:r w:rsidR="00CB44E9" w:rsidRPr="006E1B20">
        <w:rPr>
          <w:rFonts w:ascii="Calibri" w:hAnsi="Calibri" w:cs="Calibri"/>
          <w:i/>
          <w:iCs/>
          <w:sz w:val="22"/>
          <w:szCs w:val="22"/>
          <w:lang w:val="en-GB"/>
        </w:rPr>
        <w:t>the quantitative syntheses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23"/>
        <w:gridCol w:w="1402"/>
        <w:gridCol w:w="1857"/>
        <w:gridCol w:w="1972"/>
        <w:gridCol w:w="1714"/>
        <w:gridCol w:w="1352"/>
      </w:tblGrid>
      <w:tr w:rsidR="00E35E8F" w:rsidRPr="006E1B20" w14:paraId="097010CA" w14:textId="52BBF1DE" w:rsidTr="00F1063F">
        <w:trPr>
          <w:trHeight w:val="995"/>
          <w:tblHeader/>
        </w:trPr>
        <w:tc>
          <w:tcPr>
            <w:tcW w:w="723" w:type="dxa"/>
            <w:tcBorders>
              <w:top w:val="single" w:sz="4" w:space="0" w:color="auto"/>
              <w:bottom w:val="single" w:sz="4" w:space="0" w:color="auto"/>
            </w:tcBorders>
          </w:tcPr>
          <w:p w14:paraId="7917C233" w14:textId="1AC5A50B" w:rsidR="00E35E8F" w:rsidRPr="006E1B20" w:rsidRDefault="00E35E8F" w:rsidP="00E35E8F">
            <w:pPr>
              <w:pStyle w:val="APANormal"/>
              <w:spacing w:before="240" w:line="276" w:lineRule="auto"/>
              <w:ind w:firstLine="0"/>
              <w:rPr>
                <w:rFonts w:ascii="Calibri" w:hAnsi="Calibri" w:cs="Calibri"/>
                <w:sz w:val="22"/>
                <w:szCs w:val="22"/>
                <w:lang w:val="en-GB"/>
              </w:rPr>
            </w:pPr>
            <w:r w:rsidRPr="006E1B20">
              <w:rPr>
                <w:rFonts w:ascii="Calibri" w:hAnsi="Calibri" w:cs="Calibri"/>
                <w:sz w:val="22"/>
                <w:szCs w:val="22"/>
                <w:lang w:val="en-GB"/>
              </w:rPr>
              <w:t>Study ID</w:t>
            </w:r>
          </w:p>
        </w:tc>
        <w:tc>
          <w:tcPr>
            <w:tcW w:w="1402" w:type="dxa"/>
            <w:tcBorders>
              <w:top w:val="single" w:sz="4" w:space="0" w:color="auto"/>
              <w:bottom w:val="single" w:sz="4" w:space="0" w:color="auto"/>
            </w:tcBorders>
          </w:tcPr>
          <w:p w14:paraId="5C9987DE" w14:textId="186065A9" w:rsidR="00E35E8F" w:rsidRPr="006E1B20" w:rsidRDefault="00E35E8F" w:rsidP="00E35E8F">
            <w:pPr>
              <w:pStyle w:val="APANormal"/>
              <w:spacing w:before="240" w:line="276" w:lineRule="auto"/>
              <w:ind w:firstLine="0"/>
              <w:rPr>
                <w:rFonts w:ascii="Calibri" w:hAnsi="Calibri" w:cs="Calibri"/>
                <w:sz w:val="22"/>
                <w:szCs w:val="22"/>
                <w:lang w:val="en-GB"/>
              </w:rPr>
            </w:pPr>
            <w:r w:rsidRPr="006E1B20">
              <w:rPr>
                <w:rFonts w:ascii="Calibri" w:hAnsi="Calibri" w:cs="Calibri"/>
                <w:sz w:val="22"/>
                <w:szCs w:val="22"/>
                <w:lang w:val="en-GB"/>
              </w:rPr>
              <w:t>Author (year)</w:t>
            </w:r>
          </w:p>
        </w:tc>
        <w:tc>
          <w:tcPr>
            <w:tcW w:w="1857" w:type="dxa"/>
            <w:tcBorders>
              <w:top w:val="single" w:sz="4" w:space="0" w:color="auto"/>
              <w:bottom w:val="single" w:sz="4" w:space="0" w:color="auto"/>
            </w:tcBorders>
          </w:tcPr>
          <w:p w14:paraId="08FE49C9" w14:textId="494600E1" w:rsidR="00E35E8F" w:rsidRPr="006E1B20" w:rsidRDefault="00E35E8F" w:rsidP="00E35E8F">
            <w:pPr>
              <w:pStyle w:val="APANormal"/>
              <w:spacing w:before="240" w:line="276" w:lineRule="auto"/>
              <w:ind w:firstLine="0"/>
              <w:rPr>
                <w:rFonts w:ascii="Calibri" w:hAnsi="Calibri" w:cs="Calibri"/>
                <w:sz w:val="22"/>
                <w:szCs w:val="22"/>
                <w:lang w:val="en-GB"/>
              </w:rPr>
            </w:pPr>
            <w:r w:rsidRPr="006E1B20">
              <w:rPr>
                <w:rFonts w:ascii="Calibri" w:hAnsi="Calibri" w:cs="Calibri"/>
                <w:sz w:val="22"/>
                <w:szCs w:val="22"/>
                <w:lang w:val="en-GB"/>
              </w:rPr>
              <w:t xml:space="preserve">Stratification for </w:t>
            </w:r>
            <w:r w:rsidR="00D70D67" w:rsidRPr="006E1B20">
              <w:rPr>
                <w:rFonts w:ascii="Calibri" w:hAnsi="Calibri" w:cs="Calibri"/>
                <w:sz w:val="22"/>
                <w:szCs w:val="22"/>
                <w:lang w:val="en-GB"/>
              </w:rPr>
              <w:t>cognitive</w:t>
            </w:r>
            <w:r w:rsidR="00F1063F">
              <w:rPr>
                <w:rFonts w:ascii="Calibri" w:hAnsi="Calibri" w:cs="Calibri"/>
                <w:sz w:val="22"/>
                <w:szCs w:val="22"/>
                <w:lang w:val="en-GB"/>
              </w:rPr>
              <w:t xml:space="preserve"> </w:t>
            </w:r>
            <w:r w:rsidRPr="006E1B20">
              <w:rPr>
                <w:rFonts w:ascii="Calibri" w:hAnsi="Calibri" w:cs="Calibri"/>
                <w:sz w:val="22"/>
                <w:szCs w:val="22"/>
                <w:lang w:val="en-GB"/>
              </w:rPr>
              <w:t>systems</w:t>
            </w:r>
          </w:p>
        </w:tc>
        <w:tc>
          <w:tcPr>
            <w:tcW w:w="1972" w:type="dxa"/>
            <w:tcBorders>
              <w:top w:val="single" w:sz="4" w:space="0" w:color="auto"/>
              <w:bottom w:val="single" w:sz="4" w:space="0" w:color="auto"/>
            </w:tcBorders>
          </w:tcPr>
          <w:p w14:paraId="1E615A58" w14:textId="5D2DEFED" w:rsidR="00E35E8F" w:rsidRPr="006E1B20" w:rsidRDefault="00E35E8F" w:rsidP="00E35E8F">
            <w:pPr>
              <w:pStyle w:val="APANormal"/>
              <w:spacing w:before="240" w:line="276" w:lineRule="auto"/>
              <w:ind w:firstLine="0"/>
              <w:rPr>
                <w:rFonts w:ascii="Calibri" w:hAnsi="Calibri" w:cs="Calibri"/>
                <w:sz w:val="22"/>
                <w:szCs w:val="22"/>
                <w:lang w:val="en-GB"/>
              </w:rPr>
            </w:pPr>
            <w:r w:rsidRPr="006E1B20">
              <w:rPr>
                <w:rFonts w:ascii="Calibri" w:hAnsi="Calibri" w:cs="Calibri"/>
                <w:sz w:val="22"/>
                <w:szCs w:val="22"/>
                <w:lang w:val="en-GB"/>
              </w:rPr>
              <w:t xml:space="preserve">Stratification for </w:t>
            </w:r>
            <w:r w:rsidR="00D70D67" w:rsidRPr="006E1B20">
              <w:rPr>
                <w:rFonts w:ascii="Calibri" w:hAnsi="Calibri" w:cs="Calibri"/>
                <w:sz w:val="22"/>
                <w:szCs w:val="22"/>
                <w:lang w:val="en-GB"/>
              </w:rPr>
              <w:t>intervention types</w:t>
            </w:r>
          </w:p>
        </w:tc>
        <w:tc>
          <w:tcPr>
            <w:tcW w:w="1714" w:type="dxa"/>
            <w:tcBorders>
              <w:top w:val="single" w:sz="4" w:space="0" w:color="auto"/>
              <w:bottom w:val="single" w:sz="4" w:space="0" w:color="auto"/>
            </w:tcBorders>
          </w:tcPr>
          <w:p w14:paraId="2F0FBA6F" w14:textId="3EC21016" w:rsidR="00E35E8F" w:rsidRPr="006E1B20" w:rsidRDefault="00E35E8F" w:rsidP="00E35E8F">
            <w:pPr>
              <w:pStyle w:val="APANormal"/>
              <w:spacing w:before="240" w:line="276" w:lineRule="auto"/>
              <w:ind w:firstLine="0"/>
              <w:rPr>
                <w:rFonts w:ascii="Calibri" w:hAnsi="Calibri" w:cs="Calibri"/>
                <w:sz w:val="22"/>
                <w:szCs w:val="22"/>
                <w:lang w:val="en-GB"/>
              </w:rPr>
            </w:pPr>
            <w:r w:rsidRPr="006E1B20">
              <w:rPr>
                <w:rFonts w:ascii="Calibri" w:hAnsi="Calibri" w:cs="Calibri"/>
                <w:sz w:val="22"/>
                <w:szCs w:val="22"/>
                <w:lang w:val="en-GB"/>
              </w:rPr>
              <w:t>Outcome measure</w:t>
            </w:r>
            <w:r w:rsidR="006144F9" w:rsidRPr="006E1B20">
              <w:rPr>
                <w:rFonts w:ascii="Calibri" w:hAnsi="Calibri" w:cs="Calibri"/>
                <w:sz w:val="22"/>
                <w:szCs w:val="22"/>
                <w:lang w:val="en-GB"/>
              </w:rPr>
              <w:t>s</w:t>
            </w:r>
          </w:p>
        </w:tc>
        <w:tc>
          <w:tcPr>
            <w:tcW w:w="1352" w:type="dxa"/>
            <w:tcBorders>
              <w:top w:val="single" w:sz="4" w:space="0" w:color="auto"/>
              <w:bottom w:val="single" w:sz="4" w:space="0" w:color="auto"/>
            </w:tcBorders>
          </w:tcPr>
          <w:p w14:paraId="4AFF86CF" w14:textId="3E0C39A5" w:rsidR="00E35E8F" w:rsidRPr="006E1B20" w:rsidRDefault="00E35E8F" w:rsidP="00E35E8F">
            <w:pPr>
              <w:pStyle w:val="APANormal"/>
              <w:spacing w:before="240" w:line="276" w:lineRule="auto"/>
              <w:ind w:firstLine="0"/>
              <w:rPr>
                <w:rFonts w:ascii="Calibri" w:hAnsi="Calibri" w:cs="Calibri"/>
                <w:sz w:val="22"/>
                <w:szCs w:val="22"/>
                <w:lang w:val="en-GB"/>
              </w:rPr>
            </w:pPr>
            <w:r w:rsidRPr="006E1B20">
              <w:rPr>
                <w:rFonts w:ascii="Calibri" w:hAnsi="Calibri" w:cs="Calibri"/>
                <w:sz w:val="22"/>
                <w:szCs w:val="22"/>
                <w:lang w:val="en-GB"/>
              </w:rPr>
              <w:t>Follow-up time point</w:t>
            </w:r>
          </w:p>
        </w:tc>
      </w:tr>
      <w:tr w:rsidR="00315A19" w:rsidRPr="006E1B20" w14:paraId="393539A5" w14:textId="59C8E0F5" w:rsidTr="00F1063F">
        <w:trPr>
          <w:trHeight w:val="796"/>
        </w:trPr>
        <w:tc>
          <w:tcPr>
            <w:tcW w:w="723" w:type="dxa"/>
            <w:tcBorders>
              <w:top w:val="single" w:sz="4" w:space="0" w:color="auto"/>
            </w:tcBorders>
          </w:tcPr>
          <w:p w14:paraId="5AD100E9" w14:textId="2CEB5C6C" w:rsidR="00E35E8F" w:rsidRPr="000766EB" w:rsidRDefault="00E35E8F" w:rsidP="00E35E8F">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1</w:t>
            </w:r>
          </w:p>
        </w:tc>
        <w:tc>
          <w:tcPr>
            <w:tcW w:w="1402" w:type="dxa"/>
            <w:tcBorders>
              <w:top w:val="single" w:sz="4" w:space="0" w:color="auto"/>
            </w:tcBorders>
          </w:tcPr>
          <w:p w14:paraId="2B40CE68" w14:textId="1B84FD47" w:rsidR="00E35E8F" w:rsidRPr="000766EB" w:rsidRDefault="00E35E8F" w:rsidP="00E35E8F">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Chen et al. (2022)</w:t>
            </w:r>
          </w:p>
        </w:tc>
        <w:tc>
          <w:tcPr>
            <w:tcW w:w="1857" w:type="dxa"/>
            <w:tcBorders>
              <w:top w:val="single" w:sz="4" w:space="0" w:color="auto"/>
            </w:tcBorders>
          </w:tcPr>
          <w:p w14:paraId="703B2805" w14:textId="42A46AC2" w:rsidR="00E35E8F" w:rsidRPr="000766EB" w:rsidRDefault="00E35E8F"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Borders>
              <w:top w:val="single" w:sz="4" w:space="0" w:color="auto"/>
            </w:tcBorders>
          </w:tcPr>
          <w:p w14:paraId="287B4985" w14:textId="2739A8CD" w:rsidR="00E35E8F" w:rsidRPr="000766EB" w:rsidRDefault="00E35E8F" w:rsidP="00E35E8F">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Approach bias</w:t>
            </w:r>
            <w:r w:rsidR="00D70D67" w:rsidRPr="000766EB">
              <w:rPr>
                <w:rFonts w:ascii="Calibri" w:hAnsi="Calibri" w:cs="Calibri"/>
                <w:sz w:val="20"/>
                <w:szCs w:val="20"/>
                <w:lang w:val="en-GB"/>
              </w:rPr>
              <w:t xml:space="preserve"> modification</w:t>
            </w:r>
          </w:p>
        </w:tc>
        <w:tc>
          <w:tcPr>
            <w:tcW w:w="1714" w:type="dxa"/>
            <w:tcBorders>
              <w:top w:val="single" w:sz="4" w:space="0" w:color="auto"/>
            </w:tcBorders>
          </w:tcPr>
          <w:p w14:paraId="1509EF7D" w14:textId="058E83AC" w:rsidR="00E35E8F" w:rsidRPr="000766EB" w:rsidRDefault="00E35E8F" w:rsidP="00E35E8F">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Relapse rate</w:t>
            </w:r>
          </w:p>
        </w:tc>
        <w:tc>
          <w:tcPr>
            <w:tcW w:w="1352" w:type="dxa"/>
            <w:tcBorders>
              <w:top w:val="single" w:sz="4" w:space="0" w:color="auto"/>
            </w:tcBorders>
          </w:tcPr>
          <w:p w14:paraId="7F560DEC" w14:textId="760C51D8" w:rsidR="00E35E8F" w:rsidRPr="000766EB" w:rsidRDefault="00E35E8F" w:rsidP="00E35E8F">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6 months</w:t>
            </w:r>
          </w:p>
        </w:tc>
      </w:tr>
      <w:tr w:rsidR="00D41BD8" w:rsidRPr="006E1B20" w14:paraId="6EA0C882" w14:textId="77777777" w:rsidTr="00F1063F">
        <w:trPr>
          <w:trHeight w:val="1001"/>
        </w:trPr>
        <w:tc>
          <w:tcPr>
            <w:tcW w:w="723" w:type="dxa"/>
          </w:tcPr>
          <w:p w14:paraId="040F53E4" w14:textId="5962F3F2" w:rsidR="00D41BD8" w:rsidRPr="000766EB" w:rsidRDefault="00D41BD8" w:rsidP="00D41BD8">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2a</w:t>
            </w:r>
          </w:p>
        </w:tc>
        <w:tc>
          <w:tcPr>
            <w:tcW w:w="1402" w:type="dxa"/>
          </w:tcPr>
          <w:p w14:paraId="5B1216B0" w14:textId="2596B93D" w:rsidR="00D41BD8" w:rsidRPr="000766EB" w:rsidRDefault="00D41BD8" w:rsidP="00D41BD8">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Uyl et al. (2018)</w:t>
            </w:r>
          </w:p>
        </w:tc>
        <w:tc>
          <w:tcPr>
            <w:tcW w:w="1857" w:type="dxa"/>
          </w:tcPr>
          <w:p w14:paraId="5FFD3501" w14:textId="38A05FEE" w:rsidR="00D41BD8" w:rsidRPr="000766EB" w:rsidRDefault="00D41BD8"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Pr>
          <w:p w14:paraId="0FE743C1" w14:textId="2695445B" w:rsidR="00D41BD8" w:rsidRPr="000766EB" w:rsidRDefault="00D70D67" w:rsidP="00D41BD8">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Attentional bias modification</w:t>
            </w:r>
          </w:p>
        </w:tc>
        <w:tc>
          <w:tcPr>
            <w:tcW w:w="1714" w:type="dxa"/>
          </w:tcPr>
          <w:p w14:paraId="361EF52B" w14:textId="1941DBAA" w:rsidR="00D41BD8" w:rsidRPr="000766EB" w:rsidRDefault="00D41BD8" w:rsidP="00D41BD8">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Penn Alcohol Craving Scale (PACS)</w:t>
            </w:r>
          </w:p>
        </w:tc>
        <w:tc>
          <w:tcPr>
            <w:tcW w:w="1352" w:type="dxa"/>
          </w:tcPr>
          <w:p w14:paraId="5CB032FC" w14:textId="06F869E6" w:rsidR="00D41BD8" w:rsidRPr="000766EB" w:rsidRDefault="00D41BD8" w:rsidP="00D41BD8">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Post-intervention</w:t>
            </w:r>
          </w:p>
        </w:tc>
      </w:tr>
      <w:tr w:rsidR="000766EB" w:rsidRPr="006E1B20" w14:paraId="2BCABFA7" w14:textId="77777777" w:rsidTr="00F1063F">
        <w:trPr>
          <w:trHeight w:val="669"/>
        </w:trPr>
        <w:tc>
          <w:tcPr>
            <w:tcW w:w="723" w:type="dxa"/>
          </w:tcPr>
          <w:p w14:paraId="1F36C358" w14:textId="0F8C3802" w:rsidR="000766EB" w:rsidRPr="000766EB" w:rsidRDefault="000766EB" w:rsidP="000766EB">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2b</w:t>
            </w:r>
          </w:p>
        </w:tc>
        <w:tc>
          <w:tcPr>
            <w:tcW w:w="1402" w:type="dxa"/>
          </w:tcPr>
          <w:p w14:paraId="12F0BF2B" w14:textId="114D5210"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Uyl et al. (2018)</w:t>
            </w:r>
          </w:p>
        </w:tc>
        <w:tc>
          <w:tcPr>
            <w:tcW w:w="1857" w:type="dxa"/>
          </w:tcPr>
          <w:p w14:paraId="38E290F0" w14:textId="7B8D03ED" w:rsidR="000766EB" w:rsidRPr="000766EB" w:rsidRDefault="000766EB"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Pr>
          <w:p w14:paraId="66DF297E" w14:textId="05EB46AC"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Attentional bias modification</w:t>
            </w:r>
          </w:p>
        </w:tc>
        <w:tc>
          <w:tcPr>
            <w:tcW w:w="1714" w:type="dxa"/>
          </w:tcPr>
          <w:p w14:paraId="1A47AC9B" w14:textId="2E02E3FE"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Relapse rate</w:t>
            </w:r>
          </w:p>
        </w:tc>
        <w:tc>
          <w:tcPr>
            <w:tcW w:w="1352" w:type="dxa"/>
          </w:tcPr>
          <w:p w14:paraId="4AB56404" w14:textId="3FF140E5"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12 months</w:t>
            </w:r>
          </w:p>
        </w:tc>
      </w:tr>
      <w:tr w:rsidR="000766EB" w:rsidRPr="006E1B20" w14:paraId="7CD793C1" w14:textId="77777777" w:rsidTr="00F1063F">
        <w:trPr>
          <w:trHeight w:val="1077"/>
        </w:trPr>
        <w:tc>
          <w:tcPr>
            <w:tcW w:w="723" w:type="dxa"/>
          </w:tcPr>
          <w:p w14:paraId="34E0A2DA" w14:textId="754C56AF" w:rsidR="000766EB" w:rsidRPr="000766EB" w:rsidRDefault="000766EB" w:rsidP="000766EB">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lastRenderedPageBreak/>
              <w:t>3a</w:t>
            </w:r>
          </w:p>
        </w:tc>
        <w:tc>
          <w:tcPr>
            <w:tcW w:w="1402" w:type="dxa"/>
          </w:tcPr>
          <w:p w14:paraId="28D45299" w14:textId="52B6B4CC"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Dubuson et al.</w:t>
            </w:r>
            <w:r>
              <w:rPr>
                <w:rFonts w:ascii="Calibri" w:hAnsi="Calibri" w:cs="Calibri"/>
                <w:sz w:val="20"/>
                <w:szCs w:val="20"/>
                <w:lang w:val="en-GB"/>
              </w:rPr>
              <w:t xml:space="preserve"> </w:t>
            </w:r>
            <w:r w:rsidRPr="000766EB">
              <w:rPr>
                <w:rFonts w:ascii="Calibri" w:hAnsi="Calibri" w:cs="Calibri"/>
                <w:sz w:val="20"/>
                <w:szCs w:val="20"/>
                <w:lang w:val="en-GB"/>
              </w:rPr>
              <w:t>(2021)</w:t>
            </w:r>
          </w:p>
        </w:tc>
        <w:tc>
          <w:tcPr>
            <w:tcW w:w="1857" w:type="dxa"/>
          </w:tcPr>
          <w:p w14:paraId="74718368" w14:textId="6BDC8C76" w:rsidR="000766EB" w:rsidRPr="000766EB" w:rsidRDefault="000766EB"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Pr>
          <w:p w14:paraId="41CB2617" w14:textId="4DF21D2D"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Inhibitory bias modification</w:t>
            </w:r>
          </w:p>
        </w:tc>
        <w:tc>
          <w:tcPr>
            <w:tcW w:w="1714" w:type="dxa"/>
          </w:tcPr>
          <w:p w14:paraId="29811D31" w14:textId="5C563052"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Craving on Visual Analogue Scale (VAS)</w:t>
            </w:r>
          </w:p>
        </w:tc>
        <w:tc>
          <w:tcPr>
            <w:tcW w:w="1352" w:type="dxa"/>
          </w:tcPr>
          <w:p w14:paraId="5949BCA9" w14:textId="7188A5FC"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Post-intervention</w:t>
            </w:r>
          </w:p>
        </w:tc>
      </w:tr>
      <w:tr w:rsidR="000766EB" w:rsidRPr="006E1B20" w14:paraId="6FA569F9" w14:textId="77777777" w:rsidTr="00F1063F">
        <w:trPr>
          <w:trHeight w:val="854"/>
        </w:trPr>
        <w:tc>
          <w:tcPr>
            <w:tcW w:w="723" w:type="dxa"/>
          </w:tcPr>
          <w:p w14:paraId="0799B9AF" w14:textId="37DF69F9" w:rsidR="000766EB" w:rsidRPr="000766EB" w:rsidRDefault="000766EB" w:rsidP="000766EB">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3b</w:t>
            </w:r>
          </w:p>
        </w:tc>
        <w:tc>
          <w:tcPr>
            <w:tcW w:w="1402" w:type="dxa"/>
          </w:tcPr>
          <w:p w14:paraId="2F75214D" w14:textId="10F13A52"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Dubuson et al. (2021)</w:t>
            </w:r>
          </w:p>
        </w:tc>
        <w:tc>
          <w:tcPr>
            <w:tcW w:w="1857" w:type="dxa"/>
          </w:tcPr>
          <w:p w14:paraId="3B8B5FB0" w14:textId="07058454" w:rsidR="000766EB" w:rsidRPr="000766EB" w:rsidRDefault="000766EB"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Pr>
          <w:p w14:paraId="6CE2BF2C" w14:textId="53871A29"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Inhibitory bias modification</w:t>
            </w:r>
          </w:p>
        </w:tc>
        <w:tc>
          <w:tcPr>
            <w:tcW w:w="1714" w:type="dxa"/>
          </w:tcPr>
          <w:p w14:paraId="51CCEBD3" w14:textId="01036F50"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Relapse rate</w:t>
            </w:r>
          </w:p>
        </w:tc>
        <w:tc>
          <w:tcPr>
            <w:tcW w:w="1352" w:type="dxa"/>
          </w:tcPr>
          <w:p w14:paraId="3D7FEC9F" w14:textId="7BD2106C"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1 month</w:t>
            </w:r>
            <w:r w:rsidRPr="000766EB">
              <w:rPr>
                <w:rFonts w:ascii="Calibri" w:hAnsi="Calibri" w:cs="Calibri"/>
                <w:sz w:val="20"/>
                <w:szCs w:val="20"/>
                <w:vertAlign w:val="superscript"/>
                <w:lang w:val="en-GB"/>
              </w:rPr>
              <w:t>*</w:t>
            </w:r>
            <w:r w:rsidRPr="000766EB">
              <w:rPr>
                <w:rFonts w:ascii="Calibri" w:hAnsi="Calibri" w:cs="Calibri"/>
                <w:sz w:val="20"/>
                <w:szCs w:val="20"/>
                <w:lang w:val="en-GB"/>
              </w:rPr>
              <w:t xml:space="preserve"> </w:t>
            </w:r>
          </w:p>
        </w:tc>
      </w:tr>
      <w:tr w:rsidR="000766EB" w:rsidRPr="006E1B20" w14:paraId="51A09B54" w14:textId="77777777" w:rsidTr="00F1063F">
        <w:trPr>
          <w:trHeight w:val="794"/>
        </w:trPr>
        <w:tc>
          <w:tcPr>
            <w:tcW w:w="723" w:type="dxa"/>
          </w:tcPr>
          <w:p w14:paraId="1A94E5FC" w14:textId="1973B8D7" w:rsidR="000766EB" w:rsidRPr="000766EB" w:rsidRDefault="000766EB" w:rsidP="000766EB">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3c</w:t>
            </w:r>
          </w:p>
        </w:tc>
        <w:tc>
          <w:tcPr>
            <w:tcW w:w="1402" w:type="dxa"/>
          </w:tcPr>
          <w:p w14:paraId="5D47BB6D" w14:textId="0786C2FC"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Dubuson et al. (2021)</w:t>
            </w:r>
          </w:p>
        </w:tc>
        <w:tc>
          <w:tcPr>
            <w:tcW w:w="1857" w:type="dxa"/>
          </w:tcPr>
          <w:p w14:paraId="23EE3E5C" w14:textId="79B24EEC" w:rsidR="000766EB" w:rsidRPr="000766EB" w:rsidRDefault="000766EB"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Pr>
          <w:p w14:paraId="05DB0945" w14:textId="2000CEBD"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Inhibitory bias modification</w:t>
            </w:r>
          </w:p>
        </w:tc>
        <w:tc>
          <w:tcPr>
            <w:tcW w:w="1714" w:type="dxa"/>
          </w:tcPr>
          <w:p w14:paraId="3EFF583C" w14:textId="5A07F3E3"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Relapse rate</w:t>
            </w:r>
          </w:p>
        </w:tc>
        <w:tc>
          <w:tcPr>
            <w:tcW w:w="1352" w:type="dxa"/>
          </w:tcPr>
          <w:p w14:paraId="64E8CA2A" w14:textId="7E243363"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3 months</w:t>
            </w:r>
          </w:p>
        </w:tc>
      </w:tr>
      <w:tr w:rsidR="000766EB" w:rsidRPr="006E1B20" w14:paraId="0A68555E" w14:textId="77777777" w:rsidTr="00F1063F">
        <w:trPr>
          <w:trHeight w:val="874"/>
        </w:trPr>
        <w:tc>
          <w:tcPr>
            <w:tcW w:w="723" w:type="dxa"/>
          </w:tcPr>
          <w:p w14:paraId="1EED4C5A" w14:textId="39445F02" w:rsidR="000766EB" w:rsidRPr="000766EB" w:rsidRDefault="000766EB" w:rsidP="000766EB">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3d</w:t>
            </w:r>
          </w:p>
        </w:tc>
        <w:tc>
          <w:tcPr>
            <w:tcW w:w="1402" w:type="dxa"/>
          </w:tcPr>
          <w:p w14:paraId="1096CC79" w14:textId="0EFDAD3E"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Dubuson et al. (2021)</w:t>
            </w:r>
          </w:p>
        </w:tc>
        <w:tc>
          <w:tcPr>
            <w:tcW w:w="1857" w:type="dxa"/>
          </w:tcPr>
          <w:p w14:paraId="042F0525" w14:textId="488AADB8" w:rsidR="000766EB" w:rsidRPr="000766EB" w:rsidRDefault="000766EB"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Pr>
          <w:p w14:paraId="1AE4FEFC" w14:textId="54D8015D"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Inhibitory bias modification</w:t>
            </w:r>
          </w:p>
        </w:tc>
        <w:tc>
          <w:tcPr>
            <w:tcW w:w="1714" w:type="dxa"/>
          </w:tcPr>
          <w:p w14:paraId="5E16D945" w14:textId="7DB92D5D"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Relapse rate</w:t>
            </w:r>
          </w:p>
        </w:tc>
        <w:tc>
          <w:tcPr>
            <w:tcW w:w="1352" w:type="dxa"/>
          </w:tcPr>
          <w:p w14:paraId="2D9A1019" w14:textId="440E4E28"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6 months</w:t>
            </w:r>
          </w:p>
        </w:tc>
      </w:tr>
      <w:tr w:rsidR="000766EB" w:rsidRPr="006E1B20" w14:paraId="3AC0E2A6" w14:textId="77777777" w:rsidTr="00F1063F">
        <w:trPr>
          <w:trHeight w:val="858"/>
        </w:trPr>
        <w:tc>
          <w:tcPr>
            <w:tcW w:w="723" w:type="dxa"/>
          </w:tcPr>
          <w:p w14:paraId="27E64FD6" w14:textId="73D93AA8" w:rsidR="000766EB" w:rsidRPr="000766EB" w:rsidRDefault="000766EB" w:rsidP="000766EB">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3e</w:t>
            </w:r>
          </w:p>
        </w:tc>
        <w:tc>
          <w:tcPr>
            <w:tcW w:w="1402" w:type="dxa"/>
          </w:tcPr>
          <w:p w14:paraId="4991979D" w14:textId="6FAC2EF9"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Dubuson et al. (2021)</w:t>
            </w:r>
          </w:p>
        </w:tc>
        <w:tc>
          <w:tcPr>
            <w:tcW w:w="1857" w:type="dxa"/>
          </w:tcPr>
          <w:p w14:paraId="717237D3" w14:textId="0B373A99" w:rsidR="000766EB" w:rsidRPr="000766EB" w:rsidRDefault="000766EB"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Pr>
          <w:p w14:paraId="45D49908" w14:textId="0ED5BCCA"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Inhibitory bias modification</w:t>
            </w:r>
          </w:p>
        </w:tc>
        <w:tc>
          <w:tcPr>
            <w:tcW w:w="1714" w:type="dxa"/>
          </w:tcPr>
          <w:p w14:paraId="07FF99A8" w14:textId="38B83BA5"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Relapse rate</w:t>
            </w:r>
          </w:p>
        </w:tc>
        <w:tc>
          <w:tcPr>
            <w:tcW w:w="1352" w:type="dxa"/>
          </w:tcPr>
          <w:p w14:paraId="73B67C06" w14:textId="0ED4ED81" w:rsidR="000766EB" w:rsidRPr="000766EB" w:rsidRDefault="000766EB" w:rsidP="000766EB">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12 months</w:t>
            </w:r>
          </w:p>
        </w:tc>
      </w:tr>
      <w:tr w:rsidR="008975D2" w:rsidRPr="006E1B20" w14:paraId="5D865F1C" w14:textId="77777777" w:rsidTr="00F1063F">
        <w:trPr>
          <w:trHeight w:val="752"/>
        </w:trPr>
        <w:tc>
          <w:tcPr>
            <w:tcW w:w="723" w:type="dxa"/>
          </w:tcPr>
          <w:p w14:paraId="09F717E1" w14:textId="0AD8B4B1" w:rsidR="008975D2" w:rsidRPr="008975D2" w:rsidRDefault="008975D2" w:rsidP="008975D2">
            <w:pPr>
              <w:pStyle w:val="APANormal"/>
              <w:spacing w:before="120" w:line="240" w:lineRule="auto"/>
              <w:ind w:firstLine="0"/>
              <w:jc w:val="center"/>
              <w:rPr>
                <w:rFonts w:ascii="Calibri" w:hAnsi="Calibri" w:cs="Calibri"/>
                <w:sz w:val="20"/>
                <w:szCs w:val="20"/>
                <w:lang w:val="en-GB"/>
              </w:rPr>
            </w:pPr>
            <w:r w:rsidRPr="008975D2">
              <w:rPr>
                <w:rFonts w:ascii="Calibri" w:hAnsi="Calibri" w:cs="Calibri"/>
                <w:sz w:val="20"/>
                <w:szCs w:val="20"/>
                <w:lang w:val="en-GB"/>
              </w:rPr>
              <w:t>4</w:t>
            </w:r>
          </w:p>
        </w:tc>
        <w:tc>
          <w:tcPr>
            <w:tcW w:w="1402" w:type="dxa"/>
          </w:tcPr>
          <w:p w14:paraId="675BDA25" w14:textId="369899A8"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Eberl et al. (2013)</w:t>
            </w:r>
          </w:p>
        </w:tc>
        <w:tc>
          <w:tcPr>
            <w:tcW w:w="1857" w:type="dxa"/>
          </w:tcPr>
          <w:p w14:paraId="49CC9B40" w14:textId="60CFAF62" w:rsidR="008975D2" w:rsidRPr="008975D2" w:rsidRDefault="008975D2" w:rsidP="005C6519">
            <w:pPr>
              <w:pStyle w:val="APANormal"/>
              <w:spacing w:before="120" w:line="240" w:lineRule="auto"/>
              <w:ind w:firstLine="0"/>
              <w:jc w:val="center"/>
              <w:rPr>
                <w:rFonts w:ascii="Calibri" w:hAnsi="Calibri" w:cs="Calibri"/>
                <w:sz w:val="20"/>
                <w:szCs w:val="20"/>
                <w:lang w:val="en-GB"/>
              </w:rPr>
            </w:pPr>
            <w:r w:rsidRPr="008975D2">
              <w:rPr>
                <w:rFonts w:ascii="Calibri" w:hAnsi="Calibri" w:cs="Calibri"/>
                <w:sz w:val="20"/>
                <w:szCs w:val="20"/>
                <w:lang w:val="en-GB"/>
              </w:rPr>
              <w:t>Implicit</w:t>
            </w:r>
          </w:p>
        </w:tc>
        <w:tc>
          <w:tcPr>
            <w:tcW w:w="1972" w:type="dxa"/>
          </w:tcPr>
          <w:p w14:paraId="496CCFF9" w14:textId="497C9922"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Attentional bias modification</w:t>
            </w:r>
          </w:p>
        </w:tc>
        <w:tc>
          <w:tcPr>
            <w:tcW w:w="1714" w:type="dxa"/>
          </w:tcPr>
          <w:p w14:paraId="6E73689C" w14:textId="4C0B8D56"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Abstinence rate</w:t>
            </w:r>
          </w:p>
        </w:tc>
        <w:tc>
          <w:tcPr>
            <w:tcW w:w="1352" w:type="dxa"/>
          </w:tcPr>
          <w:p w14:paraId="5C810AC0" w14:textId="7239E9DD"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12 months</w:t>
            </w:r>
          </w:p>
        </w:tc>
      </w:tr>
      <w:tr w:rsidR="008975D2" w:rsidRPr="006E1B20" w14:paraId="2253EF18" w14:textId="77777777" w:rsidTr="00F1063F">
        <w:trPr>
          <w:trHeight w:val="862"/>
        </w:trPr>
        <w:tc>
          <w:tcPr>
            <w:tcW w:w="723" w:type="dxa"/>
          </w:tcPr>
          <w:p w14:paraId="01CC139F" w14:textId="4983FEFD" w:rsidR="008975D2" w:rsidRPr="000766EB" w:rsidRDefault="008975D2" w:rsidP="008975D2">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5a</w:t>
            </w:r>
          </w:p>
        </w:tc>
        <w:tc>
          <w:tcPr>
            <w:tcW w:w="1402" w:type="dxa"/>
          </w:tcPr>
          <w:p w14:paraId="0D197955" w14:textId="67DA0913"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Manning et al. (2021)</w:t>
            </w:r>
          </w:p>
        </w:tc>
        <w:tc>
          <w:tcPr>
            <w:tcW w:w="1857" w:type="dxa"/>
          </w:tcPr>
          <w:p w14:paraId="255058B2" w14:textId="1A883E76" w:rsidR="008975D2" w:rsidRPr="000766EB" w:rsidRDefault="008975D2"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Pr>
          <w:p w14:paraId="16677295" w14:textId="7EFF3B9B"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Approach bias modification</w:t>
            </w:r>
          </w:p>
        </w:tc>
        <w:tc>
          <w:tcPr>
            <w:tcW w:w="1714" w:type="dxa"/>
          </w:tcPr>
          <w:p w14:paraId="19A38520" w14:textId="209E9A87"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Abstinence rate</w:t>
            </w:r>
          </w:p>
        </w:tc>
        <w:tc>
          <w:tcPr>
            <w:tcW w:w="1352" w:type="dxa"/>
          </w:tcPr>
          <w:p w14:paraId="3136E74B" w14:textId="7F9AF233"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2 weeks</w:t>
            </w:r>
            <w:r w:rsidRPr="000766EB">
              <w:rPr>
                <w:rFonts w:ascii="Calibri" w:hAnsi="Calibri" w:cs="Calibri"/>
                <w:sz w:val="20"/>
                <w:szCs w:val="20"/>
                <w:vertAlign w:val="superscript"/>
                <w:lang w:val="en-GB"/>
              </w:rPr>
              <w:t>**</w:t>
            </w:r>
          </w:p>
        </w:tc>
      </w:tr>
      <w:tr w:rsidR="008975D2" w:rsidRPr="006E1B20" w14:paraId="155AAE64" w14:textId="77777777" w:rsidTr="00F1063F">
        <w:trPr>
          <w:trHeight w:val="846"/>
        </w:trPr>
        <w:tc>
          <w:tcPr>
            <w:tcW w:w="723" w:type="dxa"/>
          </w:tcPr>
          <w:p w14:paraId="6581E489" w14:textId="52E0F11E" w:rsidR="008975D2" w:rsidRPr="000766EB" w:rsidRDefault="008975D2" w:rsidP="008975D2">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5b</w:t>
            </w:r>
          </w:p>
        </w:tc>
        <w:tc>
          <w:tcPr>
            <w:tcW w:w="1402" w:type="dxa"/>
          </w:tcPr>
          <w:p w14:paraId="43294B43" w14:textId="1A8EEDFB"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Manning et al. (2022)</w:t>
            </w:r>
          </w:p>
        </w:tc>
        <w:tc>
          <w:tcPr>
            <w:tcW w:w="1857" w:type="dxa"/>
          </w:tcPr>
          <w:p w14:paraId="22392DF8" w14:textId="77D0F201" w:rsidR="008975D2" w:rsidRPr="000766EB" w:rsidRDefault="008975D2"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Pr>
          <w:p w14:paraId="06A55AC4" w14:textId="2AE7F73E"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Approach bias modification</w:t>
            </w:r>
          </w:p>
        </w:tc>
        <w:tc>
          <w:tcPr>
            <w:tcW w:w="1714" w:type="dxa"/>
          </w:tcPr>
          <w:p w14:paraId="1097B240" w14:textId="2004D6AC"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Abstinence rate</w:t>
            </w:r>
          </w:p>
        </w:tc>
        <w:tc>
          <w:tcPr>
            <w:tcW w:w="1352" w:type="dxa"/>
          </w:tcPr>
          <w:p w14:paraId="269DF8B3" w14:textId="74AC5375"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3 months</w:t>
            </w:r>
          </w:p>
        </w:tc>
      </w:tr>
      <w:tr w:rsidR="008975D2" w:rsidRPr="006E1B20" w14:paraId="7865B351" w14:textId="77777777" w:rsidTr="00F1063F">
        <w:trPr>
          <w:trHeight w:val="858"/>
        </w:trPr>
        <w:tc>
          <w:tcPr>
            <w:tcW w:w="723" w:type="dxa"/>
          </w:tcPr>
          <w:p w14:paraId="5634D845" w14:textId="709D2215" w:rsidR="008975D2" w:rsidRPr="000766EB" w:rsidRDefault="008975D2" w:rsidP="008975D2">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5c</w:t>
            </w:r>
          </w:p>
        </w:tc>
        <w:tc>
          <w:tcPr>
            <w:tcW w:w="1402" w:type="dxa"/>
          </w:tcPr>
          <w:p w14:paraId="4459B618" w14:textId="573182FA"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Manning et al. (2022)</w:t>
            </w:r>
          </w:p>
        </w:tc>
        <w:tc>
          <w:tcPr>
            <w:tcW w:w="1857" w:type="dxa"/>
          </w:tcPr>
          <w:p w14:paraId="40AB8731" w14:textId="25E118F6" w:rsidR="008975D2" w:rsidRPr="000766EB" w:rsidRDefault="008975D2"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Pr>
          <w:p w14:paraId="0F6E3FCA" w14:textId="778D6B63"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Approach bias modification</w:t>
            </w:r>
          </w:p>
        </w:tc>
        <w:tc>
          <w:tcPr>
            <w:tcW w:w="1714" w:type="dxa"/>
          </w:tcPr>
          <w:p w14:paraId="1391EBD2" w14:textId="075DB52C"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Abstinence rate</w:t>
            </w:r>
          </w:p>
        </w:tc>
        <w:tc>
          <w:tcPr>
            <w:tcW w:w="1352" w:type="dxa"/>
          </w:tcPr>
          <w:p w14:paraId="60109D0C" w14:textId="30FC045E"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6 months</w:t>
            </w:r>
          </w:p>
        </w:tc>
      </w:tr>
      <w:tr w:rsidR="008975D2" w:rsidRPr="006E1B20" w14:paraId="5CB9E72E" w14:textId="77777777" w:rsidTr="00F1063F">
        <w:trPr>
          <w:trHeight w:val="842"/>
        </w:trPr>
        <w:tc>
          <w:tcPr>
            <w:tcW w:w="723" w:type="dxa"/>
          </w:tcPr>
          <w:p w14:paraId="1CD8A965" w14:textId="62E6B9E2" w:rsidR="008975D2" w:rsidRPr="000766EB" w:rsidRDefault="008975D2" w:rsidP="008975D2">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5d</w:t>
            </w:r>
          </w:p>
        </w:tc>
        <w:tc>
          <w:tcPr>
            <w:tcW w:w="1402" w:type="dxa"/>
          </w:tcPr>
          <w:p w14:paraId="3EE73878" w14:textId="4875FBB4"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Manning et al. (2022)</w:t>
            </w:r>
          </w:p>
        </w:tc>
        <w:tc>
          <w:tcPr>
            <w:tcW w:w="1857" w:type="dxa"/>
          </w:tcPr>
          <w:p w14:paraId="476E36F3" w14:textId="47874DF0" w:rsidR="008975D2" w:rsidRPr="000766EB" w:rsidRDefault="008975D2" w:rsidP="005C6519">
            <w:pPr>
              <w:pStyle w:val="APANormal"/>
              <w:spacing w:before="120" w:line="240" w:lineRule="auto"/>
              <w:ind w:firstLine="0"/>
              <w:jc w:val="center"/>
              <w:rPr>
                <w:rFonts w:ascii="Calibri" w:hAnsi="Calibri" w:cs="Calibri"/>
                <w:sz w:val="20"/>
                <w:szCs w:val="20"/>
                <w:lang w:val="en-GB"/>
              </w:rPr>
            </w:pPr>
            <w:r w:rsidRPr="000766EB">
              <w:rPr>
                <w:rFonts w:ascii="Calibri" w:hAnsi="Calibri" w:cs="Calibri"/>
                <w:sz w:val="20"/>
                <w:szCs w:val="20"/>
                <w:lang w:val="en-GB"/>
              </w:rPr>
              <w:t>Implicit</w:t>
            </w:r>
          </w:p>
        </w:tc>
        <w:tc>
          <w:tcPr>
            <w:tcW w:w="1972" w:type="dxa"/>
          </w:tcPr>
          <w:p w14:paraId="6A3EDC92" w14:textId="2357FF8F"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Approach bias modification</w:t>
            </w:r>
          </w:p>
        </w:tc>
        <w:tc>
          <w:tcPr>
            <w:tcW w:w="1714" w:type="dxa"/>
          </w:tcPr>
          <w:p w14:paraId="08A0B425" w14:textId="01F3DC42"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Abstinence rate</w:t>
            </w:r>
          </w:p>
        </w:tc>
        <w:tc>
          <w:tcPr>
            <w:tcW w:w="1352" w:type="dxa"/>
          </w:tcPr>
          <w:p w14:paraId="182BA086" w14:textId="03557226" w:rsidR="008975D2" w:rsidRPr="000766EB" w:rsidRDefault="008975D2" w:rsidP="008975D2">
            <w:pPr>
              <w:pStyle w:val="APANormal"/>
              <w:spacing w:before="120" w:line="240" w:lineRule="auto"/>
              <w:ind w:firstLine="0"/>
              <w:rPr>
                <w:rFonts w:ascii="Calibri" w:hAnsi="Calibri" w:cs="Calibri"/>
                <w:sz w:val="20"/>
                <w:szCs w:val="20"/>
                <w:lang w:val="en-GB"/>
              </w:rPr>
            </w:pPr>
            <w:r w:rsidRPr="000766EB">
              <w:rPr>
                <w:rFonts w:ascii="Calibri" w:hAnsi="Calibri" w:cs="Calibri"/>
                <w:sz w:val="20"/>
                <w:szCs w:val="20"/>
                <w:lang w:val="en-GB"/>
              </w:rPr>
              <w:t>12 months</w:t>
            </w:r>
          </w:p>
        </w:tc>
      </w:tr>
      <w:tr w:rsidR="008975D2" w:rsidRPr="006E1B20" w14:paraId="510C35FC" w14:textId="77777777" w:rsidTr="00F1063F">
        <w:trPr>
          <w:trHeight w:val="1189"/>
        </w:trPr>
        <w:tc>
          <w:tcPr>
            <w:tcW w:w="723" w:type="dxa"/>
          </w:tcPr>
          <w:p w14:paraId="06314269" w14:textId="50F97616" w:rsidR="008975D2" w:rsidRPr="008975D2" w:rsidRDefault="008975D2" w:rsidP="008975D2">
            <w:pPr>
              <w:pStyle w:val="APANormal"/>
              <w:spacing w:before="120" w:line="240" w:lineRule="auto"/>
              <w:ind w:firstLine="0"/>
              <w:jc w:val="center"/>
              <w:rPr>
                <w:rFonts w:ascii="Calibri" w:hAnsi="Calibri" w:cs="Calibri"/>
                <w:sz w:val="20"/>
                <w:szCs w:val="20"/>
                <w:lang w:val="en-GB"/>
              </w:rPr>
            </w:pPr>
            <w:r w:rsidRPr="008975D2">
              <w:rPr>
                <w:rFonts w:ascii="Calibri" w:hAnsi="Calibri" w:cs="Calibri"/>
                <w:sz w:val="20"/>
                <w:szCs w:val="20"/>
                <w:lang w:val="en-GB"/>
              </w:rPr>
              <w:t>5e</w:t>
            </w:r>
          </w:p>
        </w:tc>
        <w:tc>
          <w:tcPr>
            <w:tcW w:w="1402" w:type="dxa"/>
          </w:tcPr>
          <w:p w14:paraId="2ACD5DC9" w14:textId="0D340CFA"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Garfield et al. (2022)</w:t>
            </w:r>
          </w:p>
        </w:tc>
        <w:tc>
          <w:tcPr>
            <w:tcW w:w="1857" w:type="dxa"/>
          </w:tcPr>
          <w:p w14:paraId="23939EDE" w14:textId="2CC5CF59" w:rsidR="008975D2" w:rsidRPr="008975D2" w:rsidRDefault="008975D2" w:rsidP="005C6519">
            <w:pPr>
              <w:pStyle w:val="APANormal"/>
              <w:spacing w:before="120" w:line="240" w:lineRule="auto"/>
              <w:ind w:firstLine="0"/>
              <w:jc w:val="center"/>
              <w:rPr>
                <w:rFonts w:ascii="Calibri" w:hAnsi="Calibri" w:cs="Calibri"/>
                <w:sz w:val="20"/>
                <w:szCs w:val="20"/>
                <w:lang w:val="en-GB"/>
              </w:rPr>
            </w:pPr>
            <w:r w:rsidRPr="008975D2">
              <w:rPr>
                <w:rFonts w:ascii="Calibri" w:hAnsi="Calibri" w:cs="Calibri"/>
                <w:sz w:val="20"/>
                <w:szCs w:val="20"/>
                <w:lang w:val="en-GB"/>
              </w:rPr>
              <w:t>Implicit</w:t>
            </w:r>
          </w:p>
        </w:tc>
        <w:tc>
          <w:tcPr>
            <w:tcW w:w="1972" w:type="dxa"/>
          </w:tcPr>
          <w:p w14:paraId="714282FC" w14:textId="2CF946C6"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Approach bias modification</w:t>
            </w:r>
          </w:p>
        </w:tc>
        <w:tc>
          <w:tcPr>
            <w:tcW w:w="1714" w:type="dxa"/>
          </w:tcPr>
          <w:p w14:paraId="1FA803AC" w14:textId="721CEF7F"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Alcohol Craving Questionnaire-Short Form (ACQ-SF-R)</w:t>
            </w:r>
          </w:p>
        </w:tc>
        <w:tc>
          <w:tcPr>
            <w:tcW w:w="1352" w:type="dxa"/>
          </w:tcPr>
          <w:p w14:paraId="0BA19635" w14:textId="5B1CC59C"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2 weeks</w:t>
            </w:r>
            <w:r w:rsidRPr="008975D2">
              <w:rPr>
                <w:rFonts w:ascii="Calibri" w:hAnsi="Calibri" w:cs="Calibri"/>
                <w:sz w:val="20"/>
                <w:szCs w:val="20"/>
                <w:vertAlign w:val="superscript"/>
                <w:lang w:val="en-GB"/>
              </w:rPr>
              <w:t>**</w:t>
            </w:r>
          </w:p>
        </w:tc>
      </w:tr>
      <w:tr w:rsidR="008975D2" w:rsidRPr="006E1B20" w14:paraId="4E381AC9" w14:textId="77777777" w:rsidTr="00F1063F">
        <w:trPr>
          <w:trHeight w:val="1189"/>
        </w:trPr>
        <w:tc>
          <w:tcPr>
            <w:tcW w:w="723" w:type="dxa"/>
          </w:tcPr>
          <w:p w14:paraId="69E354FB" w14:textId="79D5CFDB" w:rsidR="008975D2" w:rsidRPr="008975D2" w:rsidRDefault="008975D2" w:rsidP="008975D2">
            <w:pPr>
              <w:pStyle w:val="APANormal"/>
              <w:spacing w:before="120" w:line="240" w:lineRule="auto"/>
              <w:ind w:firstLine="0"/>
              <w:jc w:val="center"/>
              <w:rPr>
                <w:rFonts w:ascii="Calibri" w:hAnsi="Calibri" w:cs="Calibri"/>
                <w:sz w:val="20"/>
                <w:szCs w:val="20"/>
                <w:lang w:val="en-GB"/>
              </w:rPr>
            </w:pPr>
            <w:r w:rsidRPr="008975D2">
              <w:rPr>
                <w:rFonts w:ascii="Calibri" w:hAnsi="Calibri" w:cs="Calibri"/>
                <w:sz w:val="20"/>
                <w:szCs w:val="20"/>
                <w:lang w:val="en-GB"/>
              </w:rPr>
              <w:t>5f</w:t>
            </w:r>
          </w:p>
        </w:tc>
        <w:tc>
          <w:tcPr>
            <w:tcW w:w="1402" w:type="dxa"/>
          </w:tcPr>
          <w:p w14:paraId="51401612" w14:textId="1A93EAC3"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Garfield et al. (2022)</w:t>
            </w:r>
          </w:p>
        </w:tc>
        <w:tc>
          <w:tcPr>
            <w:tcW w:w="1857" w:type="dxa"/>
          </w:tcPr>
          <w:p w14:paraId="229B982B" w14:textId="3BB05709" w:rsidR="008975D2" w:rsidRPr="008975D2" w:rsidRDefault="008975D2" w:rsidP="005C6519">
            <w:pPr>
              <w:pStyle w:val="APANormal"/>
              <w:spacing w:before="120" w:line="240" w:lineRule="auto"/>
              <w:ind w:firstLine="0"/>
              <w:jc w:val="center"/>
              <w:rPr>
                <w:rFonts w:ascii="Calibri" w:hAnsi="Calibri" w:cs="Calibri"/>
                <w:sz w:val="20"/>
                <w:szCs w:val="20"/>
                <w:lang w:val="en-GB"/>
              </w:rPr>
            </w:pPr>
            <w:r w:rsidRPr="008975D2">
              <w:rPr>
                <w:rFonts w:ascii="Calibri" w:hAnsi="Calibri" w:cs="Calibri"/>
                <w:sz w:val="20"/>
                <w:szCs w:val="20"/>
                <w:lang w:val="en-GB"/>
              </w:rPr>
              <w:t>Implicit</w:t>
            </w:r>
          </w:p>
        </w:tc>
        <w:tc>
          <w:tcPr>
            <w:tcW w:w="1972" w:type="dxa"/>
          </w:tcPr>
          <w:p w14:paraId="4629651D" w14:textId="5E9BB8EB"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Approach bias modification</w:t>
            </w:r>
          </w:p>
        </w:tc>
        <w:tc>
          <w:tcPr>
            <w:tcW w:w="1714" w:type="dxa"/>
          </w:tcPr>
          <w:p w14:paraId="3D18EBEB" w14:textId="1711F50D"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Alcohol Craving Questionnaire-Short Form (ACQ-SF-R)</w:t>
            </w:r>
          </w:p>
        </w:tc>
        <w:tc>
          <w:tcPr>
            <w:tcW w:w="1352" w:type="dxa"/>
          </w:tcPr>
          <w:p w14:paraId="001F5CCF" w14:textId="26F2B9DB"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3 months</w:t>
            </w:r>
          </w:p>
        </w:tc>
      </w:tr>
      <w:tr w:rsidR="008975D2" w:rsidRPr="006E1B20" w14:paraId="35005A3A" w14:textId="77777777" w:rsidTr="00F1063F">
        <w:trPr>
          <w:trHeight w:val="1189"/>
        </w:trPr>
        <w:tc>
          <w:tcPr>
            <w:tcW w:w="723" w:type="dxa"/>
          </w:tcPr>
          <w:p w14:paraId="169782CD" w14:textId="48D0E0FF" w:rsidR="008975D2" w:rsidRPr="008975D2" w:rsidRDefault="008975D2" w:rsidP="008975D2">
            <w:pPr>
              <w:pStyle w:val="APANormal"/>
              <w:spacing w:before="120" w:line="240" w:lineRule="auto"/>
              <w:ind w:firstLine="0"/>
              <w:jc w:val="center"/>
              <w:rPr>
                <w:rFonts w:ascii="Calibri" w:hAnsi="Calibri" w:cs="Calibri"/>
                <w:sz w:val="20"/>
                <w:szCs w:val="20"/>
                <w:lang w:val="en-GB"/>
              </w:rPr>
            </w:pPr>
            <w:r w:rsidRPr="008975D2">
              <w:rPr>
                <w:rFonts w:ascii="Calibri" w:hAnsi="Calibri" w:cs="Calibri"/>
                <w:sz w:val="20"/>
                <w:szCs w:val="20"/>
                <w:lang w:val="en-GB"/>
              </w:rPr>
              <w:t>5g</w:t>
            </w:r>
          </w:p>
        </w:tc>
        <w:tc>
          <w:tcPr>
            <w:tcW w:w="1402" w:type="dxa"/>
          </w:tcPr>
          <w:p w14:paraId="4D81AECA" w14:textId="105479B2"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Garfield et al. (2022)</w:t>
            </w:r>
          </w:p>
        </w:tc>
        <w:tc>
          <w:tcPr>
            <w:tcW w:w="1857" w:type="dxa"/>
          </w:tcPr>
          <w:p w14:paraId="031B5DB1" w14:textId="7707B59B" w:rsidR="008975D2" w:rsidRPr="008975D2" w:rsidRDefault="008975D2" w:rsidP="005C6519">
            <w:pPr>
              <w:pStyle w:val="APANormal"/>
              <w:spacing w:before="120" w:line="240" w:lineRule="auto"/>
              <w:ind w:firstLine="0"/>
              <w:jc w:val="center"/>
              <w:rPr>
                <w:rFonts w:ascii="Calibri" w:hAnsi="Calibri" w:cs="Calibri"/>
                <w:sz w:val="20"/>
                <w:szCs w:val="20"/>
                <w:lang w:val="en-GB"/>
              </w:rPr>
            </w:pPr>
            <w:r w:rsidRPr="008975D2">
              <w:rPr>
                <w:rFonts w:ascii="Calibri" w:hAnsi="Calibri" w:cs="Calibri"/>
                <w:sz w:val="20"/>
                <w:szCs w:val="20"/>
                <w:lang w:val="en-GB"/>
              </w:rPr>
              <w:t>Implicit</w:t>
            </w:r>
          </w:p>
        </w:tc>
        <w:tc>
          <w:tcPr>
            <w:tcW w:w="1972" w:type="dxa"/>
          </w:tcPr>
          <w:p w14:paraId="4BE60EC4" w14:textId="4805CF37"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Approach bias modification</w:t>
            </w:r>
          </w:p>
        </w:tc>
        <w:tc>
          <w:tcPr>
            <w:tcW w:w="1714" w:type="dxa"/>
          </w:tcPr>
          <w:p w14:paraId="53D14946" w14:textId="21EB46ED"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Alcohol Craving Questionnaire-Short Form (ACQ-SF-R)</w:t>
            </w:r>
          </w:p>
        </w:tc>
        <w:tc>
          <w:tcPr>
            <w:tcW w:w="1352" w:type="dxa"/>
          </w:tcPr>
          <w:p w14:paraId="1EF4EBA2" w14:textId="5A0CB2AF" w:rsidR="008975D2" w:rsidRPr="008975D2" w:rsidRDefault="008975D2" w:rsidP="008975D2">
            <w:pPr>
              <w:pStyle w:val="APANormal"/>
              <w:spacing w:before="120" w:line="240" w:lineRule="auto"/>
              <w:ind w:firstLine="0"/>
              <w:rPr>
                <w:rFonts w:ascii="Calibri" w:hAnsi="Calibri" w:cs="Calibri"/>
                <w:sz w:val="20"/>
                <w:szCs w:val="20"/>
                <w:lang w:val="en-GB"/>
              </w:rPr>
            </w:pPr>
            <w:r w:rsidRPr="008975D2">
              <w:rPr>
                <w:rFonts w:ascii="Calibri" w:hAnsi="Calibri" w:cs="Calibri"/>
                <w:sz w:val="20"/>
                <w:szCs w:val="20"/>
                <w:lang w:val="en-GB"/>
              </w:rPr>
              <w:t>6 months</w:t>
            </w:r>
          </w:p>
        </w:tc>
      </w:tr>
      <w:tr w:rsidR="003F58BF" w:rsidRPr="006E1B20" w14:paraId="184449CA" w14:textId="77777777" w:rsidTr="00F1063F">
        <w:trPr>
          <w:trHeight w:val="1189"/>
        </w:trPr>
        <w:tc>
          <w:tcPr>
            <w:tcW w:w="723" w:type="dxa"/>
          </w:tcPr>
          <w:p w14:paraId="6B3B73FA" w14:textId="1B7ECECE" w:rsidR="003F58BF" w:rsidRPr="003F58BF" w:rsidRDefault="003F58BF" w:rsidP="003F58BF">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lastRenderedPageBreak/>
              <w:t>5h</w:t>
            </w:r>
          </w:p>
        </w:tc>
        <w:tc>
          <w:tcPr>
            <w:tcW w:w="1402" w:type="dxa"/>
          </w:tcPr>
          <w:p w14:paraId="62DD1E1A" w14:textId="6AD07127"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Garfield et al. (2022)</w:t>
            </w:r>
          </w:p>
        </w:tc>
        <w:tc>
          <w:tcPr>
            <w:tcW w:w="1857" w:type="dxa"/>
          </w:tcPr>
          <w:p w14:paraId="57D8B505" w14:textId="7DCEE421" w:rsidR="003F58BF" w:rsidRPr="003F58BF" w:rsidRDefault="003F58BF" w:rsidP="005C6519">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t>Implicit</w:t>
            </w:r>
          </w:p>
        </w:tc>
        <w:tc>
          <w:tcPr>
            <w:tcW w:w="1972" w:type="dxa"/>
          </w:tcPr>
          <w:p w14:paraId="2FA55809" w14:textId="489E52C9"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Approach bias modification</w:t>
            </w:r>
          </w:p>
        </w:tc>
        <w:tc>
          <w:tcPr>
            <w:tcW w:w="1714" w:type="dxa"/>
          </w:tcPr>
          <w:p w14:paraId="752F153A" w14:textId="7CDABD16"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Alcohol Craving Questionnaire-Short Form (ACQ-SF-R)</w:t>
            </w:r>
          </w:p>
        </w:tc>
        <w:tc>
          <w:tcPr>
            <w:tcW w:w="1352" w:type="dxa"/>
          </w:tcPr>
          <w:p w14:paraId="2A4E489C" w14:textId="6E94ED8D"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12 months</w:t>
            </w:r>
          </w:p>
        </w:tc>
      </w:tr>
      <w:tr w:rsidR="003F58BF" w:rsidRPr="006E1B20" w14:paraId="27EEEE94" w14:textId="77777777" w:rsidTr="00F1063F">
        <w:trPr>
          <w:trHeight w:val="907"/>
        </w:trPr>
        <w:tc>
          <w:tcPr>
            <w:tcW w:w="723" w:type="dxa"/>
          </w:tcPr>
          <w:p w14:paraId="7EAF8C95" w14:textId="626A1E1A" w:rsidR="003F58BF" w:rsidRPr="003F58BF" w:rsidRDefault="003F58BF" w:rsidP="003F58BF">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t>6</w:t>
            </w:r>
          </w:p>
        </w:tc>
        <w:tc>
          <w:tcPr>
            <w:tcW w:w="1402" w:type="dxa"/>
          </w:tcPr>
          <w:p w14:paraId="2FB126D1" w14:textId="1C11AA3B"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Grieder et al. (2022)</w:t>
            </w:r>
          </w:p>
        </w:tc>
        <w:tc>
          <w:tcPr>
            <w:tcW w:w="1857" w:type="dxa"/>
          </w:tcPr>
          <w:p w14:paraId="3A2AEEFA" w14:textId="0512CAB1" w:rsidR="003F58BF" w:rsidRPr="003F58BF" w:rsidRDefault="003F58BF" w:rsidP="005C6519">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t>Implicit</w:t>
            </w:r>
          </w:p>
        </w:tc>
        <w:tc>
          <w:tcPr>
            <w:tcW w:w="1972" w:type="dxa"/>
          </w:tcPr>
          <w:p w14:paraId="1C1EB880" w14:textId="135484FA"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Inhibitory bias modification</w:t>
            </w:r>
          </w:p>
        </w:tc>
        <w:tc>
          <w:tcPr>
            <w:tcW w:w="1714" w:type="dxa"/>
          </w:tcPr>
          <w:p w14:paraId="6198CB82" w14:textId="2C7E2B7C"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Percentage of days abstinent (PDA)</w:t>
            </w:r>
          </w:p>
        </w:tc>
        <w:tc>
          <w:tcPr>
            <w:tcW w:w="1352" w:type="dxa"/>
          </w:tcPr>
          <w:p w14:paraId="3DC41F3B" w14:textId="7F570484"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3 months</w:t>
            </w:r>
          </w:p>
        </w:tc>
      </w:tr>
      <w:tr w:rsidR="003F58BF" w:rsidRPr="006E1B20" w14:paraId="5397B976" w14:textId="77777777" w:rsidTr="00F1063F">
        <w:trPr>
          <w:trHeight w:val="850"/>
        </w:trPr>
        <w:tc>
          <w:tcPr>
            <w:tcW w:w="723" w:type="dxa"/>
          </w:tcPr>
          <w:p w14:paraId="179C31A0" w14:textId="7EB2D29C" w:rsidR="003F58BF" w:rsidRPr="003F58BF" w:rsidRDefault="003F58BF" w:rsidP="003F58BF">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t>7a</w:t>
            </w:r>
          </w:p>
        </w:tc>
        <w:tc>
          <w:tcPr>
            <w:tcW w:w="1402" w:type="dxa"/>
          </w:tcPr>
          <w:p w14:paraId="5E28737B" w14:textId="2D469658"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Garfield et al. (2026)</w:t>
            </w:r>
          </w:p>
        </w:tc>
        <w:tc>
          <w:tcPr>
            <w:tcW w:w="1857" w:type="dxa"/>
          </w:tcPr>
          <w:p w14:paraId="50E323E7" w14:textId="3CF68FCA" w:rsidR="003F58BF" w:rsidRPr="003F58BF" w:rsidRDefault="003F58BF" w:rsidP="005C6519">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t>Implicit</w:t>
            </w:r>
          </w:p>
        </w:tc>
        <w:tc>
          <w:tcPr>
            <w:tcW w:w="1972" w:type="dxa"/>
          </w:tcPr>
          <w:p w14:paraId="34E5362D" w14:textId="643DA093"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Approach bias modification</w:t>
            </w:r>
          </w:p>
        </w:tc>
        <w:tc>
          <w:tcPr>
            <w:tcW w:w="1714" w:type="dxa"/>
          </w:tcPr>
          <w:p w14:paraId="585C2D58" w14:textId="2B46244F"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Standard drinks per day (SDD)</w:t>
            </w:r>
          </w:p>
        </w:tc>
        <w:tc>
          <w:tcPr>
            <w:tcW w:w="1352" w:type="dxa"/>
          </w:tcPr>
          <w:p w14:paraId="6344705E" w14:textId="3CEBBCAC"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1 month</w:t>
            </w:r>
            <w:r w:rsidRPr="003F58BF">
              <w:rPr>
                <w:rFonts w:ascii="Calibri" w:hAnsi="Calibri" w:cs="Calibri"/>
                <w:sz w:val="20"/>
                <w:szCs w:val="20"/>
                <w:vertAlign w:val="superscript"/>
                <w:lang w:val="en-GB"/>
              </w:rPr>
              <w:t>**</w:t>
            </w:r>
          </w:p>
        </w:tc>
      </w:tr>
      <w:tr w:rsidR="003F58BF" w:rsidRPr="006E1B20" w14:paraId="611D1926" w14:textId="77777777" w:rsidTr="00F1063F">
        <w:trPr>
          <w:trHeight w:val="850"/>
        </w:trPr>
        <w:tc>
          <w:tcPr>
            <w:tcW w:w="723" w:type="dxa"/>
          </w:tcPr>
          <w:p w14:paraId="307FF5CD" w14:textId="345AA118" w:rsidR="003F58BF" w:rsidRPr="003F58BF" w:rsidRDefault="003F58BF" w:rsidP="003F58BF">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t>7b</w:t>
            </w:r>
          </w:p>
        </w:tc>
        <w:tc>
          <w:tcPr>
            <w:tcW w:w="1402" w:type="dxa"/>
          </w:tcPr>
          <w:p w14:paraId="38058E71" w14:textId="13E2EAD7"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Garfield et al. (2026)</w:t>
            </w:r>
          </w:p>
        </w:tc>
        <w:tc>
          <w:tcPr>
            <w:tcW w:w="1857" w:type="dxa"/>
          </w:tcPr>
          <w:p w14:paraId="48365E24" w14:textId="59F707A8" w:rsidR="003F58BF" w:rsidRPr="003F58BF" w:rsidRDefault="003F58BF" w:rsidP="005C6519">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t>Implicit</w:t>
            </w:r>
          </w:p>
        </w:tc>
        <w:tc>
          <w:tcPr>
            <w:tcW w:w="1972" w:type="dxa"/>
          </w:tcPr>
          <w:p w14:paraId="68C663CB" w14:textId="613C280A"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Approach bias modification</w:t>
            </w:r>
          </w:p>
        </w:tc>
        <w:tc>
          <w:tcPr>
            <w:tcW w:w="1714" w:type="dxa"/>
          </w:tcPr>
          <w:p w14:paraId="1DEF3EFC" w14:textId="5BD8E49E"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Standard drinks per day (SDD)</w:t>
            </w:r>
          </w:p>
        </w:tc>
        <w:tc>
          <w:tcPr>
            <w:tcW w:w="1352" w:type="dxa"/>
          </w:tcPr>
          <w:p w14:paraId="7E501406" w14:textId="2AC76B33"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2 months</w:t>
            </w:r>
            <w:r w:rsidRPr="003F58BF">
              <w:rPr>
                <w:rFonts w:ascii="Calibri" w:hAnsi="Calibri" w:cs="Calibri"/>
                <w:sz w:val="20"/>
                <w:szCs w:val="20"/>
                <w:vertAlign w:val="superscript"/>
                <w:lang w:val="en-GB"/>
              </w:rPr>
              <w:t>**</w:t>
            </w:r>
          </w:p>
        </w:tc>
      </w:tr>
      <w:tr w:rsidR="003F58BF" w:rsidRPr="006E1B20" w14:paraId="3162E84D" w14:textId="77777777" w:rsidTr="00F1063F">
        <w:trPr>
          <w:trHeight w:val="946"/>
        </w:trPr>
        <w:tc>
          <w:tcPr>
            <w:tcW w:w="723" w:type="dxa"/>
          </w:tcPr>
          <w:p w14:paraId="38FD5D08" w14:textId="3A76A4EB" w:rsidR="003F58BF" w:rsidRPr="003F58BF" w:rsidRDefault="003F58BF" w:rsidP="003F58BF">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t>7c</w:t>
            </w:r>
          </w:p>
        </w:tc>
        <w:tc>
          <w:tcPr>
            <w:tcW w:w="1402" w:type="dxa"/>
          </w:tcPr>
          <w:p w14:paraId="6AE6D0B9" w14:textId="74A1A821"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Garfield et al. (2026)</w:t>
            </w:r>
          </w:p>
        </w:tc>
        <w:tc>
          <w:tcPr>
            <w:tcW w:w="1857" w:type="dxa"/>
          </w:tcPr>
          <w:p w14:paraId="33E23AB9" w14:textId="74ED989C" w:rsidR="003F58BF" w:rsidRPr="003F58BF" w:rsidRDefault="003F58BF" w:rsidP="005C6519">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t>Implicit</w:t>
            </w:r>
          </w:p>
        </w:tc>
        <w:tc>
          <w:tcPr>
            <w:tcW w:w="1972" w:type="dxa"/>
          </w:tcPr>
          <w:p w14:paraId="08F3AC3E" w14:textId="5DBC4415"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Approach bias modification</w:t>
            </w:r>
          </w:p>
        </w:tc>
        <w:tc>
          <w:tcPr>
            <w:tcW w:w="1714" w:type="dxa"/>
          </w:tcPr>
          <w:p w14:paraId="0723829F" w14:textId="1A8CBD83"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Standard drinks per day (SDD)</w:t>
            </w:r>
          </w:p>
        </w:tc>
        <w:tc>
          <w:tcPr>
            <w:tcW w:w="1352" w:type="dxa"/>
          </w:tcPr>
          <w:p w14:paraId="7856B4CC" w14:textId="244F02F0"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3 months</w:t>
            </w:r>
          </w:p>
        </w:tc>
      </w:tr>
      <w:tr w:rsidR="003F58BF" w:rsidRPr="006E1B20" w14:paraId="23CCD776" w14:textId="77777777" w:rsidTr="00F1063F">
        <w:trPr>
          <w:trHeight w:val="1189"/>
        </w:trPr>
        <w:tc>
          <w:tcPr>
            <w:tcW w:w="723" w:type="dxa"/>
          </w:tcPr>
          <w:p w14:paraId="054D2BCE" w14:textId="04728A89" w:rsidR="003F58BF" w:rsidRPr="003F58BF" w:rsidRDefault="003F58BF" w:rsidP="003F58BF">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t>8a</w:t>
            </w:r>
          </w:p>
        </w:tc>
        <w:tc>
          <w:tcPr>
            <w:tcW w:w="1402" w:type="dxa"/>
          </w:tcPr>
          <w:p w14:paraId="7C963DF9" w14:textId="393953E1"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Kvamme et al. (2019)</w:t>
            </w:r>
          </w:p>
        </w:tc>
        <w:tc>
          <w:tcPr>
            <w:tcW w:w="1857" w:type="dxa"/>
          </w:tcPr>
          <w:p w14:paraId="2AD465E1" w14:textId="5A049E0B" w:rsidR="003F58BF" w:rsidRPr="003F58BF" w:rsidRDefault="003F58BF" w:rsidP="005C6519">
            <w:pPr>
              <w:pStyle w:val="APANormal"/>
              <w:spacing w:before="120" w:line="240" w:lineRule="auto"/>
              <w:ind w:firstLine="0"/>
              <w:jc w:val="center"/>
              <w:rPr>
                <w:rFonts w:ascii="Calibri" w:hAnsi="Calibri" w:cs="Calibri"/>
                <w:sz w:val="20"/>
                <w:szCs w:val="20"/>
                <w:lang w:val="en-GB"/>
              </w:rPr>
            </w:pPr>
            <w:r w:rsidRPr="003F58BF">
              <w:rPr>
                <w:rFonts w:ascii="Calibri" w:hAnsi="Calibri" w:cs="Calibri"/>
                <w:sz w:val="20"/>
                <w:szCs w:val="20"/>
                <w:lang w:val="en-GB"/>
              </w:rPr>
              <w:t>Implicit</w:t>
            </w:r>
          </w:p>
        </w:tc>
        <w:tc>
          <w:tcPr>
            <w:tcW w:w="1972" w:type="dxa"/>
          </w:tcPr>
          <w:p w14:paraId="31553C49" w14:textId="12559202"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Attentional bias modification</w:t>
            </w:r>
          </w:p>
        </w:tc>
        <w:tc>
          <w:tcPr>
            <w:tcW w:w="1714" w:type="dxa"/>
          </w:tcPr>
          <w:p w14:paraId="2DF6844D" w14:textId="77CF1C7B"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Obsessive Compulsive Drinking Scale (OCDS)</w:t>
            </w:r>
          </w:p>
        </w:tc>
        <w:tc>
          <w:tcPr>
            <w:tcW w:w="1352" w:type="dxa"/>
          </w:tcPr>
          <w:p w14:paraId="653E5842" w14:textId="5F849F01" w:rsidR="003F58BF" w:rsidRPr="003F58BF" w:rsidRDefault="003F58BF" w:rsidP="003F58BF">
            <w:pPr>
              <w:pStyle w:val="APANormal"/>
              <w:spacing w:before="120" w:line="240" w:lineRule="auto"/>
              <w:ind w:firstLine="0"/>
              <w:rPr>
                <w:rFonts w:ascii="Calibri" w:hAnsi="Calibri" w:cs="Calibri"/>
                <w:sz w:val="20"/>
                <w:szCs w:val="20"/>
                <w:lang w:val="en-GB"/>
              </w:rPr>
            </w:pPr>
            <w:r w:rsidRPr="003F58BF">
              <w:rPr>
                <w:rFonts w:ascii="Calibri" w:hAnsi="Calibri" w:cs="Calibri"/>
                <w:sz w:val="20"/>
                <w:szCs w:val="20"/>
                <w:lang w:val="en-GB"/>
              </w:rPr>
              <w:t>3 months</w:t>
            </w:r>
          </w:p>
        </w:tc>
      </w:tr>
      <w:tr w:rsidR="003F58BF" w:rsidRPr="006E1B20" w14:paraId="39E3068F" w14:textId="77777777" w:rsidTr="00F1063F">
        <w:trPr>
          <w:trHeight w:val="907"/>
        </w:trPr>
        <w:tc>
          <w:tcPr>
            <w:tcW w:w="723" w:type="dxa"/>
          </w:tcPr>
          <w:p w14:paraId="0BC76601" w14:textId="557F63A8" w:rsidR="003F58BF" w:rsidRPr="00ED0092" w:rsidRDefault="003F58BF" w:rsidP="003F58BF">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8b</w:t>
            </w:r>
          </w:p>
        </w:tc>
        <w:tc>
          <w:tcPr>
            <w:tcW w:w="1402" w:type="dxa"/>
          </w:tcPr>
          <w:p w14:paraId="7BA0EB6F" w14:textId="131EF75B"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Kvamme et al. (2019)</w:t>
            </w:r>
          </w:p>
        </w:tc>
        <w:tc>
          <w:tcPr>
            <w:tcW w:w="1857" w:type="dxa"/>
          </w:tcPr>
          <w:p w14:paraId="6774EE91" w14:textId="7E2FF21F" w:rsidR="003F58BF" w:rsidRPr="00ED0092" w:rsidRDefault="003F58BF"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0BF12A70" w14:textId="050A877B"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Attentional bias modification</w:t>
            </w:r>
          </w:p>
        </w:tc>
        <w:tc>
          <w:tcPr>
            <w:tcW w:w="1714" w:type="dxa"/>
          </w:tcPr>
          <w:p w14:paraId="3DF5C488" w14:textId="7FFC2750"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Relapse rate</w:t>
            </w:r>
          </w:p>
        </w:tc>
        <w:tc>
          <w:tcPr>
            <w:tcW w:w="1352" w:type="dxa"/>
          </w:tcPr>
          <w:p w14:paraId="188177F1" w14:textId="077D19A8"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3 months</w:t>
            </w:r>
          </w:p>
        </w:tc>
      </w:tr>
      <w:tr w:rsidR="003F58BF" w:rsidRPr="006E1B20" w14:paraId="7D80D318" w14:textId="77777777" w:rsidTr="00F1063F">
        <w:trPr>
          <w:trHeight w:val="907"/>
        </w:trPr>
        <w:tc>
          <w:tcPr>
            <w:tcW w:w="723" w:type="dxa"/>
          </w:tcPr>
          <w:p w14:paraId="72FD0F2E" w14:textId="522F2F49" w:rsidR="003F58BF" w:rsidRPr="00ED0092" w:rsidRDefault="003F58BF" w:rsidP="003F58BF">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9a</w:t>
            </w:r>
          </w:p>
        </w:tc>
        <w:tc>
          <w:tcPr>
            <w:tcW w:w="1402" w:type="dxa"/>
          </w:tcPr>
          <w:p w14:paraId="713C43FB" w14:textId="7735EF30"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Kumar et al. (2019)</w:t>
            </w:r>
          </w:p>
        </w:tc>
        <w:tc>
          <w:tcPr>
            <w:tcW w:w="1857" w:type="dxa"/>
          </w:tcPr>
          <w:p w14:paraId="3008E028" w14:textId="10687F35" w:rsidR="003F58BF" w:rsidRPr="00ED0092" w:rsidRDefault="003F58BF"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Explicit</w:t>
            </w:r>
          </w:p>
        </w:tc>
        <w:tc>
          <w:tcPr>
            <w:tcW w:w="1972" w:type="dxa"/>
          </w:tcPr>
          <w:p w14:paraId="5F8C2EA1" w14:textId="2CA6B816"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Executive function retraining</w:t>
            </w:r>
          </w:p>
        </w:tc>
        <w:tc>
          <w:tcPr>
            <w:tcW w:w="1714" w:type="dxa"/>
          </w:tcPr>
          <w:p w14:paraId="1FE5B700" w14:textId="12F0FEBC"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Abstinence rate</w:t>
            </w:r>
          </w:p>
        </w:tc>
        <w:tc>
          <w:tcPr>
            <w:tcW w:w="1352" w:type="dxa"/>
          </w:tcPr>
          <w:p w14:paraId="4AAA2CAD" w14:textId="42692480"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1 month</w:t>
            </w:r>
            <w:r w:rsidRPr="00ED0092">
              <w:rPr>
                <w:rFonts w:ascii="Calibri" w:hAnsi="Calibri" w:cs="Calibri"/>
                <w:sz w:val="20"/>
                <w:szCs w:val="20"/>
                <w:vertAlign w:val="superscript"/>
                <w:lang w:val="en-GB"/>
              </w:rPr>
              <w:t>**</w:t>
            </w:r>
          </w:p>
        </w:tc>
      </w:tr>
      <w:tr w:rsidR="003F58BF" w:rsidRPr="006E1B20" w14:paraId="14160BC7" w14:textId="77777777" w:rsidTr="00F1063F">
        <w:trPr>
          <w:trHeight w:val="907"/>
        </w:trPr>
        <w:tc>
          <w:tcPr>
            <w:tcW w:w="723" w:type="dxa"/>
          </w:tcPr>
          <w:p w14:paraId="5C2DE4F4" w14:textId="2CCE7D5A" w:rsidR="003F58BF" w:rsidRPr="00ED0092" w:rsidRDefault="003F58BF" w:rsidP="003F58BF">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9b</w:t>
            </w:r>
          </w:p>
        </w:tc>
        <w:tc>
          <w:tcPr>
            <w:tcW w:w="1402" w:type="dxa"/>
          </w:tcPr>
          <w:p w14:paraId="67B55362" w14:textId="08ABB80C"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Kumar et al. (2019)</w:t>
            </w:r>
          </w:p>
        </w:tc>
        <w:tc>
          <w:tcPr>
            <w:tcW w:w="1857" w:type="dxa"/>
          </w:tcPr>
          <w:p w14:paraId="324CC246" w14:textId="13E4D5F8" w:rsidR="003F58BF" w:rsidRPr="00ED0092" w:rsidRDefault="003F58BF"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Explicit</w:t>
            </w:r>
          </w:p>
        </w:tc>
        <w:tc>
          <w:tcPr>
            <w:tcW w:w="1972" w:type="dxa"/>
          </w:tcPr>
          <w:p w14:paraId="45C5D1F1" w14:textId="71CBB75F"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Executive function retraining</w:t>
            </w:r>
          </w:p>
        </w:tc>
        <w:tc>
          <w:tcPr>
            <w:tcW w:w="1714" w:type="dxa"/>
          </w:tcPr>
          <w:p w14:paraId="5113F493" w14:textId="2F46AD00"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Abstinence rate</w:t>
            </w:r>
          </w:p>
        </w:tc>
        <w:tc>
          <w:tcPr>
            <w:tcW w:w="1352" w:type="dxa"/>
          </w:tcPr>
          <w:p w14:paraId="059A8612" w14:textId="4567ABA5"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3 months</w:t>
            </w:r>
          </w:p>
        </w:tc>
      </w:tr>
      <w:tr w:rsidR="003F58BF" w:rsidRPr="006E1B20" w14:paraId="05041387" w14:textId="77777777" w:rsidTr="00F1063F">
        <w:trPr>
          <w:trHeight w:val="907"/>
        </w:trPr>
        <w:tc>
          <w:tcPr>
            <w:tcW w:w="723" w:type="dxa"/>
          </w:tcPr>
          <w:p w14:paraId="2E8AA330" w14:textId="086DE243" w:rsidR="003F58BF" w:rsidRPr="00ED0092" w:rsidRDefault="003F58BF" w:rsidP="003F58BF">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9c</w:t>
            </w:r>
          </w:p>
        </w:tc>
        <w:tc>
          <w:tcPr>
            <w:tcW w:w="1402" w:type="dxa"/>
          </w:tcPr>
          <w:p w14:paraId="17A33325" w14:textId="7A8DCB00"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Kumar et al. (2019)</w:t>
            </w:r>
          </w:p>
        </w:tc>
        <w:tc>
          <w:tcPr>
            <w:tcW w:w="1857" w:type="dxa"/>
          </w:tcPr>
          <w:p w14:paraId="6AEDC996" w14:textId="4CF14A08" w:rsidR="003F58BF" w:rsidRPr="00ED0092" w:rsidRDefault="003F58BF"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Explicit</w:t>
            </w:r>
          </w:p>
        </w:tc>
        <w:tc>
          <w:tcPr>
            <w:tcW w:w="1972" w:type="dxa"/>
          </w:tcPr>
          <w:p w14:paraId="3F5B73B5" w14:textId="386E91BE"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Executive function retraining</w:t>
            </w:r>
          </w:p>
        </w:tc>
        <w:tc>
          <w:tcPr>
            <w:tcW w:w="1714" w:type="dxa"/>
          </w:tcPr>
          <w:p w14:paraId="3272B61B" w14:textId="04DA07E2"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Abstinence rate</w:t>
            </w:r>
          </w:p>
        </w:tc>
        <w:tc>
          <w:tcPr>
            <w:tcW w:w="1352" w:type="dxa"/>
          </w:tcPr>
          <w:p w14:paraId="75C0EAFE" w14:textId="3B6D251F" w:rsidR="003F58BF" w:rsidRPr="00ED0092" w:rsidRDefault="003F58BF" w:rsidP="003F58BF">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6 months</w:t>
            </w:r>
          </w:p>
        </w:tc>
      </w:tr>
      <w:tr w:rsidR="00ED0092" w:rsidRPr="006E1B20" w14:paraId="4D2235A1" w14:textId="77777777" w:rsidTr="00F1063F">
        <w:trPr>
          <w:trHeight w:val="907"/>
        </w:trPr>
        <w:tc>
          <w:tcPr>
            <w:tcW w:w="723" w:type="dxa"/>
          </w:tcPr>
          <w:p w14:paraId="3E7B5F30" w14:textId="69224AAA"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10a</w:t>
            </w:r>
          </w:p>
        </w:tc>
        <w:tc>
          <w:tcPr>
            <w:tcW w:w="1402" w:type="dxa"/>
          </w:tcPr>
          <w:p w14:paraId="1DFF770D" w14:textId="63973BE4"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Laurens et al. (2023)</w:t>
            </w:r>
          </w:p>
        </w:tc>
        <w:tc>
          <w:tcPr>
            <w:tcW w:w="1857" w:type="dxa"/>
          </w:tcPr>
          <w:p w14:paraId="6C86F38E" w14:textId="5FB204EC"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103A7385" w14:textId="536155D1"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bias modification</w:t>
            </w:r>
          </w:p>
        </w:tc>
        <w:tc>
          <w:tcPr>
            <w:tcW w:w="1714" w:type="dxa"/>
          </w:tcPr>
          <w:p w14:paraId="2D6E5C35" w14:textId="5826209F"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Standard drinks per day (SDD)</w:t>
            </w:r>
          </w:p>
        </w:tc>
        <w:tc>
          <w:tcPr>
            <w:tcW w:w="1352" w:type="dxa"/>
          </w:tcPr>
          <w:p w14:paraId="7DD41B24" w14:textId="49BE4A9A"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Post-intervention</w:t>
            </w:r>
            <w:r w:rsidRPr="00ED0092">
              <w:rPr>
                <w:rFonts w:ascii="Calibri" w:hAnsi="Calibri" w:cs="Calibri"/>
                <w:sz w:val="20"/>
                <w:szCs w:val="20"/>
                <w:vertAlign w:val="superscript"/>
                <w:lang w:val="en-GB"/>
              </w:rPr>
              <w:t>**</w:t>
            </w:r>
          </w:p>
        </w:tc>
      </w:tr>
      <w:tr w:rsidR="00ED0092" w:rsidRPr="006E1B20" w14:paraId="1889FA9C" w14:textId="77777777" w:rsidTr="00F1063F">
        <w:trPr>
          <w:trHeight w:val="907"/>
        </w:trPr>
        <w:tc>
          <w:tcPr>
            <w:tcW w:w="723" w:type="dxa"/>
          </w:tcPr>
          <w:p w14:paraId="2A0F9816" w14:textId="2440E3CB"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10b</w:t>
            </w:r>
          </w:p>
        </w:tc>
        <w:tc>
          <w:tcPr>
            <w:tcW w:w="1402" w:type="dxa"/>
          </w:tcPr>
          <w:p w14:paraId="334A3B11" w14:textId="686FA129"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Laurens et al. (2023)</w:t>
            </w:r>
          </w:p>
        </w:tc>
        <w:tc>
          <w:tcPr>
            <w:tcW w:w="1857" w:type="dxa"/>
          </w:tcPr>
          <w:p w14:paraId="41C8C20F" w14:textId="4B73C0C7"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4DC98CD8" w14:textId="4D08F8AA"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bias modification</w:t>
            </w:r>
          </w:p>
        </w:tc>
        <w:tc>
          <w:tcPr>
            <w:tcW w:w="1714" w:type="dxa"/>
          </w:tcPr>
          <w:p w14:paraId="482D1AAD" w14:textId="6C387051"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Standard drinks per day (SDD)</w:t>
            </w:r>
          </w:p>
        </w:tc>
        <w:tc>
          <w:tcPr>
            <w:tcW w:w="1352" w:type="dxa"/>
          </w:tcPr>
          <w:p w14:paraId="05654162" w14:textId="4C39B61B"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3 months</w:t>
            </w:r>
          </w:p>
        </w:tc>
      </w:tr>
      <w:tr w:rsidR="00ED0092" w:rsidRPr="006E1B20" w14:paraId="5FDB8777" w14:textId="77777777" w:rsidTr="00F1063F">
        <w:trPr>
          <w:trHeight w:val="964"/>
        </w:trPr>
        <w:tc>
          <w:tcPr>
            <w:tcW w:w="723" w:type="dxa"/>
          </w:tcPr>
          <w:p w14:paraId="3FBFE277" w14:textId="53F2A8F2"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10c</w:t>
            </w:r>
          </w:p>
        </w:tc>
        <w:tc>
          <w:tcPr>
            <w:tcW w:w="1402" w:type="dxa"/>
          </w:tcPr>
          <w:p w14:paraId="3F5FB91C" w14:textId="1F482E13"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Laurens et al. (2023)</w:t>
            </w:r>
          </w:p>
        </w:tc>
        <w:tc>
          <w:tcPr>
            <w:tcW w:w="1857" w:type="dxa"/>
          </w:tcPr>
          <w:p w14:paraId="564D44C2" w14:textId="32B7737A"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6D539B4B" w14:textId="69E09845"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bias modification</w:t>
            </w:r>
          </w:p>
        </w:tc>
        <w:tc>
          <w:tcPr>
            <w:tcW w:w="1714" w:type="dxa"/>
          </w:tcPr>
          <w:p w14:paraId="3B797DC3" w14:textId="683E86E0"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Standard drinks per day (SDD)</w:t>
            </w:r>
          </w:p>
        </w:tc>
        <w:tc>
          <w:tcPr>
            <w:tcW w:w="1352" w:type="dxa"/>
          </w:tcPr>
          <w:p w14:paraId="3EDA82DF" w14:textId="41C92A39"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6 months</w:t>
            </w:r>
          </w:p>
        </w:tc>
      </w:tr>
      <w:tr w:rsidR="00ED0092" w:rsidRPr="006E1B20" w14:paraId="4BD7CDE7" w14:textId="77777777" w:rsidTr="00F1063F">
        <w:trPr>
          <w:trHeight w:val="907"/>
        </w:trPr>
        <w:tc>
          <w:tcPr>
            <w:tcW w:w="723" w:type="dxa"/>
          </w:tcPr>
          <w:p w14:paraId="02218973" w14:textId="5D65A74B"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lastRenderedPageBreak/>
              <w:t>11</w:t>
            </w:r>
          </w:p>
        </w:tc>
        <w:tc>
          <w:tcPr>
            <w:tcW w:w="1402" w:type="dxa"/>
          </w:tcPr>
          <w:p w14:paraId="5BA2B646" w14:textId="1FCFD93E"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Manning et al. (2016)</w:t>
            </w:r>
          </w:p>
        </w:tc>
        <w:tc>
          <w:tcPr>
            <w:tcW w:w="1857" w:type="dxa"/>
          </w:tcPr>
          <w:p w14:paraId="0C378FCD" w14:textId="42D5D95A"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4A9452F6" w14:textId="09A5FE5E"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bias modification</w:t>
            </w:r>
          </w:p>
        </w:tc>
        <w:tc>
          <w:tcPr>
            <w:tcW w:w="1714" w:type="dxa"/>
          </w:tcPr>
          <w:p w14:paraId="373F76A4" w14:textId="401C04AF"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Abstinence rate</w:t>
            </w:r>
          </w:p>
        </w:tc>
        <w:tc>
          <w:tcPr>
            <w:tcW w:w="1352" w:type="dxa"/>
          </w:tcPr>
          <w:p w14:paraId="18B7522A" w14:textId="0DEC91AF"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3 months</w:t>
            </w:r>
          </w:p>
        </w:tc>
      </w:tr>
      <w:tr w:rsidR="00ED0092" w:rsidRPr="006E1B20" w14:paraId="1FD36C9F" w14:textId="77777777" w:rsidTr="00F1063F">
        <w:trPr>
          <w:trHeight w:val="850"/>
        </w:trPr>
        <w:tc>
          <w:tcPr>
            <w:tcW w:w="723" w:type="dxa"/>
          </w:tcPr>
          <w:p w14:paraId="14F58601" w14:textId="0CFAD9A5"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12a</w:t>
            </w:r>
          </w:p>
        </w:tc>
        <w:tc>
          <w:tcPr>
            <w:tcW w:w="1402" w:type="dxa"/>
          </w:tcPr>
          <w:p w14:paraId="2A2286A4" w14:textId="0E7C462B"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Peerenboom (2022)</w:t>
            </w:r>
          </w:p>
        </w:tc>
        <w:tc>
          <w:tcPr>
            <w:tcW w:w="1857" w:type="dxa"/>
          </w:tcPr>
          <w:p w14:paraId="099416DA" w14:textId="210016DB"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113D516F" w14:textId="2103606C"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bias modification</w:t>
            </w:r>
          </w:p>
        </w:tc>
        <w:tc>
          <w:tcPr>
            <w:tcW w:w="1714" w:type="dxa"/>
          </w:tcPr>
          <w:p w14:paraId="7869D78D" w14:textId="1996C9D5"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Abstinence rate</w:t>
            </w:r>
          </w:p>
        </w:tc>
        <w:tc>
          <w:tcPr>
            <w:tcW w:w="1352" w:type="dxa"/>
          </w:tcPr>
          <w:p w14:paraId="0F7F4053" w14:textId="48C9A581"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3 months</w:t>
            </w:r>
          </w:p>
        </w:tc>
      </w:tr>
      <w:tr w:rsidR="00ED0092" w:rsidRPr="006E1B20" w14:paraId="06D42938" w14:textId="77777777" w:rsidTr="00F1063F">
        <w:trPr>
          <w:trHeight w:val="780"/>
        </w:trPr>
        <w:tc>
          <w:tcPr>
            <w:tcW w:w="723" w:type="dxa"/>
          </w:tcPr>
          <w:p w14:paraId="0684E70D" w14:textId="143DFBB3"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12b</w:t>
            </w:r>
          </w:p>
        </w:tc>
        <w:tc>
          <w:tcPr>
            <w:tcW w:w="1402" w:type="dxa"/>
          </w:tcPr>
          <w:p w14:paraId="33A09B9D" w14:textId="28EDCEE5"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Peerenboom (2022)</w:t>
            </w:r>
          </w:p>
        </w:tc>
        <w:tc>
          <w:tcPr>
            <w:tcW w:w="1857" w:type="dxa"/>
          </w:tcPr>
          <w:p w14:paraId="337EB139" w14:textId="1B799C23"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1E61B3B9" w14:textId="612D13D7"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bias modification</w:t>
            </w:r>
          </w:p>
        </w:tc>
        <w:tc>
          <w:tcPr>
            <w:tcW w:w="1714" w:type="dxa"/>
          </w:tcPr>
          <w:p w14:paraId="253875C8" w14:textId="195F071C"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Abstinence rate</w:t>
            </w:r>
          </w:p>
        </w:tc>
        <w:tc>
          <w:tcPr>
            <w:tcW w:w="1352" w:type="dxa"/>
          </w:tcPr>
          <w:p w14:paraId="020B4EA1" w14:textId="6DA07524"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12 months</w:t>
            </w:r>
          </w:p>
        </w:tc>
      </w:tr>
      <w:tr w:rsidR="00ED0092" w:rsidRPr="006E1B20" w14:paraId="10DCC2FB" w14:textId="77777777" w:rsidTr="00F1063F">
        <w:trPr>
          <w:trHeight w:val="819"/>
        </w:trPr>
        <w:tc>
          <w:tcPr>
            <w:tcW w:w="723" w:type="dxa"/>
          </w:tcPr>
          <w:p w14:paraId="5B892C68" w14:textId="0030D694"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12c</w:t>
            </w:r>
          </w:p>
        </w:tc>
        <w:tc>
          <w:tcPr>
            <w:tcW w:w="1402" w:type="dxa"/>
          </w:tcPr>
          <w:p w14:paraId="387988B1" w14:textId="6CA49280"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Peerenbom et al. (2026)</w:t>
            </w:r>
          </w:p>
        </w:tc>
        <w:tc>
          <w:tcPr>
            <w:tcW w:w="1857" w:type="dxa"/>
          </w:tcPr>
          <w:p w14:paraId="297DD242" w14:textId="00953530"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5AF7ED4A" w14:textId="77261786"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bias modification</w:t>
            </w:r>
          </w:p>
        </w:tc>
        <w:tc>
          <w:tcPr>
            <w:tcW w:w="1714" w:type="dxa"/>
          </w:tcPr>
          <w:p w14:paraId="74571C60" w14:textId="0B616C84"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Abstinence rate</w:t>
            </w:r>
          </w:p>
        </w:tc>
        <w:tc>
          <w:tcPr>
            <w:tcW w:w="1352" w:type="dxa"/>
          </w:tcPr>
          <w:p w14:paraId="4CE88FAD" w14:textId="338CB422"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12 months</w:t>
            </w:r>
          </w:p>
        </w:tc>
      </w:tr>
      <w:tr w:rsidR="00ED0092" w:rsidRPr="006E1B20" w14:paraId="58A23463" w14:textId="77777777" w:rsidTr="00F1063F">
        <w:trPr>
          <w:trHeight w:val="716"/>
        </w:trPr>
        <w:tc>
          <w:tcPr>
            <w:tcW w:w="723" w:type="dxa"/>
          </w:tcPr>
          <w:p w14:paraId="6F6472CF" w14:textId="61C097C6"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13a</w:t>
            </w:r>
          </w:p>
        </w:tc>
        <w:tc>
          <w:tcPr>
            <w:tcW w:w="1402" w:type="dxa"/>
          </w:tcPr>
          <w:p w14:paraId="7B95717F" w14:textId="348B70A8"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Rinck et al. (2018)</w:t>
            </w:r>
          </w:p>
        </w:tc>
        <w:tc>
          <w:tcPr>
            <w:tcW w:w="1857" w:type="dxa"/>
          </w:tcPr>
          <w:p w14:paraId="2F30108C" w14:textId="2367B69F"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61F784A1" w14:textId="5BFFA95E"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bias modification</w:t>
            </w:r>
          </w:p>
        </w:tc>
        <w:tc>
          <w:tcPr>
            <w:tcW w:w="1714" w:type="dxa"/>
          </w:tcPr>
          <w:p w14:paraId="6FA7F00C" w14:textId="7A11726E"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Abstinence rate</w:t>
            </w:r>
          </w:p>
        </w:tc>
        <w:tc>
          <w:tcPr>
            <w:tcW w:w="1352" w:type="dxa"/>
          </w:tcPr>
          <w:p w14:paraId="18B0FB37" w14:textId="0A5FECC3"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12 months</w:t>
            </w:r>
          </w:p>
        </w:tc>
      </w:tr>
      <w:tr w:rsidR="00ED0092" w:rsidRPr="006E1B20" w14:paraId="34D91AFE" w14:textId="77777777" w:rsidTr="00F1063F">
        <w:trPr>
          <w:trHeight w:val="907"/>
        </w:trPr>
        <w:tc>
          <w:tcPr>
            <w:tcW w:w="723" w:type="dxa"/>
          </w:tcPr>
          <w:p w14:paraId="634D363D" w14:textId="07ED5632"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13b</w:t>
            </w:r>
          </w:p>
        </w:tc>
        <w:tc>
          <w:tcPr>
            <w:tcW w:w="1402" w:type="dxa"/>
          </w:tcPr>
          <w:p w14:paraId="24269FF9" w14:textId="3710806D"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Rinck et al. (2018)</w:t>
            </w:r>
          </w:p>
        </w:tc>
        <w:tc>
          <w:tcPr>
            <w:tcW w:w="1857" w:type="dxa"/>
          </w:tcPr>
          <w:p w14:paraId="78D3D6D0" w14:textId="5CD5A550"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71E4F514" w14:textId="3120F026"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Attentional bias modification</w:t>
            </w:r>
          </w:p>
        </w:tc>
        <w:tc>
          <w:tcPr>
            <w:tcW w:w="1714" w:type="dxa"/>
          </w:tcPr>
          <w:p w14:paraId="779AE258" w14:textId="57A9B739"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Abstinence rate</w:t>
            </w:r>
          </w:p>
        </w:tc>
        <w:tc>
          <w:tcPr>
            <w:tcW w:w="1352" w:type="dxa"/>
          </w:tcPr>
          <w:p w14:paraId="0BEA4155" w14:textId="24E6E23F"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12 months</w:t>
            </w:r>
            <w:r w:rsidRPr="00ED0092">
              <w:rPr>
                <w:rFonts w:ascii="Calibri" w:hAnsi="Calibri" w:cs="Calibri"/>
                <w:sz w:val="20"/>
                <w:szCs w:val="20"/>
                <w:vertAlign w:val="superscript"/>
                <w:lang w:val="en-GB"/>
              </w:rPr>
              <w:t>**</w:t>
            </w:r>
          </w:p>
        </w:tc>
      </w:tr>
      <w:tr w:rsidR="00ED0092" w:rsidRPr="006E1B20" w14:paraId="34AFD2F9" w14:textId="77777777" w:rsidTr="00F1063F">
        <w:trPr>
          <w:trHeight w:val="964"/>
        </w:trPr>
        <w:tc>
          <w:tcPr>
            <w:tcW w:w="723" w:type="dxa"/>
          </w:tcPr>
          <w:p w14:paraId="6011091F" w14:textId="583D5F77"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13c</w:t>
            </w:r>
          </w:p>
        </w:tc>
        <w:tc>
          <w:tcPr>
            <w:tcW w:w="1402" w:type="dxa"/>
          </w:tcPr>
          <w:p w14:paraId="0897CC32" w14:textId="45844B9F"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Rinck et al. (2018)</w:t>
            </w:r>
          </w:p>
        </w:tc>
        <w:tc>
          <w:tcPr>
            <w:tcW w:w="1857" w:type="dxa"/>
          </w:tcPr>
          <w:p w14:paraId="42815D26" w14:textId="0B33C6B5"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77DF637A" w14:textId="1CD033BA"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 Attentional bias modification</w:t>
            </w:r>
          </w:p>
        </w:tc>
        <w:tc>
          <w:tcPr>
            <w:tcW w:w="1714" w:type="dxa"/>
          </w:tcPr>
          <w:p w14:paraId="4FF83602" w14:textId="7A5D1B18"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Abstinence rate</w:t>
            </w:r>
          </w:p>
        </w:tc>
        <w:tc>
          <w:tcPr>
            <w:tcW w:w="1352" w:type="dxa"/>
          </w:tcPr>
          <w:p w14:paraId="003CB9C8" w14:textId="60E54E38"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12 months</w:t>
            </w:r>
            <w:r w:rsidRPr="00ED0092">
              <w:rPr>
                <w:rFonts w:ascii="Calibri" w:hAnsi="Calibri" w:cs="Calibri"/>
                <w:sz w:val="20"/>
                <w:szCs w:val="20"/>
                <w:vertAlign w:val="superscript"/>
                <w:lang w:val="en-GB"/>
              </w:rPr>
              <w:t>**</w:t>
            </w:r>
          </w:p>
        </w:tc>
      </w:tr>
      <w:tr w:rsidR="00ED0092" w:rsidRPr="006E1B20" w14:paraId="198C892E" w14:textId="77777777" w:rsidTr="00F1063F">
        <w:trPr>
          <w:trHeight w:val="850"/>
        </w:trPr>
        <w:tc>
          <w:tcPr>
            <w:tcW w:w="723" w:type="dxa"/>
          </w:tcPr>
          <w:p w14:paraId="47D2D724" w14:textId="3F775A31"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14a</w:t>
            </w:r>
          </w:p>
        </w:tc>
        <w:tc>
          <w:tcPr>
            <w:tcW w:w="1402" w:type="dxa"/>
          </w:tcPr>
          <w:p w14:paraId="7E945B30" w14:textId="60CBD148"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Schenkel et al. (2023)</w:t>
            </w:r>
          </w:p>
        </w:tc>
        <w:tc>
          <w:tcPr>
            <w:tcW w:w="1857" w:type="dxa"/>
          </w:tcPr>
          <w:p w14:paraId="1C7B3BD9" w14:textId="5C5ABCA8"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3EB3AD9A" w14:textId="5EF3056D"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Inhibitory bias modification</w:t>
            </w:r>
          </w:p>
        </w:tc>
        <w:tc>
          <w:tcPr>
            <w:tcW w:w="1714" w:type="dxa"/>
          </w:tcPr>
          <w:p w14:paraId="0E17C883" w14:textId="2C240C21"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Success/abstinence rate</w:t>
            </w:r>
          </w:p>
        </w:tc>
        <w:tc>
          <w:tcPr>
            <w:tcW w:w="1352" w:type="dxa"/>
          </w:tcPr>
          <w:p w14:paraId="4173FBB8" w14:textId="7DF2062E"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3 months</w:t>
            </w:r>
          </w:p>
        </w:tc>
      </w:tr>
      <w:tr w:rsidR="00ED0092" w:rsidRPr="006E1B20" w14:paraId="157C36F7" w14:textId="77777777" w:rsidTr="00F1063F">
        <w:trPr>
          <w:trHeight w:val="850"/>
        </w:trPr>
        <w:tc>
          <w:tcPr>
            <w:tcW w:w="723" w:type="dxa"/>
          </w:tcPr>
          <w:p w14:paraId="57491FFD" w14:textId="59556145"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14b</w:t>
            </w:r>
          </w:p>
        </w:tc>
        <w:tc>
          <w:tcPr>
            <w:tcW w:w="1402" w:type="dxa"/>
          </w:tcPr>
          <w:p w14:paraId="2B5D1FC7" w14:textId="3B816F1B"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Schenkel et al. (2023)</w:t>
            </w:r>
          </w:p>
        </w:tc>
        <w:tc>
          <w:tcPr>
            <w:tcW w:w="1857" w:type="dxa"/>
          </w:tcPr>
          <w:p w14:paraId="2E98E5B1" w14:textId="20046DFF"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3AB08D52" w14:textId="0916BE49"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Inhibitory bias modification</w:t>
            </w:r>
          </w:p>
        </w:tc>
        <w:tc>
          <w:tcPr>
            <w:tcW w:w="1714" w:type="dxa"/>
          </w:tcPr>
          <w:p w14:paraId="222A4A59" w14:textId="488EA473"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Success/abstinence rate</w:t>
            </w:r>
          </w:p>
        </w:tc>
        <w:tc>
          <w:tcPr>
            <w:tcW w:w="1352" w:type="dxa"/>
          </w:tcPr>
          <w:p w14:paraId="4B72FDB7" w14:textId="2347B6E1"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12 months</w:t>
            </w:r>
          </w:p>
        </w:tc>
      </w:tr>
      <w:tr w:rsidR="00ED0092" w:rsidRPr="006E1B20" w14:paraId="217B3385" w14:textId="77777777" w:rsidTr="00F1063F">
        <w:trPr>
          <w:trHeight w:val="850"/>
        </w:trPr>
        <w:tc>
          <w:tcPr>
            <w:tcW w:w="723" w:type="dxa"/>
          </w:tcPr>
          <w:p w14:paraId="610A9138" w14:textId="0E742FD7"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15a</w:t>
            </w:r>
          </w:p>
        </w:tc>
        <w:tc>
          <w:tcPr>
            <w:tcW w:w="1402" w:type="dxa"/>
          </w:tcPr>
          <w:p w14:paraId="6D71EB2E" w14:textId="1A5BF944"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Schenkel et al. (2024)</w:t>
            </w:r>
          </w:p>
        </w:tc>
        <w:tc>
          <w:tcPr>
            <w:tcW w:w="1857" w:type="dxa"/>
          </w:tcPr>
          <w:p w14:paraId="46583BBF" w14:textId="64FC97DE"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41F8E7C7" w14:textId="37A712A0"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bias modification</w:t>
            </w:r>
          </w:p>
        </w:tc>
        <w:tc>
          <w:tcPr>
            <w:tcW w:w="1714" w:type="dxa"/>
          </w:tcPr>
          <w:p w14:paraId="04E08B86" w14:textId="1F825E1E"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Success/abstinence rate</w:t>
            </w:r>
          </w:p>
        </w:tc>
        <w:tc>
          <w:tcPr>
            <w:tcW w:w="1352" w:type="dxa"/>
          </w:tcPr>
          <w:p w14:paraId="35553912" w14:textId="67615E24"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3 months</w:t>
            </w:r>
          </w:p>
        </w:tc>
      </w:tr>
      <w:tr w:rsidR="00ED0092" w:rsidRPr="006E1B20" w14:paraId="31F69340" w14:textId="77777777" w:rsidTr="00F1063F">
        <w:trPr>
          <w:trHeight w:val="850"/>
        </w:trPr>
        <w:tc>
          <w:tcPr>
            <w:tcW w:w="723" w:type="dxa"/>
          </w:tcPr>
          <w:p w14:paraId="02EBF03C" w14:textId="5B7BC50E"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15b</w:t>
            </w:r>
          </w:p>
        </w:tc>
        <w:tc>
          <w:tcPr>
            <w:tcW w:w="1402" w:type="dxa"/>
          </w:tcPr>
          <w:p w14:paraId="306BE120" w14:textId="36439CE1"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Schenkel et al. (2024)</w:t>
            </w:r>
          </w:p>
        </w:tc>
        <w:tc>
          <w:tcPr>
            <w:tcW w:w="1857" w:type="dxa"/>
          </w:tcPr>
          <w:p w14:paraId="35A84C5D" w14:textId="495AFD62"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14865E0F" w14:textId="49A7D88C"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bias modification</w:t>
            </w:r>
          </w:p>
        </w:tc>
        <w:tc>
          <w:tcPr>
            <w:tcW w:w="1714" w:type="dxa"/>
          </w:tcPr>
          <w:p w14:paraId="01D329DD" w14:textId="472B4AC0"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Success/abstinence rate</w:t>
            </w:r>
          </w:p>
        </w:tc>
        <w:tc>
          <w:tcPr>
            <w:tcW w:w="1352" w:type="dxa"/>
          </w:tcPr>
          <w:p w14:paraId="1CF9B08B" w14:textId="62DF840F"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6 months</w:t>
            </w:r>
          </w:p>
        </w:tc>
      </w:tr>
      <w:tr w:rsidR="00ED0092" w:rsidRPr="006E1B20" w14:paraId="38B0CE7C" w14:textId="77777777" w:rsidTr="00F1063F">
        <w:trPr>
          <w:trHeight w:val="850"/>
        </w:trPr>
        <w:tc>
          <w:tcPr>
            <w:tcW w:w="723" w:type="dxa"/>
          </w:tcPr>
          <w:p w14:paraId="16C8B242" w14:textId="71EE41E3"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15c</w:t>
            </w:r>
          </w:p>
        </w:tc>
        <w:tc>
          <w:tcPr>
            <w:tcW w:w="1402" w:type="dxa"/>
          </w:tcPr>
          <w:p w14:paraId="2C6B4BCB" w14:textId="5C628F4F"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Schenkel et al. (2024)</w:t>
            </w:r>
          </w:p>
        </w:tc>
        <w:tc>
          <w:tcPr>
            <w:tcW w:w="1857" w:type="dxa"/>
          </w:tcPr>
          <w:p w14:paraId="2B477EF8" w14:textId="42B77B5B"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70DEA9DC" w14:textId="1CD263ED"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Approach bias modification</w:t>
            </w:r>
          </w:p>
        </w:tc>
        <w:tc>
          <w:tcPr>
            <w:tcW w:w="1714" w:type="dxa"/>
          </w:tcPr>
          <w:p w14:paraId="29275ED9" w14:textId="4E503A43"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Success/abstinence rate</w:t>
            </w:r>
          </w:p>
        </w:tc>
        <w:tc>
          <w:tcPr>
            <w:tcW w:w="1352" w:type="dxa"/>
          </w:tcPr>
          <w:p w14:paraId="666E8352" w14:textId="76D7FAE5"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12 months</w:t>
            </w:r>
          </w:p>
        </w:tc>
      </w:tr>
      <w:tr w:rsidR="00ED0092" w:rsidRPr="006E1B20" w14:paraId="525A58BE" w14:textId="77777777" w:rsidTr="00F1063F">
        <w:trPr>
          <w:trHeight w:val="907"/>
        </w:trPr>
        <w:tc>
          <w:tcPr>
            <w:tcW w:w="723" w:type="dxa"/>
          </w:tcPr>
          <w:p w14:paraId="74E1623D" w14:textId="6F0B5AE5"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16a</w:t>
            </w:r>
          </w:p>
        </w:tc>
        <w:tc>
          <w:tcPr>
            <w:tcW w:w="1402" w:type="dxa"/>
          </w:tcPr>
          <w:p w14:paraId="0582B4C7" w14:textId="21AAF649"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Schoenmakers et al. (2010)</w:t>
            </w:r>
          </w:p>
        </w:tc>
        <w:tc>
          <w:tcPr>
            <w:tcW w:w="1857" w:type="dxa"/>
          </w:tcPr>
          <w:p w14:paraId="025DD817" w14:textId="14043B56"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65379AC2" w14:textId="25D4654F"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Attentional bias modification</w:t>
            </w:r>
          </w:p>
        </w:tc>
        <w:tc>
          <w:tcPr>
            <w:tcW w:w="1714" w:type="dxa"/>
          </w:tcPr>
          <w:p w14:paraId="2138EB5C" w14:textId="603F6116"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Desires for Alcohol Questionnaire (DAQ)</w:t>
            </w:r>
          </w:p>
        </w:tc>
        <w:tc>
          <w:tcPr>
            <w:tcW w:w="1352" w:type="dxa"/>
          </w:tcPr>
          <w:p w14:paraId="1FA9DB9A" w14:textId="7A7C7D94"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Post-intervention</w:t>
            </w:r>
          </w:p>
        </w:tc>
      </w:tr>
      <w:tr w:rsidR="00ED0092" w:rsidRPr="006E1B20" w14:paraId="2A546467" w14:textId="77777777" w:rsidTr="00F1063F">
        <w:trPr>
          <w:trHeight w:val="907"/>
        </w:trPr>
        <w:tc>
          <w:tcPr>
            <w:tcW w:w="723" w:type="dxa"/>
          </w:tcPr>
          <w:p w14:paraId="33ACD639" w14:textId="029C88CE"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16b</w:t>
            </w:r>
          </w:p>
        </w:tc>
        <w:tc>
          <w:tcPr>
            <w:tcW w:w="1402" w:type="dxa"/>
          </w:tcPr>
          <w:p w14:paraId="08A32AA4" w14:textId="4A3901F4"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Schoenmakers et al. (2010)</w:t>
            </w:r>
          </w:p>
        </w:tc>
        <w:tc>
          <w:tcPr>
            <w:tcW w:w="1857" w:type="dxa"/>
          </w:tcPr>
          <w:p w14:paraId="76A79890" w14:textId="01650D97"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1694B4FD" w14:textId="6F1C6D89"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Attentional bias modification</w:t>
            </w:r>
          </w:p>
        </w:tc>
        <w:tc>
          <w:tcPr>
            <w:tcW w:w="1714" w:type="dxa"/>
          </w:tcPr>
          <w:p w14:paraId="61F01E4E" w14:textId="30A30C25"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Relapse rate</w:t>
            </w:r>
          </w:p>
        </w:tc>
        <w:tc>
          <w:tcPr>
            <w:tcW w:w="1352" w:type="dxa"/>
          </w:tcPr>
          <w:p w14:paraId="53C792B7" w14:textId="7A15A627"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12 months</w:t>
            </w:r>
          </w:p>
        </w:tc>
      </w:tr>
      <w:tr w:rsidR="00ED0092" w:rsidRPr="006E1B20" w14:paraId="416369F4" w14:textId="77777777" w:rsidTr="00F1063F">
        <w:trPr>
          <w:trHeight w:val="1189"/>
        </w:trPr>
        <w:tc>
          <w:tcPr>
            <w:tcW w:w="723" w:type="dxa"/>
          </w:tcPr>
          <w:p w14:paraId="1C33BA27" w14:textId="1DE481FF" w:rsidR="00ED0092" w:rsidRPr="00ED0092" w:rsidRDefault="00ED0092" w:rsidP="00ED0092">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lastRenderedPageBreak/>
              <w:t>17a</w:t>
            </w:r>
          </w:p>
        </w:tc>
        <w:tc>
          <w:tcPr>
            <w:tcW w:w="1402" w:type="dxa"/>
          </w:tcPr>
          <w:p w14:paraId="07791FE5" w14:textId="625BCAA2"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Stein et al. (2023)</w:t>
            </w:r>
          </w:p>
        </w:tc>
        <w:tc>
          <w:tcPr>
            <w:tcW w:w="1857" w:type="dxa"/>
          </w:tcPr>
          <w:p w14:paraId="4CC950BC" w14:textId="1CC707F0" w:rsidR="00ED0092" w:rsidRPr="00ED0092" w:rsidRDefault="00ED0092" w:rsidP="005C6519">
            <w:pPr>
              <w:pStyle w:val="APANormal"/>
              <w:spacing w:before="120" w:line="240" w:lineRule="auto"/>
              <w:ind w:firstLine="0"/>
              <w:jc w:val="center"/>
              <w:rPr>
                <w:rFonts w:ascii="Calibri" w:hAnsi="Calibri" w:cs="Calibri"/>
                <w:sz w:val="20"/>
                <w:szCs w:val="20"/>
                <w:lang w:val="en-GB"/>
              </w:rPr>
            </w:pPr>
            <w:r w:rsidRPr="00ED0092">
              <w:rPr>
                <w:rFonts w:ascii="Calibri" w:hAnsi="Calibri" w:cs="Calibri"/>
                <w:sz w:val="20"/>
                <w:szCs w:val="20"/>
                <w:lang w:val="en-GB"/>
              </w:rPr>
              <w:t>Implicit</w:t>
            </w:r>
          </w:p>
        </w:tc>
        <w:tc>
          <w:tcPr>
            <w:tcW w:w="1972" w:type="dxa"/>
          </w:tcPr>
          <w:p w14:paraId="622B0D25" w14:textId="3074BC81"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Inhibitory bias modification</w:t>
            </w:r>
          </w:p>
        </w:tc>
        <w:tc>
          <w:tcPr>
            <w:tcW w:w="1714" w:type="dxa"/>
          </w:tcPr>
          <w:p w14:paraId="28A41DE8" w14:textId="097080B3"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Obsessive Compulsive Drinking Scale (OCDS)</w:t>
            </w:r>
          </w:p>
        </w:tc>
        <w:tc>
          <w:tcPr>
            <w:tcW w:w="1352" w:type="dxa"/>
          </w:tcPr>
          <w:p w14:paraId="3B1C227A" w14:textId="3C0612B8" w:rsidR="00ED0092" w:rsidRPr="00ED0092" w:rsidRDefault="00ED0092" w:rsidP="00ED0092">
            <w:pPr>
              <w:pStyle w:val="APANormal"/>
              <w:spacing w:before="120" w:line="240" w:lineRule="auto"/>
              <w:ind w:firstLine="0"/>
              <w:rPr>
                <w:rFonts w:ascii="Calibri" w:hAnsi="Calibri" w:cs="Calibri"/>
                <w:sz w:val="20"/>
                <w:szCs w:val="20"/>
                <w:lang w:val="en-GB"/>
              </w:rPr>
            </w:pPr>
            <w:r w:rsidRPr="00ED0092">
              <w:rPr>
                <w:rFonts w:ascii="Calibri" w:hAnsi="Calibri" w:cs="Calibri"/>
                <w:sz w:val="20"/>
                <w:szCs w:val="20"/>
                <w:lang w:val="en-GB"/>
              </w:rPr>
              <w:t>3 months</w:t>
            </w:r>
          </w:p>
        </w:tc>
      </w:tr>
      <w:tr w:rsidR="0052320D" w:rsidRPr="006E1B20" w14:paraId="4C44274E" w14:textId="77777777" w:rsidTr="00F1063F">
        <w:trPr>
          <w:trHeight w:val="794"/>
        </w:trPr>
        <w:tc>
          <w:tcPr>
            <w:tcW w:w="723" w:type="dxa"/>
          </w:tcPr>
          <w:p w14:paraId="41F6D75C" w14:textId="6586E7F8" w:rsidR="0052320D" w:rsidRPr="0052320D" w:rsidRDefault="0052320D" w:rsidP="0052320D">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17b</w:t>
            </w:r>
          </w:p>
        </w:tc>
        <w:tc>
          <w:tcPr>
            <w:tcW w:w="1402" w:type="dxa"/>
          </w:tcPr>
          <w:p w14:paraId="35B0BBA4" w14:textId="037DF41B"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Stein et al. (2023)</w:t>
            </w:r>
          </w:p>
        </w:tc>
        <w:tc>
          <w:tcPr>
            <w:tcW w:w="1857" w:type="dxa"/>
          </w:tcPr>
          <w:p w14:paraId="581B4689" w14:textId="1A8850DE" w:rsidR="0052320D" w:rsidRPr="0052320D" w:rsidRDefault="0052320D" w:rsidP="005C6519">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Implicit</w:t>
            </w:r>
          </w:p>
        </w:tc>
        <w:tc>
          <w:tcPr>
            <w:tcW w:w="1972" w:type="dxa"/>
          </w:tcPr>
          <w:p w14:paraId="296DEC4F" w14:textId="356723FC"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Inhibitory bias modification</w:t>
            </w:r>
          </w:p>
        </w:tc>
        <w:tc>
          <w:tcPr>
            <w:tcW w:w="1714" w:type="dxa"/>
          </w:tcPr>
          <w:p w14:paraId="790F53CF" w14:textId="50DC3C42"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Percentage of days abstinent (PDA)</w:t>
            </w:r>
          </w:p>
        </w:tc>
        <w:tc>
          <w:tcPr>
            <w:tcW w:w="1352" w:type="dxa"/>
          </w:tcPr>
          <w:p w14:paraId="5C0F267B" w14:textId="2C009548"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3 months</w:t>
            </w:r>
          </w:p>
        </w:tc>
      </w:tr>
      <w:tr w:rsidR="0052320D" w:rsidRPr="006E1B20" w14:paraId="006D0CA5" w14:textId="77777777" w:rsidTr="00F1063F">
        <w:trPr>
          <w:trHeight w:val="794"/>
        </w:trPr>
        <w:tc>
          <w:tcPr>
            <w:tcW w:w="723" w:type="dxa"/>
          </w:tcPr>
          <w:p w14:paraId="0BD1868C" w14:textId="2D6BB4D0" w:rsidR="0052320D" w:rsidRPr="0052320D" w:rsidRDefault="0052320D" w:rsidP="0052320D">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18a</w:t>
            </w:r>
          </w:p>
        </w:tc>
        <w:tc>
          <w:tcPr>
            <w:tcW w:w="1402" w:type="dxa"/>
          </w:tcPr>
          <w:p w14:paraId="00235452" w14:textId="1804583F"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Wiers et al. (2011)</w:t>
            </w:r>
          </w:p>
        </w:tc>
        <w:tc>
          <w:tcPr>
            <w:tcW w:w="1857" w:type="dxa"/>
          </w:tcPr>
          <w:p w14:paraId="66668EC0" w14:textId="7A9308FC" w:rsidR="0052320D" w:rsidRPr="0052320D" w:rsidRDefault="0052320D" w:rsidP="005C6519">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Implicit</w:t>
            </w:r>
          </w:p>
        </w:tc>
        <w:tc>
          <w:tcPr>
            <w:tcW w:w="1972" w:type="dxa"/>
          </w:tcPr>
          <w:p w14:paraId="077F481A" w14:textId="74F8A0C8"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Approach bias modification</w:t>
            </w:r>
          </w:p>
        </w:tc>
        <w:tc>
          <w:tcPr>
            <w:tcW w:w="1714" w:type="dxa"/>
          </w:tcPr>
          <w:p w14:paraId="38FDC1F9" w14:textId="013D042F"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Subjective craving</w:t>
            </w:r>
          </w:p>
        </w:tc>
        <w:tc>
          <w:tcPr>
            <w:tcW w:w="1352" w:type="dxa"/>
          </w:tcPr>
          <w:p w14:paraId="7A072D98" w14:textId="1CD6255D"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Post-intervention</w:t>
            </w:r>
          </w:p>
        </w:tc>
      </w:tr>
      <w:tr w:rsidR="0052320D" w:rsidRPr="006E1B20" w14:paraId="4CB99FF5" w14:textId="77777777" w:rsidTr="00F1063F">
        <w:trPr>
          <w:trHeight w:val="794"/>
        </w:trPr>
        <w:tc>
          <w:tcPr>
            <w:tcW w:w="723" w:type="dxa"/>
          </w:tcPr>
          <w:p w14:paraId="2194056B" w14:textId="5E6433A8" w:rsidR="0052320D" w:rsidRPr="0052320D" w:rsidRDefault="0052320D" w:rsidP="0052320D">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18b</w:t>
            </w:r>
          </w:p>
        </w:tc>
        <w:tc>
          <w:tcPr>
            <w:tcW w:w="1402" w:type="dxa"/>
          </w:tcPr>
          <w:p w14:paraId="46A0A420" w14:textId="451E9553"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Wiers et al. (2011)</w:t>
            </w:r>
          </w:p>
        </w:tc>
        <w:tc>
          <w:tcPr>
            <w:tcW w:w="1857" w:type="dxa"/>
          </w:tcPr>
          <w:p w14:paraId="1BC539B1" w14:textId="75CC93CE" w:rsidR="0052320D" w:rsidRPr="0052320D" w:rsidRDefault="0052320D" w:rsidP="005C6519">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Implicit</w:t>
            </w:r>
          </w:p>
        </w:tc>
        <w:tc>
          <w:tcPr>
            <w:tcW w:w="1972" w:type="dxa"/>
          </w:tcPr>
          <w:p w14:paraId="7842FB83" w14:textId="3A502C05"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Approach bias modification</w:t>
            </w:r>
          </w:p>
        </w:tc>
        <w:tc>
          <w:tcPr>
            <w:tcW w:w="1714" w:type="dxa"/>
          </w:tcPr>
          <w:p w14:paraId="3CB7C3FB" w14:textId="30B59A14"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Abstinence rate</w:t>
            </w:r>
          </w:p>
        </w:tc>
        <w:tc>
          <w:tcPr>
            <w:tcW w:w="1352" w:type="dxa"/>
          </w:tcPr>
          <w:p w14:paraId="70E64388" w14:textId="41E4B813"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12 months</w:t>
            </w:r>
          </w:p>
        </w:tc>
      </w:tr>
      <w:tr w:rsidR="0052320D" w:rsidRPr="006E1B20" w14:paraId="37EB62D6" w14:textId="77777777" w:rsidTr="00F1063F">
        <w:trPr>
          <w:trHeight w:val="794"/>
        </w:trPr>
        <w:tc>
          <w:tcPr>
            <w:tcW w:w="723" w:type="dxa"/>
          </w:tcPr>
          <w:p w14:paraId="49F57085" w14:textId="5C3B6A75" w:rsidR="0052320D" w:rsidRPr="0052320D" w:rsidRDefault="0052320D" w:rsidP="0052320D">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19a</w:t>
            </w:r>
          </w:p>
        </w:tc>
        <w:tc>
          <w:tcPr>
            <w:tcW w:w="1402" w:type="dxa"/>
          </w:tcPr>
          <w:p w14:paraId="67EA8ABC" w14:textId="6E6FE59D"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Spruyt et al. (2025)</w:t>
            </w:r>
          </w:p>
        </w:tc>
        <w:tc>
          <w:tcPr>
            <w:tcW w:w="1857" w:type="dxa"/>
          </w:tcPr>
          <w:p w14:paraId="2BD94822" w14:textId="55C8B371" w:rsidR="0052320D" w:rsidRPr="0052320D" w:rsidRDefault="0052320D" w:rsidP="005C6519">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Implicit</w:t>
            </w:r>
          </w:p>
        </w:tc>
        <w:tc>
          <w:tcPr>
            <w:tcW w:w="1972" w:type="dxa"/>
          </w:tcPr>
          <w:p w14:paraId="49B1012A" w14:textId="0F98D630"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Approach bias modification</w:t>
            </w:r>
          </w:p>
        </w:tc>
        <w:tc>
          <w:tcPr>
            <w:tcW w:w="1714" w:type="dxa"/>
          </w:tcPr>
          <w:p w14:paraId="268686AB" w14:textId="755DA4A2"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Relapse rate</w:t>
            </w:r>
          </w:p>
        </w:tc>
        <w:tc>
          <w:tcPr>
            <w:tcW w:w="1352" w:type="dxa"/>
          </w:tcPr>
          <w:p w14:paraId="11E922DE" w14:textId="2481D9B5"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3 months</w:t>
            </w:r>
          </w:p>
        </w:tc>
      </w:tr>
      <w:tr w:rsidR="0052320D" w:rsidRPr="006E1B20" w14:paraId="6FA09742" w14:textId="77777777" w:rsidTr="00F1063F">
        <w:trPr>
          <w:trHeight w:val="794"/>
        </w:trPr>
        <w:tc>
          <w:tcPr>
            <w:tcW w:w="723" w:type="dxa"/>
          </w:tcPr>
          <w:p w14:paraId="642DEEF6" w14:textId="7ED7B6EF" w:rsidR="0052320D" w:rsidRPr="0052320D" w:rsidRDefault="0052320D" w:rsidP="0052320D">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19b</w:t>
            </w:r>
          </w:p>
        </w:tc>
        <w:tc>
          <w:tcPr>
            <w:tcW w:w="1402" w:type="dxa"/>
          </w:tcPr>
          <w:p w14:paraId="513546AE" w14:textId="3491E7AF"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Spruyt et al. (2025)</w:t>
            </w:r>
          </w:p>
        </w:tc>
        <w:tc>
          <w:tcPr>
            <w:tcW w:w="1857" w:type="dxa"/>
          </w:tcPr>
          <w:p w14:paraId="03E56FF5" w14:textId="5C71FDF6" w:rsidR="0052320D" w:rsidRPr="0052320D" w:rsidRDefault="0052320D" w:rsidP="005C6519">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Implicit</w:t>
            </w:r>
          </w:p>
        </w:tc>
        <w:tc>
          <w:tcPr>
            <w:tcW w:w="1972" w:type="dxa"/>
          </w:tcPr>
          <w:p w14:paraId="1404CF51" w14:textId="1C28BAF5"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Approach bias modification</w:t>
            </w:r>
          </w:p>
        </w:tc>
        <w:tc>
          <w:tcPr>
            <w:tcW w:w="1714" w:type="dxa"/>
          </w:tcPr>
          <w:p w14:paraId="17920A94" w14:textId="619914C1"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Relapse rate</w:t>
            </w:r>
          </w:p>
        </w:tc>
        <w:tc>
          <w:tcPr>
            <w:tcW w:w="1352" w:type="dxa"/>
          </w:tcPr>
          <w:p w14:paraId="58AC936D" w14:textId="48BE2274"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6 months</w:t>
            </w:r>
          </w:p>
        </w:tc>
      </w:tr>
      <w:tr w:rsidR="0052320D" w:rsidRPr="006E1B20" w14:paraId="45BBF44B" w14:textId="77777777" w:rsidTr="00F1063F">
        <w:trPr>
          <w:trHeight w:val="794"/>
        </w:trPr>
        <w:tc>
          <w:tcPr>
            <w:tcW w:w="723" w:type="dxa"/>
          </w:tcPr>
          <w:p w14:paraId="659F2C46" w14:textId="5697BB3C" w:rsidR="0052320D" w:rsidRPr="0052320D" w:rsidRDefault="0052320D" w:rsidP="0052320D">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19c</w:t>
            </w:r>
          </w:p>
        </w:tc>
        <w:tc>
          <w:tcPr>
            <w:tcW w:w="1402" w:type="dxa"/>
          </w:tcPr>
          <w:p w14:paraId="26726EC6" w14:textId="15F6CC69"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Spruyt et al. (2025)</w:t>
            </w:r>
          </w:p>
        </w:tc>
        <w:tc>
          <w:tcPr>
            <w:tcW w:w="1857" w:type="dxa"/>
          </w:tcPr>
          <w:p w14:paraId="0F105748" w14:textId="380C82EE" w:rsidR="0052320D" w:rsidRPr="0052320D" w:rsidRDefault="0052320D" w:rsidP="005C6519">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Implicit</w:t>
            </w:r>
          </w:p>
        </w:tc>
        <w:tc>
          <w:tcPr>
            <w:tcW w:w="1972" w:type="dxa"/>
          </w:tcPr>
          <w:p w14:paraId="00F12539" w14:textId="5307B36F"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Approach bias modification</w:t>
            </w:r>
          </w:p>
        </w:tc>
        <w:tc>
          <w:tcPr>
            <w:tcW w:w="1714" w:type="dxa"/>
          </w:tcPr>
          <w:p w14:paraId="3E2DBACC" w14:textId="697B9465"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Relapse rate</w:t>
            </w:r>
          </w:p>
        </w:tc>
        <w:tc>
          <w:tcPr>
            <w:tcW w:w="1352" w:type="dxa"/>
          </w:tcPr>
          <w:p w14:paraId="7B63FBB3" w14:textId="44F8D62F"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12 months</w:t>
            </w:r>
          </w:p>
        </w:tc>
      </w:tr>
      <w:tr w:rsidR="0052320D" w:rsidRPr="006E1B20" w14:paraId="0931BF28" w14:textId="77777777" w:rsidTr="00F1063F">
        <w:trPr>
          <w:trHeight w:val="794"/>
        </w:trPr>
        <w:tc>
          <w:tcPr>
            <w:tcW w:w="723" w:type="dxa"/>
          </w:tcPr>
          <w:p w14:paraId="11C0778B" w14:textId="547F1801" w:rsidR="0052320D" w:rsidRPr="0052320D" w:rsidRDefault="0052320D" w:rsidP="0052320D">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20a</w:t>
            </w:r>
          </w:p>
        </w:tc>
        <w:tc>
          <w:tcPr>
            <w:tcW w:w="1402" w:type="dxa"/>
          </w:tcPr>
          <w:p w14:paraId="1FB6DCE6" w14:textId="2AC8BA3A"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Mistarz et al. (2025)</w:t>
            </w:r>
          </w:p>
        </w:tc>
        <w:tc>
          <w:tcPr>
            <w:tcW w:w="1857" w:type="dxa"/>
          </w:tcPr>
          <w:p w14:paraId="45452F62" w14:textId="719D1111" w:rsidR="0052320D" w:rsidRPr="0052320D" w:rsidRDefault="0052320D" w:rsidP="005C6519">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Explicit</w:t>
            </w:r>
          </w:p>
        </w:tc>
        <w:tc>
          <w:tcPr>
            <w:tcW w:w="1972" w:type="dxa"/>
          </w:tcPr>
          <w:p w14:paraId="0A37958D" w14:textId="31A4BCC0"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Working memory retraining</w:t>
            </w:r>
          </w:p>
        </w:tc>
        <w:tc>
          <w:tcPr>
            <w:tcW w:w="1714" w:type="dxa"/>
          </w:tcPr>
          <w:p w14:paraId="1170F8A0" w14:textId="17E9EA18"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Relapse rate</w:t>
            </w:r>
          </w:p>
        </w:tc>
        <w:tc>
          <w:tcPr>
            <w:tcW w:w="1352" w:type="dxa"/>
          </w:tcPr>
          <w:p w14:paraId="35FEC0A8" w14:textId="03C6541E"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Post-intervention</w:t>
            </w:r>
          </w:p>
        </w:tc>
      </w:tr>
      <w:tr w:rsidR="0052320D" w:rsidRPr="006E1B20" w14:paraId="0C9E83B5" w14:textId="77777777" w:rsidTr="00F1063F">
        <w:trPr>
          <w:trHeight w:val="794"/>
        </w:trPr>
        <w:tc>
          <w:tcPr>
            <w:tcW w:w="723" w:type="dxa"/>
          </w:tcPr>
          <w:p w14:paraId="202C626F" w14:textId="382F7D30" w:rsidR="0052320D" w:rsidRPr="0052320D" w:rsidRDefault="0052320D" w:rsidP="0052320D">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20b</w:t>
            </w:r>
          </w:p>
        </w:tc>
        <w:tc>
          <w:tcPr>
            <w:tcW w:w="1402" w:type="dxa"/>
          </w:tcPr>
          <w:p w14:paraId="61C90BE5" w14:textId="10E26A64"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Mistarz et al. (2025)</w:t>
            </w:r>
          </w:p>
        </w:tc>
        <w:tc>
          <w:tcPr>
            <w:tcW w:w="1857" w:type="dxa"/>
          </w:tcPr>
          <w:p w14:paraId="78DA4CA5" w14:textId="59182A89" w:rsidR="0052320D" w:rsidRPr="0052320D" w:rsidRDefault="0052320D" w:rsidP="005C6519">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Explicit</w:t>
            </w:r>
          </w:p>
        </w:tc>
        <w:tc>
          <w:tcPr>
            <w:tcW w:w="1972" w:type="dxa"/>
          </w:tcPr>
          <w:p w14:paraId="69BB4AD4" w14:textId="0F24AA0E"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Working memory retraining</w:t>
            </w:r>
          </w:p>
        </w:tc>
        <w:tc>
          <w:tcPr>
            <w:tcW w:w="1714" w:type="dxa"/>
          </w:tcPr>
          <w:p w14:paraId="51328EA4" w14:textId="0C9C9E3A"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Relapse rate</w:t>
            </w:r>
          </w:p>
        </w:tc>
        <w:tc>
          <w:tcPr>
            <w:tcW w:w="1352" w:type="dxa"/>
          </w:tcPr>
          <w:p w14:paraId="1B970B70" w14:textId="6F6EC0F4"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6 months</w:t>
            </w:r>
          </w:p>
        </w:tc>
      </w:tr>
      <w:tr w:rsidR="0052320D" w:rsidRPr="006E1B20" w14:paraId="50556E6B" w14:textId="77777777" w:rsidTr="00F1063F">
        <w:trPr>
          <w:trHeight w:val="790"/>
        </w:trPr>
        <w:tc>
          <w:tcPr>
            <w:tcW w:w="723" w:type="dxa"/>
            <w:tcBorders>
              <w:bottom w:val="single" w:sz="4" w:space="0" w:color="auto"/>
            </w:tcBorders>
          </w:tcPr>
          <w:p w14:paraId="46F7F2A0" w14:textId="7879E9B7" w:rsidR="0052320D" w:rsidRPr="0052320D" w:rsidRDefault="0052320D" w:rsidP="0052320D">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21</w:t>
            </w:r>
          </w:p>
        </w:tc>
        <w:tc>
          <w:tcPr>
            <w:tcW w:w="1402" w:type="dxa"/>
            <w:tcBorders>
              <w:bottom w:val="single" w:sz="4" w:space="0" w:color="auto"/>
            </w:tcBorders>
          </w:tcPr>
          <w:p w14:paraId="3123B08E" w14:textId="7808126E"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Salemink et al. (2022)</w:t>
            </w:r>
          </w:p>
        </w:tc>
        <w:tc>
          <w:tcPr>
            <w:tcW w:w="1857" w:type="dxa"/>
            <w:tcBorders>
              <w:bottom w:val="single" w:sz="4" w:space="0" w:color="auto"/>
            </w:tcBorders>
          </w:tcPr>
          <w:p w14:paraId="4138F58D" w14:textId="68B7F707" w:rsidR="0052320D" w:rsidRPr="0052320D" w:rsidRDefault="0052320D" w:rsidP="005C6519">
            <w:pPr>
              <w:pStyle w:val="APANormal"/>
              <w:spacing w:before="120" w:line="240" w:lineRule="auto"/>
              <w:ind w:firstLine="0"/>
              <w:jc w:val="center"/>
              <w:rPr>
                <w:rFonts w:ascii="Calibri" w:hAnsi="Calibri" w:cs="Calibri"/>
                <w:sz w:val="20"/>
                <w:szCs w:val="20"/>
                <w:lang w:val="en-GB"/>
              </w:rPr>
            </w:pPr>
            <w:r w:rsidRPr="0052320D">
              <w:rPr>
                <w:rFonts w:ascii="Calibri" w:hAnsi="Calibri" w:cs="Calibri"/>
                <w:sz w:val="20"/>
                <w:szCs w:val="20"/>
                <w:lang w:val="en-GB"/>
              </w:rPr>
              <w:t>Implicit</w:t>
            </w:r>
          </w:p>
        </w:tc>
        <w:tc>
          <w:tcPr>
            <w:tcW w:w="1972" w:type="dxa"/>
            <w:tcBorders>
              <w:bottom w:val="single" w:sz="4" w:space="0" w:color="auto"/>
            </w:tcBorders>
          </w:tcPr>
          <w:p w14:paraId="41310461" w14:textId="748CA520"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Approach bias modification</w:t>
            </w:r>
          </w:p>
        </w:tc>
        <w:tc>
          <w:tcPr>
            <w:tcW w:w="1714" w:type="dxa"/>
            <w:tcBorders>
              <w:bottom w:val="single" w:sz="4" w:space="0" w:color="auto"/>
            </w:tcBorders>
          </w:tcPr>
          <w:p w14:paraId="1081D522" w14:textId="52A7B7CE"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Abstinence rate</w:t>
            </w:r>
          </w:p>
        </w:tc>
        <w:tc>
          <w:tcPr>
            <w:tcW w:w="1352" w:type="dxa"/>
            <w:tcBorders>
              <w:bottom w:val="single" w:sz="4" w:space="0" w:color="auto"/>
            </w:tcBorders>
          </w:tcPr>
          <w:p w14:paraId="5FDA2F4C" w14:textId="07434B5B" w:rsidR="0052320D" w:rsidRPr="0052320D" w:rsidRDefault="0052320D" w:rsidP="0052320D">
            <w:pPr>
              <w:pStyle w:val="APANormal"/>
              <w:spacing w:before="120" w:line="240" w:lineRule="auto"/>
              <w:ind w:firstLine="0"/>
              <w:rPr>
                <w:rFonts w:ascii="Calibri" w:hAnsi="Calibri" w:cs="Calibri"/>
                <w:sz w:val="20"/>
                <w:szCs w:val="20"/>
                <w:lang w:val="en-GB"/>
              </w:rPr>
            </w:pPr>
            <w:r w:rsidRPr="0052320D">
              <w:rPr>
                <w:rFonts w:ascii="Calibri" w:hAnsi="Calibri" w:cs="Calibri"/>
                <w:sz w:val="20"/>
                <w:szCs w:val="20"/>
                <w:lang w:val="en-GB"/>
              </w:rPr>
              <w:t>12 months</w:t>
            </w:r>
          </w:p>
        </w:tc>
      </w:tr>
    </w:tbl>
    <w:p w14:paraId="01116CC0" w14:textId="11A6F87B" w:rsidR="002C5D48" w:rsidRPr="00BB5801" w:rsidRDefault="002C5D48" w:rsidP="00BB5801">
      <w:pPr>
        <w:pStyle w:val="APANormal"/>
        <w:spacing w:before="120" w:line="276" w:lineRule="auto"/>
        <w:ind w:firstLine="0"/>
        <w:rPr>
          <w:rFonts w:ascii="Calibri" w:hAnsi="Calibri" w:cs="Calibri"/>
          <w:sz w:val="15"/>
          <w:szCs w:val="15"/>
          <w:lang w:val="en-GB"/>
        </w:rPr>
      </w:pPr>
      <w:r w:rsidRPr="00BB5801">
        <w:rPr>
          <w:rFonts w:ascii="Calibri" w:hAnsi="Calibri" w:cs="Calibri"/>
          <w:i/>
          <w:iCs/>
          <w:sz w:val="15"/>
          <w:szCs w:val="15"/>
          <w:lang w:val="en-GB"/>
        </w:rPr>
        <w:t>Note.</w:t>
      </w:r>
      <w:r w:rsidRPr="00BB5801">
        <w:rPr>
          <w:rFonts w:ascii="Calibri" w:hAnsi="Calibri" w:cs="Calibri"/>
          <w:sz w:val="15"/>
          <w:szCs w:val="15"/>
          <w:lang w:val="en-GB"/>
        </w:rPr>
        <w:t xml:space="preserve"> The prefix number in the study ID denotes whether a study was unique, or if it was a report on the same sample. Different authors or publication years that share the same prefix number indicate multiple reports on the same sample. The suffix letter in the study ID refers to multiple follow-up time points for a study report. The study IDs are also used in the detailed analysis report</w:t>
      </w:r>
      <w:r w:rsidR="00CD2210" w:rsidRPr="00BB5801">
        <w:rPr>
          <w:rFonts w:ascii="Calibri" w:hAnsi="Calibri" w:cs="Calibri"/>
          <w:sz w:val="15"/>
          <w:szCs w:val="15"/>
          <w:lang w:val="en-GB"/>
        </w:rPr>
        <w:t>, and are used in the extracted data sets that can be made available upon request.</w:t>
      </w:r>
    </w:p>
    <w:p w14:paraId="1485C3C4" w14:textId="77777777" w:rsidR="002C5D48" w:rsidRPr="00BB5801" w:rsidRDefault="002C5D48" w:rsidP="00BB5801">
      <w:pPr>
        <w:pStyle w:val="APANormal"/>
        <w:spacing w:line="276" w:lineRule="auto"/>
        <w:ind w:firstLine="0"/>
        <w:rPr>
          <w:rFonts w:ascii="Calibri" w:hAnsi="Calibri" w:cs="Calibri"/>
          <w:sz w:val="15"/>
          <w:szCs w:val="15"/>
          <w:lang w:val="en-GB"/>
        </w:rPr>
      </w:pPr>
      <w:r w:rsidRPr="00BB5801">
        <w:rPr>
          <w:rFonts w:ascii="Calibri" w:hAnsi="Calibri" w:cs="Calibri"/>
          <w:sz w:val="15"/>
          <w:szCs w:val="15"/>
          <w:vertAlign w:val="superscript"/>
          <w:lang w:val="en-GB"/>
        </w:rPr>
        <w:t>*</w:t>
      </w:r>
      <w:r w:rsidRPr="00BB5801">
        <w:rPr>
          <w:rFonts w:ascii="Calibri" w:hAnsi="Calibri" w:cs="Calibri"/>
          <w:sz w:val="15"/>
          <w:szCs w:val="15"/>
          <w:lang w:val="en-GB"/>
        </w:rPr>
        <w:t xml:space="preserve"> The study was omitted due to the hierarchical selection of outcomes</w:t>
      </w:r>
    </w:p>
    <w:p w14:paraId="6AB3EAA7" w14:textId="41C47D6E" w:rsidR="002C5D48" w:rsidRPr="00BB5801" w:rsidRDefault="002C5D48" w:rsidP="00BB5801">
      <w:pPr>
        <w:pStyle w:val="APANormal"/>
        <w:spacing w:line="276" w:lineRule="auto"/>
        <w:ind w:firstLine="0"/>
        <w:rPr>
          <w:rFonts w:ascii="Calibri" w:hAnsi="Calibri" w:cs="Calibri"/>
          <w:sz w:val="15"/>
          <w:szCs w:val="15"/>
          <w:lang w:val="en-GB"/>
        </w:rPr>
      </w:pPr>
      <w:r w:rsidRPr="00BB5801">
        <w:rPr>
          <w:rFonts w:ascii="Calibri" w:hAnsi="Calibri" w:cs="Calibri"/>
          <w:sz w:val="15"/>
          <w:szCs w:val="15"/>
          <w:vertAlign w:val="superscript"/>
          <w:lang w:val="en-GB"/>
        </w:rPr>
        <w:t xml:space="preserve">** </w:t>
      </w:r>
      <w:r w:rsidRPr="00BB5801">
        <w:rPr>
          <w:rFonts w:ascii="Calibri" w:hAnsi="Calibri" w:cs="Calibri"/>
          <w:sz w:val="15"/>
          <w:szCs w:val="15"/>
          <w:lang w:val="en-GB"/>
        </w:rPr>
        <w:t>This study was not included in the quantitative syntheses, as it used the same sample as Manning et al. (2022), but it was included in the risk of bias assessment</w:t>
      </w:r>
    </w:p>
    <w:p w14:paraId="6994B560" w14:textId="6D9A8F71" w:rsidR="00DD0B04" w:rsidRPr="00670F2C" w:rsidRDefault="00103F24">
      <w:pPr>
        <w:rPr>
          <w:rFonts w:ascii="Calibri" w:hAnsi="Calibri" w:cs="Calibri"/>
          <w:b/>
          <w:bCs/>
          <w:sz w:val="22"/>
          <w:szCs w:val="22"/>
          <w:lang w:val="en-GB"/>
        </w:rPr>
      </w:pPr>
      <w:r>
        <w:rPr>
          <w:rFonts w:ascii="Calibri" w:hAnsi="Calibri" w:cs="Calibri"/>
          <w:b/>
          <w:bCs/>
          <w:sz w:val="22"/>
          <w:szCs w:val="22"/>
          <w:lang w:val="en-GB"/>
        </w:rPr>
        <w:br w:type="page"/>
      </w:r>
    </w:p>
    <w:p w14:paraId="17ADF2D6" w14:textId="2A8401C3" w:rsidR="00CE7F49" w:rsidRDefault="00CE7F49" w:rsidP="00CE7F49">
      <w:pPr>
        <w:pStyle w:val="APAHeading1"/>
        <w:rPr>
          <w:rFonts w:ascii="Calibri" w:hAnsi="Calibri" w:cs="Calibri"/>
          <w:sz w:val="22"/>
        </w:rPr>
      </w:pPr>
      <w:r w:rsidRPr="00CE7F49">
        <w:rPr>
          <w:rFonts w:ascii="Calibri" w:hAnsi="Calibri" w:cs="Calibri"/>
          <w:sz w:val="22"/>
        </w:rPr>
        <w:lastRenderedPageBreak/>
        <w:t>References</w:t>
      </w:r>
    </w:p>
    <w:p w14:paraId="59665C6B"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Chen, K., Garbusow, M., Sebold, M., Zech, H. G., Zimmermann, U., &amp; Heinz, A. (2022). Automatic Approach Behaviors in Alcohol Dependence: Does a Cognitive Bias Modification Training Affect Pavlovian-to-Instrumental Transfer Effects? </w:t>
      </w:r>
      <w:r w:rsidRPr="00CE7F49">
        <w:rPr>
          <w:rFonts w:ascii="Calibri" w:hAnsi="Calibri" w:cs="Calibri"/>
          <w:i/>
          <w:iCs/>
          <w:sz w:val="22"/>
          <w:szCs w:val="22"/>
        </w:rPr>
        <w:t>Neuropsychobiology</w:t>
      </w:r>
      <w:r w:rsidRPr="00CE7F49">
        <w:rPr>
          <w:rFonts w:ascii="Calibri" w:hAnsi="Calibri" w:cs="Calibri"/>
          <w:sz w:val="22"/>
          <w:szCs w:val="22"/>
        </w:rPr>
        <w:t xml:space="preserve">, </w:t>
      </w:r>
      <w:r w:rsidRPr="00CE7F49">
        <w:rPr>
          <w:rFonts w:ascii="Calibri" w:hAnsi="Calibri" w:cs="Calibri"/>
          <w:i/>
          <w:iCs/>
          <w:sz w:val="22"/>
          <w:szCs w:val="22"/>
        </w:rPr>
        <w:t>81</w:t>
      </w:r>
      <w:r w:rsidRPr="00CE7F49">
        <w:rPr>
          <w:rFonts w:ascii="Calibri" w:hAnsi="Calibri" w:cs="Calibri"/>
          <w:sz w:val="22"/>
          <w:szCs w:val="22"/>
        </w:rPr>
        <w:t xml:space="preserve">(5), 387–402. </w:t>
      </w:r>
      <w:hyperlink r:id="rId11" w:history="1">
        <w:r w:rsidRPr="00CE7F49">
          <w:rPr>
            <w:rStyle w:val="Hyperlink"/>
            <w:rFonts w:ascii="Calibri" w:hAnsi="Calibri" w:cs="Calibri"/>
            <w:sz w:val="22"/>
            <w:szCs w:val="22"/>
          </w:rPr>
          <w:t>https://doi.org/10.1159/000526805</w:t>
        </w:r>
      </w:hyperlink>
    </w:p>
    <w:p w14:paraId="2531B127"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Dubuson, M., Kornreich, C., Vanderhasselt, M.-A., Baeken, C., Wyckmans, F., Dousset, C., Hanak, C., Veeser, J., Campanella, S., Chatard, A., Jaafari, N., &amp; Noël, X. (2021). Transcranial direct current stimulation combined with alcohol cue inhibitory control training reduces the risk of early alcohol relapse: A randomized placebo-controlled clinical trial. </w:t>
      </w:r>
      <w:r w:rsidRPr="00CE7F49">
        <w:rPr>
          <w:rFonts w:ascii="Calibri" w:hAnsi="Calibri" w:cs="Calibri"/>
          <w:i/>
          <w:iCs/>
          <w:sz w:val="22"/>
          <w:szCs w:val="22"/>
        </w:rPr>
        <w:t>Brain Stimulation</w:t>
      </w:r>
      <w:r w:rsidRPr="00CE7F49">
        <w:rPr>
          <w:rFonts w:ascii="Calibri" w:hAnsi="Calibri" w:cs="Calibri"/>
          <w:sz w:val="22"/>
          <w:szCs w:val="22"/>
        </w:rPr>
        <w:t xml:space="preserve">, </w:t>
      </w:r>
      <w:r w:rsidRPr="00CE7F49">
        <w:rPr>
          <w:rFonts w:ascii="Calibri" w:hAnsi="Calibri" w:cs="Calibri"/>
          <w:i/>
          <w:iCs/>
          <w:sz w:val="22"/>
          <w:szCs w:val="22"/>
        </w:rPr>
        <w:t>14</w:t>
      </w:r>
      <w:r w:rsidRPr="00CE7F49">
        <w:rPr>
          <w:rFonts w:ascii="Calibri" w:hAnsi="Calibri" w:cs="Calibri"/>
          <w:sz w:val="22"/>
          <w:szCs w:val="22"/>
        </w:rPr>
        <w:t xml:space="preserve">(6), 1531–1543. </w:t>
      </w:r>
      <w:hyperlink r:id="rId12" w:history="1">
        <w:r w:rsidRPr="00CE7F49">
          <w:rPr>
            <w:rStyle w:val="Hyperlink"/>
            <w:rFonts w:ascii="Calibri" w:hAnsi="Calibri" w:cs="Calibri"/>
            <w:sz w:val="22"/>
            <w:szCs w:val="22"/>
          </w:rPr>
          <w:t>https://doi.org/10.1016/j.brs.2021.10.386</w:t>
        </w:r>
      </w:hyperlink>
    </w:p>
    <w:p w14:paraId="7E65F69D"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Eberl, C., Wiers, R. W., Pawelczack, S., Rinck, M., Becker, E. S., &amp; Lindenmeyer, J. (2013). Approach bias modification in alcohol dependence: Do clinical effects replicate and for whom does it work best? </w:t>
      </w:r>
      <w:r w:rsidRPr="00CE7F49">
        <w:rPr>
          <w:rFonts w:ascii="Calibri" w:hAnsi="Calibri" w:cs="Calibri"/>
          <w:i/>
          <w:iCs/>
          <w:sz w:val="22"/>
          <w:szCs w:val="22"/>
        </w:rPr>
        <w:t>Developmental Cognitive Neuroscience</w:t>
      </w:r>
      <w:r w:rsidRPr="00CE7F49">
        <w:rPr>
          <w:rFonts w:ascii="Calibri" w:hAnsi="Calibri" w:cs="Calibri"/>
          <w:sz w:val="22"/>
          <w:szCs w:val="22"/>
        </w:rPr>
        <w:t xml:space="preserve">, </w:t>
      </w:r>
      <w:r w:rsidRPr="00CE7F49">
        <w:rPr>
          <w:rFonts w:ascii="Calibri" w:hAnsi="Calibri" w:cs="Calibri"/>
          <w:i/>
          <w:iCs/>
          <w:sz w:val="22"/>
          <w:szCs w:val="22"/>
        </w:rPr>
        <w:t>4</w:t>
      </w:r>
      <w:r w:rsidRPr="00CE7F49">
        <w:rPr>
          <w:rFonts w:ascii="Calibri" w:hAnsi="Calibri" w:cs="Calibri"/>
          <w:sz w:val="22"/>
          <w:szCs w:val="22"/>
        </w:rPr>
        <w:t xml:space="preserve">, 38–51. </w:t>
      </w:r>
      <w:hyperlink r:id="rId13" w:history="1">
        <w:r w:rsidRPr="00CE7F49">
          <w:rPr>
            <w:rStyle w:val="Hyperlink"/>
            <w:rFonts w:ascii="Calibri" w:hAnsi="Calibri" w:cs="Calibri"/>
            <w:sz w:val="22"/>
            <w:szCs w:val="22"/>
          </w:rPr>
          <w:t>https://doi.org/10.1016/j.dcn.2012.11.002</w:t>
        </w:r>
      </w:hyperlink>
    </w:p>
    <w:p w14:paraId="6EDDEBB0"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Garfield, J. B. B., Piccoli, L. R., Whelan, D., Staiger, P. K., Reynolds, J., Piercy, H., Lubman, D. I., Verdejo-Garcia, A., &amp; Manning, V. (2022). The effect of approach bias modification during alcohol withdrawal treatment on craving, and its relationship to post-treatment alcohol use in a </w:t>
      </w:r>
      <w:proofErr w:type="spellStart"/>
      <w:r w:rsidRPr="00CE7F49">
        <w:rPr>
          <w:rFonts w:ascii="Calibri" w:hAnsi="Calibri" w:cs="Calibri"/>
          <w:sz w:val="22"/>
          <w:szCs w:val="22"/>
        </w:rPr>
        <w:t>randomised</w:t>
      </w:r>
      <w:proofErr w:type="spellEnd"/>
      <w:r w:rsidRPr="00CE7F49">
        <w:rPr>
          <w:rFonts w:ascii="Calibri" w:hAnsi="Calibri" w:cs="Calibri"/>
          <w:sz w:val="22"/>
          <w:szCs w:val="22"/>
        </w:rPr>
        <w:t xml:space="preserve"> controlled trial. </w:t>
      </w:r>
      <w:r w:rsidRPr="00CE7F49">
        <w:rPr>
          <w:rFonts w:ascii="Calibri" w:hAnsi="Calibri" w:cs="Calibri"/>
          <w:i/>
          <w:iCs/>
          <w:sz w:val="22"/>
          <w:szCs w:val="22"/>
        </w:rPr>
        <w:t>Drug and Alcohol Dependence</w:t>
      </w:r>
      <w:r w:rsidRPr="00CE7F49">
        <w:rPr>
          <w:rFonts w:ascii="Calibri" w:hAnsi="Calibri" w:cs="Calibri"/>
          <w:sz w:val="22"/>
          <w:szCs w:val="22"/>
        </w:rPr>
        <w:t xml:space="preserve">, </w:t>
      </w:r>
      <w:r w:rsidRPr="00CE7F49">
        <w:rPr>
          <w:rFonts w:ascii="Calibri" w:hAnsi="Calibri" w:cs="Calibri"/>
          <w:i/>
          <w:iCs/>
          <w:sz w:val="22"/>
          <w:szCs w:val="22"/>
        </w:rPr>
        <w:t>239</w:t>
      </w:r>
      <w:r w:rsidRPr="00CE7F49">
        <w:rPr>
          <w:rFonts w:ascii="Calibri" w:hAnsi="Calibri" w:cs="Calibri"/>
          <w:sz w:val="22"/>
          <w:szCs w:val="22"/>
        </w:rPr>
        <w:t xml:space="preserve">, 109621. </w:t>
      </w:r>
      <w:hyperlink r:id="rId15" w:history="1">
        <w:r w:rsidRPr="00CE7F49">
          <w:rPr>
            <w:rStyle w:val="Hyperlink"/>
            <w:rFonts w:ascii="Calibri" w:hAnsi="Calibri" w:cs="Calibri"/>
            <w:sz w:val="22"/>
            <w:szCs w:val="22"/>
          </w:rPr>
          <w:t>https://doi.org/10.1016/j.drugalcdep.2022.109621</w:t>
        </w:r>
      </w:hyperlink>
    </w:p>
    <w:p w14:paraId="6EDDEBB0" w14:textId="77777777" w:rsidR="00CE7F49" w:rsidRPr="00CE7F49" w:rsidRDefault="00CE7F49" w:rsidP="00CE7F49">
      <w:pPr>
        <w:spacing w:line="480" w:lineRule="auto"/>
        <w:ind w:left="426" w:hanging="426"/>
        <w:rPr>
          <w:rFonts w:ascii="Calibri" w:hAnsi="Calibri" w:cs="Calibri"/>
          <w:sz w:val="22"/>
          <w:szCs w:val="22"/>
        </w:rPr>
      </w:pPr>
      <w:proofErr w:type="spellStart"/>
      <w:proofErr w:type="spellEnd"/>
      <w:r>
        <w:rPr>
          <w:rFonts w:ascii="Calibri" w:hAnsi="Calibri"/>
          <w:sz w:val="22"/>
        </w:rPr>
        <w:t>Garfield, J. B. B., Rowland, B., Liu, S. K., Piercy, H., Bonomo, Y., Whelan, D., &amp; Manning, V. (2026). Efficacy of a personalised alcohol approach bias modification smartphone app in people accessing outpatient alcohol use disorder treatment: A randomised controlled trial. Addiction, 121(1), 82–93. https://doi.org/10.1111/add.70184</w:t>
      </w:r>
    </w:p>
    <w:p w14:paraId="52A7AFEE"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Grieder, M., Soravia, L. M., Tschuemperlin, R. M., Batschelet, H. M., Federspiel, A., Schwab, S., Moggi, F., &amp; Stein, M. (2022). </w:t>
      </w:r>
      <w:r w:rsidRPr="00CE7F49">
        <w:rPr>
          <w:rFonts w:ascii="Calibri" w:hAnsi="Calibri" w:cs="Calibri"/>
          <w:i/>
          <w:iCs/>
          <w:sz w:val="22"/>
          <w:szCs w:val="22"/>
        </w:rPr>
        <w:t xml:space="preserve">Right inferior frontal activation during alcohol-specific inhibition </w:t>
      </w:r>
      <w:r w:rsidRPr="00CE7F49">
        <w:rPr>
          <w:rFonts w:ascii="Calibri" w:hAnsi="Calibri" w:cs="Calibri"/>
          <w:i/>
          <w:iCs/>
          <w:sz w:val="22"/>
          <w:szCs w:val="22"/>
        </w:rPr>
        <w:lastRenderedPageBreak/>
        <w:t>increases with craving and predicts drinking outcome in alcohol use disorder</w:t>
      </w:r>
      <w:r w:rsidRPr="00CE7F49">
        <w:rPr>
          <w:rFonts w:ascii="Calibri" w:hAnsi="Calibri" w:cs="Calibri"/>
          <w:sz w:val="22"/>
          <w:szCs w:val="22"/>
        </w:rPr>
        <w:t xml:space="preserve">. </w:t>
      </w:r>
      <w:hyperlink r:id="rId16" w:history="1">
        <w:r w:rsidRPr="00CE7F49">
          <w:rPr>
            <w:rStyle w:val="Hyperlink"/>
            <w:rFonts w:ascii="Calibri" w:hAnsi="Calibri" w:cs="Calibri"/>
            <w:sz w:val="22"/>
            <w:szCs w:val="22"/>
          </w:rPr>
          <w:t>https://doi.org/10.31234/osf.io/h6t7f</w:t>
        </w:r>
      </w:hyperlink>
    </w:p>
    <w:p w14:paraId="06151402"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Kumar, R., Kumar, K. J., Benegal, V., Roopesh, B. N., &amp; Ravi, G. S. (2019). Effectiveness of an Integrated Intervention Program for Alcoholism (IIPA) for enhancing self-regulation: Preliminary evidence. </w:t>
      </w:r>
      <w:r w:rsidRPr="00CE7F49">
        <w:rPr>
          <w:rFonts w:ascii="Calibri" w:hAnsi="Calibri" w:cs="Calibri"/>
          <w:i/>
          <w:iCs/>
          <w:sz w:val="22"/>
          <w:szCs w:val="22"/>
        </w:rPr>
        <w:t>Asian Journal of Psychiatry</w:t>
      </w:r>
      <w:r w:rsidRPr="00CE7F49">
        <w:rPr>
          <w:rFonts w:ascii="Calibri" w:hAnsi="Calibri" w:cs="Calibri"/>
          <w:sz w:val="22"/>
          <w:szCs w:val="22"/>
        </w:rPr>
        <w:t xml:space="preserve">, </w:t>
      </w:r>
      <w:r w:rsidRPr="00CE7F49">
        <w:rPr>
          <w:rFonts w:ascii="Calibri" w:hAnsi="Calibri" w:cs="Calibri"/>
          <w:i/>
          <w:iCs/>
          <w:sz w:val="22"/>
          <w:szCs w:val="22"/>
        </w:rPr>
        <w:t>43</w:t>
      </w:r>
      <w:r w:rsidRPr="00CE7F49">
        <w:rPr>
          <w:rFonts w:ascii="Calibri" w:hAnsi="Calibri" w:cs="Calibri"/>
          <w:sz w:val="22"/>
          <w:szCs w:val="22"/>
        </w:rPr>
        <w:t xml:space="preserve">, 37–44. </w:t>
      </w:r>
      <w:hyperlink r:id="rId17" w:history="1">
        <w:r w:rsidRPr="00CE7F49">
          <w:rPr>
            <w:rStyle w:val="Hyperlink"/>
            <w:rFonts w:ascii="Calibri" w:hAnsi="Calibri" w:cs="Calibri"/>
            <w:sz w:val="22"/>
            <w:szCs w:val="22"/>
          </w:rPr>
          <w:t>https://doi.org/10.1016/j.ajp.2019.05.006</w:t>
        </w:r>
      </w:hyperlink>
    </w:p>
    <w:p w14:paraId="71AD3C55"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Kvamme, T. L., Pedersen, M. U., Overgaard, M., Thomsen, K. R., &amp; Voon, V. (2019). Pilot study: Improving attention bias modification of alcohol cues through concealed gaze-contingent feedback in alcohol dependence. </w:t>
      </w:r>
      <w:r w:rsidRPr="00CE7F49">
        <w:rPr>
          <w:rFonts w:ascii="Calibri" w:hAnsi="Calibri" w:cs="Calibri"/>
          <w:i/>
          <w:iCs/>
          <w:sz w:val="22"/>
          <w:szCs w:val="22"/>
        </w:rPr>
        <w:t>Addictive Behaviors Reports</w:t>
      </w:r>
      <w:r w:rsidRPr="00CE7F49">
        <w:rPr>
          <w:rFonts w:ascii="Calibri" w:hAnsi="Calibri" w:cs="Calibri"/>
          <w:sz w:val="22"/>
          <w:szCs w:val="22"/>
        </w:rPr>
        <w:t xml:space="preserve">, </w:t>
      </w:r>
      <w:r w:rsidRPr="00CE7F49">
        <w:rPr>
          <w:rFonts w:ascii="Calibri" w:hAnsi="Calibri" w:cs="Calibri"/>
          <w:i/>
          <w:iCs/>
          <w:sz w:val="22"/>
          <w:szCs w:val="22"/>
        </w:rPr>
        <w:t>10</w:t>
      </w:r>
      <w:r w:rsidRPr="00CE7F49">
        <w:rPr>
          <w:rFonts w:ascii="Calibri" w:hAnsi="Calibri" w:cs="Calibri"/>
          <w:sz w:val="22"/>
          <w:szCs w:val="22"/>
        </w:rPr>
        <w:t xml:space="preserve">, 100231. </w:t>
      </w:r>
      <w:hyperlink r:id="rId18" w:history="1">
        <w:r w:rsidRPr="00CE7F49">
          <w:rPr>
            <w:rStyle w:val="Hyperlink"/>
            <w:rFonts w:ascii="Calibri" w:hAnsi="Calibri" w:cs="Calibri"/>
            <w:sz w:val="22"/>
            <w:szCs w:val="22"/>
          </w:rPr>
          <w:t>https://doi.org/10.1016/j.abrep.2019.100231</w:t>
        </w:r>
      </w:hyperlink>
    </w:p>
    <w:p w14:paraId="1DF07E25"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Laurens, M. C., Postel, M. G., Brusse-Keizer, M., Pieterse, M. E., Ben Allouch, S., Bohlmeijer, E. T., &amp; Salemink, E. (2023). Augmenting outpatient alcohol treatment as usual with online approach bias modification training: A double-blind randomized controlled trial. </w:t>
      </w:r>
      <w:r w:rsidRPr="00CE7F49">
        <w:rPr>
          <w:rFonts w:ascii="Calibri" w:hAnsi="Calibri" w:cs="Calibri"/>
          <w:i/>
          <w:iCs/>
          <w:sz w:val="22"/>
          <w:szCs w:val="22"/>
        </w:rPr>
        <w:t>Addictive Behaviors</w:t>
      </w:r>
      <w:r w:rsidRPr="00CE7F49">
        <w:rPr>
          <w:rFonts w:ascii="Calibri" w:hAnsi="Calibri" w:cs="Calibri"/>
          <w:sz w:val="22"/>
          <w:szCs w:val="22"/>
        </w:rPr>
        <w:t xml:space="preserve">, </w:t>
      </w:r>
      <w:r w:rsidRPr="00CE7F49">
        <w:rPr>
          <w:rFonts w:ascii="Calibri" w:hAnsi="Calibri" w:cs="Calibri"/>
          <w:i/>
          <w:iCs/>
          <w:sz w:val="22"/>
          <w:szCs w:val="22"/>
        </w:rPr>
        <w:t>142</w:t>
      </w:r>
      <w:r w:rsidRPr="00CE7F49">
        <w:rPr>
          <w:rFonts w:ascii="Calibri" w:hAnsi="Calibri" w:cs="Calibri"/>
          <w:sz w:val="22"/>
          <w:szCs w:val="22"/>
        </w:rPr>
        <w:t xml:space="preserve">, 107630. </w:t>
      </w:r>
      <w:hyperlink r:id="rId19" w:history="1">
        <w:r w:rsidRPr="00CE7F49">
          <w:rPr>
            <w:rStyle w:val="Hyperlink"/>
            <w:rFonts w:ascii="Calibri" w:hAnsi="Calibri" w:cs="Calibri"/>
            <w:sz w:val="22"/>
            <w:szCs w:val="22"/>
          </w:rPr>
          <w:t>https://doi.org/10.1016/j.addbeh.2023.107630</w:t>
        </w:r>
      </w:hyperlink>
    </w:p>
    <w:p w14:paraId="2E240F42"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Manning, V., Garfield, J. B. B., Reynolds, J., Staiger, P. K., Piercy, H., Bonomo, Y., Lloyd‐Jones, M., Jacka, D., Wiers, R. W., Verdejo‐Garcia, A., &amp; Lubman, D. I. (2022). Alcohol use in the year following approach bias modification during inpatient withdrawal: Secondary outcomes from a double‐blind, multi‐site randomized controlled trial. </w:t>
      </w:r>
      <w:r w:rsidRPr="00CE7F49">
        <w:rPr>
          <w:rFonts w:ascii="Calibri" w:hAnsi="Calibri" w:cs="Calibri"/>
          <w:i/>
          <w:iCs/>
          <w:sz w:val="22"/>
          <w:szCs w:val="22"/>
        </w:rPr>
        <w:t>Addiction</w:t>
      </w:r>
      <w:r w:rsidRPr="00CE7F49">
        <w:rPr>
          <w:rFonts w:ascii="Calibri" w:hAnsi="Calibri" w:cs="Calibri"/>
          <w:sz w:val="22"/>
          <w:szCs w:val="22"/>
        </w:rPr>
        <w:t xml:space="preserve">, </w:t>
      </w:r>
      <w:r w:rsidRPr="00CE7F49">
        <w:rPr>
          <w:rFonts w:ascii="Calibri" w:hAnsi="Calibri" w:cs="Calibri"/>
          <w:i/>
          <w:iCs/>
          <w:sz w:val="22"/>
          <w:szCs w:val="22"/>
        </w:rPr>
        <w:t>117</w:t>
      </w:r>
      <w:r w:rsidRPr="00CE7F49">
        <w:rPr>
          <w:rFonts w:ascii="Calibri" w:hAnsi="Calibri" w:cs="Calibri"/>
          <w:sz w:val="22"/>
          <w:szCs w:val="22"/>
        </w:rPr>
        <w:t xml:space="preserve">(11), 2837–2846. </w:t>
      </w:r>
      <w:hyperlink r:id="rId20" w:history="1">
        <w:r w:rsidRPr="00CE7F49">
          <w:rPr>
            <w:rStyle w:val="Hyperlink"/>
            <w:rFonts w:ascii="Calibri" w:hAnsi="Calibri" w:cs="Calibri"/>
            <w:sz w:val="22"/>
            <w:szCs w:val="22"/>
          </w:rPr>
          <w:t>https://doi.org/10.1111/add.15989</w:t>
        </w:r>
      </w:hyperlink>
    </w:p>
    <w:p w14:paraId="386A2B32"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Manning, V., Garfield, J. B. B., Staiger, P. K., Lubman, D. I., Lum, J. A. G., Reynolds, J., Hall, K., Bonomo, Y., Lloyd-Jones, M., Wiers, R. W., Piercy, H., Jacka, D., &amp; Verdejo-Garcia, A. (2021). Effect of Cognitive Bias Modification on Early Relapse Among Adults Undergoing Inpatient Alcohol Withdrawal Treatment: A Randomized Clinical Trial. </w:t>
      </w:r>
      <w:r w:rsidRPr="00CE7F49">
        <w:rPr>
          <w:rFonts w:ascii="Calibri" w:hAnsi="Calibri" w:cs="Calibri"/>
          <w:i/>
          <w:iCs/>
          <w:sz w:val="22"/>
          <w:szCs w:val="22"/>
        </w:rPr>
        <w:t>JAMA Psychiatry</w:t>
      </w:r>
      <w:r w:rsidRPr="00CE7F49">
        <w:rPr>
          <w:rFonts w:ascii="Calibri" w:hAnsi="Calibri" w:cs="Calibri"/>
          <w:sz w:val="22"/>
          <w:szCs w:val="22"/>
        </w:rPr>
        <w:t xml:space="preserve">, </w:t>
      </w:r>
      <w:r w:rsidRPr="00CE7F49">
        <w:rPr>
          <w:rFonts w:ascii="Calibri" w:hAnsi="Calibri" w:cs="Calibri"/>
          <w:i/>
          <w:iCs/>
          <w:sz w:val="22"/>
          <w:szCs w:val="22"/>
        </w:rPr>
        <w:t>78</w:t>
      </w:r>
      <w:r w:rsidRPr="00CE7F49">
        <w:rPr>
          <w:rFonts w:ascii="Calibri" w:hAnsi="Calibri" w:cs="Calibri"/>
          <w:sz w:val="22"/>
          <w:szCs w:val="22"/>
        </w:rPr>
        <w:t xml:space="preserve">(2), 133. </w:t>
      </w:r>
      <w:hyperlink r:id="rId21" w:history="1">
        <w:r w:rsidRPr="00CE7F49">
          <w:rPr>
            <w:rStyle w:val="Hyperlink"/>
            <w:rFonts w:ascii="Calibri" w:hAnsi="Calibri" w:cs="Calibri"/>
            <w:sz w:val="22"/>
            <w:szCs w:val="22"/>
          </w:rPr>
          <w:t>https://doi.org/10.1001/jamapsychiatry.2020.3446</w:t>
        </w:r>
      </w:hyperlink>
    </w:p>
    <w:p w14:paraId="5C07FD4C"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Manning, V., Staiger, P. K., Hall, K., Garfield, J. B. B., Flaks, G., Leung, D., Hughes, L. K., Lum, J. A. G., Lubman, D. I., &amp; Verdejo-Garcia, A. (2016). Cognitive Bias Modification Training During Inpatient </w:t>
      </w:r>
      <w:r w:rsidRPr="00CE7F49">
        <w:rPr>
          <w:rFonts w:ascii="Calibri" w:hAnsi="Calibri" w:cs="Calibri"/>
          <w:sz w:val="22"/>
          <w:szCs w:val="22"/>
        </w:rPr>
        <w:lastRenderedPageBreak/>
        <w:t xml:space="preserve">Alcohol Detoxification Reduces Early Relapse: A Randomized Controlled Trial. </w:t>
      </w:r>
      <w:r w:rsidRPr="00CE7F49">
        <w:rPr>
          <w:rFonts w:ascii="Calibri" w:hAnsi="Calibri" w:cs="Calibri"/>
          <w:i/>
          <w:iCs/>
          <w:sz w:val="22"/>
          <w:szCs w:val="22"/>
        </w:rPr>
        <w:t>Alcoholism: Clinical and Experimental Research</w:t>
      </w:r>
      <w:r w:rsidRPr="00CE7F49">
        <w:rPr>
          <w:rFonts w:ascii="Calibri" w:hAnsi="Calibri" w:cs="Calibri"/>
          <w:sz w:val="22"/>
          <w:szCs w:val="22"/>
        </w:rPr>
        <w:t xml:space="preserve">, </w:t>
      </w:r>
      <w:r w:rsidRPr="00CE7F49">
        <w:rPr>
          <w:rFonts w:ascii="Calibri" w:hAnsi="Calibri" w:cs="Calibri"/>
          <w:i/>
          <w:iCs/>
          <w:sz w:val="22"/>
          <w:szCs w:val="22"/>
        </w:rPr>
        <w:t>40</w:t>
      </w:r>
      <w:r w:rsidRPr="00CE7F49">
        <w:rPr>
          <w:rFonts w:ascii="Calibri" w:hAnsi="Calibri" w:cs="Calibri"/>
          <w:sz w:val="22"/>
          <w:szCs w:val="22"/>
        </w:rPr>
        <w:t xml:space="preserve">(9), 2011–2019. </w:t>
      </w:r>
      <w:hyperlink r:id="rId22" w:history="1">
        <w:r w:rsidRPr="00CE7F49">
          <w:rPr>
            <w:rStyle w:val="Hyperlink"/>
            <w:rFonts w:ascii="Calibri" w:hAnsi="Calibri" w:cs="Calibri"/>
            <w:sz w:val="22"/>
            <w:szCs w:val="22"/>
          </w:rPr>
          <w:t>https://doi.org/10.1111/acer.13163</w:t>
        </w:r>
      </w:hyperlink>
    </w:p>
    <w:p w14:paraId="398D282C"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Mistarz, N., Knudsen, L. V., Mejldal, A., Andersen, K., Skøt, L., Michel, T. M., &amp; Mellentin, A. I. (2025). </w:t>
      </w:r>
      <w:r w:rsidRPr="00CE7F49">
        <w:rPr>
          <w:rFonts w:ascii="Calibri" w:hAnsi="Calibri" w:cs="Calibri"/>
          <w:i/>
          <w:iCs/>
          <w:sz w:val="22"/>
          <w:szCs w:val="22"/>
        </w:rPr>
        <w:t>A Personalized and Smartphone-Based Serious Gaming App Targeting Cognitive Impairments in Alcohol Use Disorder: Double-Blinded, Randomized Controlled Efficacy Trial Among Outpatients</w:t>
      </w:r>
      <w:r w:rsidRPr="00CE7F49">
        <w:rPr>
          <w:rFonts w:ascii="Calibri" w:hAnsi="Calibri" w:cs="Calibri"/>
          <w:sz w:val="22"/>
          <w:szCs w:val="22"/>
        </w:rPr>
        <w:t>.</w:t>
      </w:r>
    </w:p>
    <w:p w14:paraId="774AF879"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Peerenboom, N. A. (2022). </w:t>
      </w:r>
      <w:r w:rsidRPr="00CE7F49">
        <w:rPr>
          <w:rFonts w:ascii="Calibri" w:hAnsi="Calibri" w:cs="Calibri"/>
          <w:i/>
          <w:iCs/>
          <w:sz w:val="22"/>
          <w:szCs w:val="22"/>
        </w:rPr>
        <w:t>Development of a Smartphone Intervention for Cognitive Bias Modification in Alcohol Abuse and Alcohol Dependence</w:t>
      </w:r>
      <w:r w:rsidRPr="00CE7F49">
        <w:rPr>
          <w:rFonts w:ascii="Calibri" w:hAnsi="Calibri" w:cs="Calibri"/>
          <w:sz w:val="22"/>
          <w:szCs w:val="22"/>
        </w:rPr>
        <w:t>.</w:t>
      </w:r>
    </w:p>
    <w:p w14:paraId="774AF879" w14:textId="77777777" w:rsidR="00CE7F49" w:rsidRPr="00CE7F49" w:rsidRDefault="00CE7F49" w:rsidP="00CE7F49">
      <w:pPr>
        <w:spacing w:line="480" w:lineRule="auto"/>
        <w:ind w:left="426" w:hanging="426"/>
        <w:rPr>
          <w:rFonts w:ascii="Calibri" w:hAnsi="Calibri" w:cs="Calibri"/>
          <w:sz w:val="22"/>
          <w:szCs w:val="22"/>
        </w:rPr>
      </w:pPr>
      <w:r>
        <w:rPr>
          <w:rFonts w:ascii="Calibri" w:hAnsi="Calibri"/>
          <w:sz w:val="22"/>
        </w:rPr>
        <w:t>Peerenboom, N., Knight, O., Schöneck, R., Lindenmeyer, J., &amp; Voon, V. (2026). Your team is counting on you: Digital gamification and team motivation in alcohol aftercare. Alcohol, 134, 63–71. https://doi.org/10.1016/j.alcohol.2026.05.001</w:t>
      </w:r>
    </w:p>
    <w:p w14:paraId="122B27A8" w14:textId="77777777" w:rsidR="00CE7F49" w:rsidRDefault="00CE7F49" w:rsidP="00CE7F49">
      <w:pPr>
        <w:spacing w:line="480" w:lineRule="auto"/>
        <w:ind w:left="426" w:hanging="426"/>
      </w:pPr>
      <w:r w:rsidRPr="00CE7F49">
        <w:rPr>
          <w:rFonts w:ascii="Calibri" w:hAnsi="Calibri" w:cs="Calibri"/>
          <w:sz w:val="22"/>
          <w:szCs w:val="22"/>
        </w:rPr>
        <w:t xml:space="preserve">Rinck, M., Wiers, R. W., Becker, E. S., &amp; Lindenmeyer, J. (2018). Relapse prevention in abstinent alcoholics by cognitive bias modification: Clinical effects of combining approach bias modification and attention bias modification. </w:t>
      </w:r>
      <w:r w:rsidRPr="00CE7F49">
        <w:rPr>
          <w:rFonts w:ascii="Calibri" w:hAnsi="Calibri" w:cs="Calibri"/>
          <w:i/>
          <w:iCs/>
          <w:sz w:val="22"/>
          <w:szCs w:val="22"/>
        </w:rPr>
        <w:t>Journal of Consulting and Clinical Psychology</w:t>
      </w:r>
      <w:r w:rsidRPr="00CE7F49">
        <w:rPr>
          <w:rFonts w:ascii="Calibri" w:hAnsi="Calibri" w:cs="Calibri"/>
          <w:sz w:val="22"/>
          <w:szCs w:val="22"/>
        </w:rPr>
        <w:t xml:space="preserve">, </w:t>
      </w:r>
      <w:r w:rsidRPr="00CE7F49">
        <w:rPr>
          <w:rFonts w:ascii="Calibri" w:hAnsi="Calibri" w:cs="Calibri"/>
          <w:i/>
          <w:iCs/>
          <w:sz w:val="22"/>
          <w:szCs w:val="22"/>
        </w:rPr>
        <w:t>86</w:t>
      </w:r>
      <w:r w:rsidRPr="00CE7F49">
        <w:rPr>
          <w:rFonts w:ascii="Calibri" w:hAnsi="Calibri" w:cs="Calibri"/>
          <w:sz w:val="22"/>
          <w:szCs w:val="22"/>
        </w:rPr>
        <w:t xml:space="preserve">(12), 1005–1016. </w:t>
      </w:r>
      <w:hyperlink r:id="rId23" w:history="1">
        <w:r w:rsidRPr="00CE7F49">
          <w:rPr>
            <w:rStyle w:val="Hyperlink"/>
            <w:rFonts w:ascii="Calibri" w:hAnsi="Calibri" w:cs="Calibri"/>
            <w:sz w:val="22"/>
            <w:szCs w:val="22"/>
          </w:rPr>
          <w:t>https://doi.org/10.1037/ccp0000321</w:t>
        </w:r>
      </w:hyperlink>
    </w:p>
    <w:p w14:paraId="74635710" w14:textId="7A231152" w:rsidR="009103A7" w:rsidRPr="00CE7F49" w:rsidRDefault="009103A7" w:rsidP="00CE7F49">
      <w:pPr>
        <w:spacing w:line="480" w:lineRule="auto"/>
        <w:ind w:left="426" w:hanging="426"/>
        <w:rPr>
          <w:rFonts w:ascii="Calibri" w:hAnsi="Calibri" w:cs="Calibri"/>
          <w:sz w:val="22"/>
          <w:szCs w:val="22"/>
        </w:rPr>
      </w:pPr>
      <w:r w:rsidRPr="009103A7">
        <w:rPr>
          <w:rFonts w:ascii="Calibri" w:hAnsi="Calibri" w:cs="Calibri"/>
          <w:sz w:val="22"/>
          <w:szCs w:val="22"/>
        </w:rPr>
        <w:t xml:space="preserve">Salemink, E., Rinck, M., Becker, E., Wiers, R. W., &amp; Lindenmeyer, J. (2022). Does comorbid anxiety or depression moderate effects of approach bias modification in the treatment of alcohol use disorders? Psychology of Addictive Behaviors, 36(5), 547–554. </w:t>
      </w:r>
      <w:hyperlink r:id="rId24" w:history="1">
        <w:r w:rsidRPr="00076FE7">
          <w:rPr>
            <w:rStyle w:val="Hyperlink"/>
            <w:rFonts w:ascii="Calibri" w:hAnsi="Calibri" w:cs="Calibri"/>
            <w:sz w:val="22"/>
            <w:szCs w:val="22"/>
          </w:rPr>
          <w:t>https://doi.org/10.1037/adb0000642</w:t>
        </w:r>
      </w:hyperlink>
      <w:r>
        <w:rPr>
          <w:rFonts w:ascii="Calibri" w:hAnsi="Calibri" w:cs="Calibri"/>
          <w:sz w:val="22"/>
          <w:szCs w:val="22"/>
        </w:rPr>
        <w:t xml:space="preserve"> </w:t>
      </w:r>
    </w:p>
    <w:p w14:paraId="1C9D0883"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Schenkel, E. J., Rinck, M., Wiers, R. W., Becker, E. S., Muhlig, S., Schoeneck, R., &amp; Lindenmeyer, J. (2024). Implementing Approach-Bias Modification as Add-On to Varieties of Clinical Treatment for Alcohol Use Disorders: Results of a Multicenter RCT. </w:t>
      </w:r>
      <w:r w:rsidRPr="00CE7F49">
        <w:rPr>
          <w:rFonts w:ascii="Calibri" w:hAnsi="Calibri" w:cs="Calibri"/>
          <w:i/>
          <w:iCs/>
          <w:sz w:val="22"/>
          <w:szCs w:val="22"/>
        </w:rPr>
        <w:t>European Addiction Research</w:t>
      </w:r>
      <w:r w:rsidRPr="00CE7F49">
        <w:rPr>
          <w:rFonts w:ascii="Calibri" w:hAnsi="Calibri" w:cs="Calibri"/>
          <w:sz w:val="22"/>
          <w:szCs w:val="22"/>
        </w:rPr>
        <w:t xml:space="preserve">, </w:t>
      </w:r>
      <w:r w:rsidRPr="00CE7F49">
        <w:rPr>
          <w:rFonts w:ascii="Calibri" w:hAnsi="Calibri" w:cs="Calibri"/>
          <w:i/>
          <w:iCs/>
          <w:sz w:val="22"/>
          <w:szCs w:val="22"/>
        </w:rPr>
        <w:t>30</w:t>
      </w:r>
      <w:r w:rsidRPr="00CE7F49">
        <w:rPr>
          <w:rFonts w:ascii="Calibri" w:hAnsi="Calibri" w:cs="Calibri"/>
          <w:sz w:val="22"/>
          <w:szCs w:val="22"/>
        </w:rPr>
        <w:t xml:space="preserve">(2), 94–102. </w:t>
      </w:r>
      <w:hyperlink r:id="rId25" w:history="1">
        <w:r w:rsidRPr="00CE7F49">
          <w:rPr>
            <w:rStyle w:val="Hyperlink"/>
            <w:rFonts w:ascii="Calibri" w:hAnsi="Calibri" w:cs="Calibri"/>
            <w:sz w:val="22"/>
            <w:szCs w:val="22"/>
          </w:rPr>
          <w:t>https://doi.org/10.1159/000537811</w:t>
        </w:r>
      </w:hyperlink>
    </w:p>
    <w:p w14:paraId="4F5C5112" w14:textId="77777777" w:rsidR="00CE7F49" w:rsidRPr="00035719" w:rsidRDefault="00CE7F49" w:rsidP="00CE7F49">
      <w:pPr>
        <w:spacing w:line="480" w:lineRule="auto"/>
        <w:ind w:left="426" w:hanging="426"/>
        <w:rPr>
          <w:rFonts w:ascii="Calibri" w:hAnsi="Calibri" w:cs="Calibri"/>
          <w:sz w:val="22"/>
          <w:szCs w:val="22"/>
          <w:lang w:val="da-DK"/>
        </w:rPr>
      </w:pPr>
      <w:r w:rsidRPr="00CE7F49">
        <w:rPr>
          <w:rFonts w:ascii="Calibri" w:hAnsi="Calibri" w:cs="Calibri"/>
          <w:sz w:val="22"/>
          <w:szCs w:val="22"/>
        </w:rPr>
        <w:t xml:space="preserve">Schenkel, E. J., Schöneck, R., Wiers, R. W., Veling, H., Becker, E. S., Lindenmeyer, J., &amp; Rinck, M. (2023). Does selective inhibition training reduce relapse rates when added to standard treatment of alcohol use disorder? A randomized controlled trial. </w:t>
      </w:r>
      <w:r w:rsidRPr="00CE7F49">
        <w:rPr>
          <w:rFonts w:ascii="Calibri" w:hAnsi="Calibri" w:cs="Calibri"/>
          <w:i/>
          <w:iCs/>
          <w:sz w:val="22"/>
          <w:szCs w:val="22"/>
        </w:rPr>
        <w:t>Alcohol: Clinical and Experimental Research</w:t>
      </w:r>
      <w:r w:rsidRPr="00CE7F49">
        <w:rPr>
          <w:rFonts w:ascii="Calibri" w:hAnsi="Calibri" w:cs="Calibri"/>
          <w:sz w:val="22"/>
          <w:szCs w:val="22"/>
        </w:rPr>
        <w:t xml:space="preserve">, acer.15055. </w:t>
      </w:r>
      <w:hyperlink r:id="rId26" w:history="1">
        <w:r w:rsidRPr="00035719">
          <w:rPr>
            <w:rStyle w:val="Hyperlink"/>
            <w:rFonts w:ascii="Calibri" w:hAnsi="Calibri" w:cs="Calibri"/>
            <w:sz w:val="22"/>
            <w:szCs w:val="22"/>
            <w:lang w:val="da-DK"/>
          </w:rPr>
          <w:t>https://doi.org/10.1111/acer.15055</w:t>
        </w:r>
      </w:hyperlink>
    </w:p>
    <w:p w14:paraId="239F0452" w14:textId="77777777" w:rsidR="00CE7F49" w:rsidRPr="00CE7F49" w:rsidRDefault="00CE7F49" w:rsidP="00CE7F49">
      <w:pPr>
        <w:spacing w:line="480" w:lineRule="auto"/>
        <w:ind w:left="426" w:hanging="426"/>
        <w:rPr>
          <w:rFonts w:ascii="Calibri" w:hAnsi="Calibri" w:cs="Calibri"/>
          <w:sz w:val="22"/>
          <w:szCs w:val="22"/>
        </w:rPr>
      </w:pPr>
      <w:r w:rsidRPr="00035719">
        <w:rPr>
          <w:rFonts w:ascii="Calibri" w:hAnsi="Calibri" w:cs="Calibri"/>
          <w:sz w:val="22"/>
          <w:szCs w:val="22"/>
          <w:lang w:val="da-DK"/>
        </w:rPr>
        <w:t xml:space="preserve">Schoenmakers, T. M., De </w:t>
      </w:r>
      <w:proofErr w:type="spellStart"/>
      <w:r w:rsidRPr="00035719">
        <w:rPr>
          <w:rFonts w:ascii="Calibri" w:hAnsi="Calibri" w:cs="Calibri"/>
          <w:sz w:val="22"/>
          <w:szCs w:val="22"/>
          <w:lang w:val="da-DK"/>
        </w:rPr>
        <w:t>Bruin</w:t>
      </w:r>
      <w:proofErr w:type="spellEnd"/>
      <w:r w:rsidRPr="00035719">
        <w:rPr>
          <w:rFonts w:ascii="Calibri" w:hAnsi="Calibri" w:cs="Calibri"/>
          <w:sz w:val="22"/>
          <w:szCs w:val="22"/>
          <w:lang w:val="da-DK"/>
        </w:rPr>
        <w:t xml:space="preserve">, M., Lux, I. F. M., </w:t>
      </w:r>
      <w:proofErr w:type="spellStart"/>
      <w:r w:rsidRPr="00035719">
        <w:rPr>
          <w:rFonts w:ascii="Calibri" w:hAnsi="Calibri" w:cs="Calibri"/>
          <w:sz w:val="22"/>
          <w:szCs w:val="22"/>
          <w:lang w:val="da-DK"/>
        </w:rPr>
        <w:t>Goertz</w:t>
      </w:r>
      <w:proofErr w:type="spellEnd"/>
      <w:r w:rsidRPr="00035719">
        <w:rPr>
          <w:rFonts w:ascii="Calibri" w:hAnsi="Calibri" w:cs="Calibri"/>
          <w:sz w:val="22"/>
          <w:szCs w:val="22"/>
          <w:lang w:val="da-DK"/>
        </w:rPr>
        <w:t xml:space="preserve">, A. G., Van </w:t>
      </w:r>
      <w:proofErr w:type="spellStart"/>
      <w:r w:rsidRPr="00035719">
        <w:rPr>
          <w:rFonts w:ascii="Calibri" w:hAnsi="Calibri" w:cs="Calibri"/>
          <w:sz w:val="22"/>
          <w:szCs w:val="22"/>
          <w:lang w:val="da-DK"/>
        </w:rPr>
        <w:t>Kerkhof</w:t>
      </w:r>
      <w:proofErr w:type="spellEnd"/>
      <w:r w:rsidRPr="00035719">
        <w:rPr>
          <w:rFonts w:ascii="Calibri" w:hAnsi="Calibri" w:cs="Calibri"/>
          <w:sz w:val="22"/>
          <w:szCs w:val="22"/>
          <w:lang w:val="da-DK"/>
        </w:rPr>
        <w:t xml:space="preserve">, D. H. A. T., &amp; </w:t>
      </w:r>
      <w:proofErr w:type="spellStart"/>
      <w:r w:rsidRPr="00035719">
        <w:rPr>
          <w:rFonts w:ascii="Calibri" w:hAnsi="Calibri" w:cs="Calibri"/>
          <w:sz w:val="22"/>
          <w:szCs w:val="22"/>
          <w:lang w:val="da-DK"/>
        </w:rPr>
        <w:t>Wiers</w:t>
      </w:r>
      <w:proofErr w:type="spellEnd"/>
      <w:r w:rsidRPr="00035719">
        <w:rPr>
          <w:rFonts w:ascii="Calibri" w:hAnsi="Calibri" w:cs="Calibri"/>
          <w:sz w:val="22"/>
          <w:szCs w:val="22"/>
          <w:lang w:val="da-DK"/>
        </w:rPr>
        <w:t xml:space="preserve">, R. W. (2010). </w:t>
      </w:r>
      <w:r w:rsidRPr="00CE7F49">
        <w:rPr>
          <w:rFonts w:ascii="Calibri" w:hAnsi="Calibri" w:cs="Calibri"/>
          <w:sz w:val="22"/>
          <w:szCs w:val="22"/>
        </w:rPr>
        <w:t xml:space="preserve">Clinical effectiveness of attentional bias modification training in abstinent alcoholic </w:t>
      </w:r>
      <w:r w:rsidRPr="00CE7F49">
        <w:rPr>
          <w:rFonts w:ascii="Calibri" w:hAnsi="Calibri" w:cs="Calibri"/>
          <w:sz w:val="22"/>
          <w:szCs w:val="22"/>
        </w:rPr>
        <w:lastRenderedPageBreak/>
        <w:t xml:space="preserve">patients. </w:t>
      </w:r>
      <w:r w:rsidRPr="00CE7F49">
        <w:rPr>
          <w:rFonts w:ascii="Calibri" w:hAnsi="Calibri" w:cs="Calibri"/>
          <w:i/>
          <w:iCs/>
          <w:sz w:val="22"/>
          <w:szCs w:val="22"/>
        </w:rPr>
        <w:t>Drug and Alcohol Dependence</w:t>
      </w:r>
      <w:r w:rsidRPr="00CE7F49">
        <w:rPr>
          <w:rFonts w:ascii="Calibri" w:hAnsi="Calibri" w:cs="Calibri"/>
          <w:sz w:val="22"/>
          <w:szCs w:val="22"/>
        </w:rPr>
        <w:t xml:space="preserve">, </w:t>
      </w:r>
      <w:r w:rsidRPr="00CE7F49">
        <w:rPr>
          <w:rFonts w:ascii="Calibri" w:hAnsi="Calibri" w:cs="Calibri"/>
          <w:i/>
          <w:iCs/>
          <w:sz w:val="22"/>
          <w:szCs w:val="22"/>
        </w:rPr>
        <w:t>109</w:t>
      </w:r>
      <w:r w:rsidRPr="00CE7F49">
        <w:rPr>
          <w:rFonts w:ascii="Calibri" w:hAnsi="Calibri" w:cs="Calibri"/>
          <w:sz w:val="22"/>
          <w:szCs w:val="22"/>
        </w:rPr>
        <w:t xml:space="preserve">(1–3), 30–36. </w:t>
      </w:r>
      <w:hyperlink r:id="rId27" w:history="1">
        <w:r w:rsidRPr="00CE7F49">
          <w:rPr>
            <w:rStyle w:val="Hyperlink"/>
            <w:rFonts w:ascii="Calibri" w:hAnsi="Calibri" w:cs="Calibri"/>
            <w:sz w:val="22"/>
            <w:szCs w:val="22"/>
          </w:rPr>
          <w:t>https://doi.org/10.1016/j.drugalcdep.2009.11.022</w:t>
        </w:r>
      </w:hyperlink>
    </w:p>
    <w:p w14:paraId="26757D08"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Spruyt, A., Laporte, W., Boffo, M., Herremans, S., Impe, P., Vercruysse, I., </w:t>
      </w:r>
      <w:proofErr w:type="spellStart"/>
      <w:r w:rsidRPr="00CE7F49">
        <w:rPr>
          <w:rFonts w:ascii="Calibri" w:hAnsi="Calibri" w:cs="Calibri"/>
          <w:sz w:val="22"/>
          <w:szCs w:val="22"/>
        </w:rPr>
        <w:t>Verdée</w:t>
      </w:r>
      <w:proofErr w:type="spellEnd"/>
      <w:r w:rsidRPr="00CE7F49">
        <w:rPr>
          <w:rFonts w:ascii="Calibri" w:hAnsi="Calibri" w:cs="Calibri"/>
          <w:sz w:val="22"/>
          <w:szCs w:val="22"/>
        </w:rPr>
        <w:t xml:space="preserve">, T., Verhelst, M., Wiers, R. W., &amp; Raedt, R. D. (2025). </w:t>
      </w:r>
      <w:r w:rsidRPr="00CE7F49">
        <w:rPr>
          <w:rFonts w:ascii="Calibri" w:hAnsi="Calibri" w:cs="Calibri"/>
          <w:i/>
          <w:iCs/>
          <w:sz w:val="22"/>
          <w:szCs w:val="22"/>
        </w:rPr>
        <w:t>On the Efficacy of Cognitive-Bias-Modification Training in Alcohol-Dependent Inpatients: A Double-Blind, Multisite Randomized Control Trial</w:t>
      </w:r>
      <w:r w:rsidRPr="00CE7F49">
        <w:rPr>
          <w:rFonts w:ascii="Calibri" w:hAnsi="Calibri" w:cs="Calibri"/>
          <w:sz w:val="22"/>
          <w:szCs w:val="22"/>
        </w:rPr>
        <w:t>.</w:t>
      </w:r>
    </w:p>
    <w:p w14:paraId="044A5B13" w14:textId="77777777" w:rsidR="00CE7F49" w:rsidRDefault="00CE7F49" w:rsidP="00CE7F49">
      <w:pPr>
        <w:spacing w:line="480" w:lineRule="auto"/>
        <w:ind w:left="426" w:hanging="426"/>
      </w:pPr>
      <w:r w:rsidRPr="00CE7F49">
        <w:rPr>
          <w:rFonts w:ascii="Calibri" w:hAnsi="Calibri" w:cs="Calibri"/>
          <w:sz w:val="22"/>
          <w:szCs w:val="22"/>
        </w:rPr>
        <w:t xml:space="preserve">Stein, M., Soravia, L. M., Tschuemperlin, R. M., Batschelet, H. M., Jaeger, J., Roesner, S., Keller, A., Gomez Penedo, J. M., Wiers, R. W., &amp; Moggi, F. (2023). Alcohol‐specific inhibition training in patients with alcohol use disorder: A multi‐centre, double‐blind randomized clinical trial examining drinking outcome and working mechanisms. </w:t>
      </w:r>
      <w:r w:rsidRPr="00CE7F49">
        <w:rPr>
          <w:rFonts w:ascii="Calibri" w:hAnsi="Calibri" w:cs="Calibri"/>
          <w:i/>
          <w:iCs/>
          <w:sz w:val="22"/>
          <w:szCs w:val="22"/>
        </w:rPr>
        <w:t>Addiction</w:t>
      </w:r>
      <w:r w:rsidRPr="00CE7F49">
        <w:rPr>
          <w:rFonts w:ascii="Calibri" w:hAnsi="Calibri" w:cs="Calibri"/>
          <w:sz w:val="22"/>
          <w:szCs w:val="22"/>
        </w:rPr>
        <w:t xml:space="preserve">, </w:t>
      </w:r>
      <w:r w:rsidRPr="00CE7F49">
        <w:rPr>
          <w:rFonts w:ascii="Calibri" w:hAnsi="Calibri" w:cs="Calibri"/>
          <w:i/>
          <w:iCs/>
          <w:sz w:val="22"/>
          <w:szCs w:val="22"/>
        </w:rPr>
        <w:t>118</w:t>
      </w:r>
      <w:r w:rsidRPr="00CE7F49">
        <w:rPr>
          <w:rFonts w:ascii="Calibri" w:hAnsi="Calibri" w:cs="Calibri"/>
          <w:sz w:val="22"/>
          <w:szCs w:val="22"/>
        </w:rPr>
        <w:t xml:space="preserve">(4), 646–657. </w:t>
      </w:r>
      <w:hyperlink r:id="rId28" w:history="1">
        <w:r w:rsidRPr="00CE7F49">
          <w:rPr>
            <w:rStyle w:val="Hyperlink"/>
            <w:rFonts w:ascii="Calibri" w:hAnsi="Calibri" w:cs="Calibri"/>
            <w:sz w:val="22"/>
            <w:szCs w:val="22"/>
          </w:rPr>
          <w:t>https://doi.org/10.1111/add.16104</w:t>
        </w:r>
      </w:hyperlink>
    </w:p>
    <w:p w14:paraId="4E1CE833" w14:textId="5021727D" w:rsidR="008561E4" w:rsidRPr="00CE7F49" w:rsidRDefault="008561E4" w:rsidP="00CE7F49">
      <w:pPr>
        <w:spacing w:line="480" w:lineRule="auto"/>
        <w:ind w:left="426" w:hanging="426"/>
        <w:rPr>
          <w:rFonts w:ascii="Calibri" w:hAnsi="Calibri" w:cs="Calibri"/>
          <w:sz w:val="22"/>
          <w:szCs w:val="22"/>
        </w:rPr>
      </w:pPr>
      <w:r w:rsidRPr="008561E4">
        <w:rPr>
          <w:rFonts w:ascii="Calibri" w:hAnsi="Calibri" w:cs="Calibri"/>
          <w:sz w:val="22"/>
          <w:szCs w:val="22"/>
        </w:rPr>
        <w:t xml:space="preserve">Uyl, T. E., Gladwin, T. E., Lindenmeyer, J., &amp; Wiers, R. W. (2018). A Clinical Trial with Combined Transcranial Direct Current Stimulation and Attentional Bias Modification in Alcohol-Dependent Patients. Alcoholism: Clinical and Experimental Research, 42(10), 1961–1969. </w:t>
      </w:r>
      <w:hyperlink r:id="rId29" w:history="1">
        <w:r w:rsidRPr="00076FE7">
          <w:rPr>
            <w:rStyle w:val="Hyperlink"/>
            <w:rFonts w:ascii="Calibri" w:hAnsi="Calibri" w:cs="Calibri"/>
            <w:sz w:val="22"/>
            <w:szCs w:val="22"/>
          </w:rPr>
          <w:t>https://doi.org/10.1111/acer.13841</w:t>
        </w:r>
      </w:hyperlink>
      <w:r>
        <w:rPr>
          <w:rFonts w:ascii="Calibri" w:hAnsi="Calibri" w:cs="Calibri"/>
          <w:sz w:val="22"/>
          <w:szCs w:val="22"/>
        </w:rPr>
        <w:t xml:space="preserve"> </w:t>
      </w:r>
    </w:p>
    <w:p w14:paraId="3394A01A" w14:textId="77777777" w:rsidR="00CE7F49" w:rsidRPr="00CE7F49" w:rsidRDefault="00CE7F49" w:rsidP="00CE7F49">
      <w:pPr>
        <w:spacing w:line="480" w:lineRule="auto"/>
        <w:ind w:left="426" w:hanging="426"/>
        <w:rPr>
          <w:rFonts w:ascii="Calibri" w:hAnsi="Calibri" w:cs="Calibri"/>
          <w:sz w:val="22"/>
          <w:szCs w:val="22"/>
        </w:rPr>
      </w:pPr>
      <w:r w:rsidRPr="00CE7F49">
        <w:rPr>
          <w:rFonts w:ascii="Calibri" w:hAnsi="Calibri" w:cs="Calibri"/>
          <w:sz w:val="22"/>
          <w:szCs w:val="22"/>
        </w:rPr>
        <w:t xml:space="preserve">Wiers, R. W., Eberl, C., Rinck, M., Becker, E. S., &amp; Lindenmeyer, J. (2011). Retraining Automatic Action Tendencies Changes Alcoholic Patients’ Approach Bias for Alcohol and Improves Treatment Outcome. </w:t>
      </w:r>
      <w:r w:rsidRPr="00CE7F49">
        <w:rPr>
          <w:rFonts w:ascii="Calibri" w:hAnsi="Calibri" w:cs="Calibri"/>
          <w:i/>
          <w:iCs/>
          <w:sz w:val="22"/>
          <w:szCs w:val="22"/>
        </w:rPr>
        <w:t>Psychological Science</w:t>
      </w:r>
      <w:r w:rsidRPr="00CE7F49">
        <w:rPr>
          <w:rFonts w:ascii="Calibri" w:hAnsi="Calibri" w:cs="Calibri"/>
          <w:sz w:val="22"/>
          <w:szCs w:val="22"/>
        </w:rPr>
        <w:t xml:space="preserve">, </w:t>
      </w:r>
      <w:r w:rsidRPr="00CE7F49">
        <w:rPr>
          <w:rFonts w:ascii="Calibri" w:hAnsi="Calibri" w:cs="Calibri"/>
          <w:i/>
          <w:iCs/>
          <w:sz w:val="22"/>
          <w:szCs w:val="22"/>
        </w:rPr>
        <w:t>22</w:t>
      </w:r>
      <w:r w:rsidRPr="00CE7F49">
        <w:rPr>
          <w:rFonts w:ascii="Calibri" w:hAnsi="Calibri" w:cs="Calibri"/>
          <w:sz w:val="22"/>
          <w:szCs w:val="22"/>
        </w:rPr>
        <w:t xml:space="preserve">(4), 490–497. </w:t>
      </w:r>
      <w:hyperlink r:id="rId30" w:history="1">
        <w:r w:rsidRPr="00CE7F49">
          <w:rPr>
            <w:rStyle w:val="Hyperlink"/>
            <w:rFonts w:ascii="Calibri" w:hAnsi="Calibri" w:cs="Calibri"/>
            <w:sz w:val="22"/>
            <w:szCs w:val="22"/>
          </w:rPr>
          <w:t>https://doi.org/10.1177/0956797611400615</w:t>
        </w:r>
      </w:hyperlink>
    </w:p>
    <w:p w14:paraId="3179F2D9" w14:textId="77777777" w:rsidR="00CE7F49" w:rsidRPr="00CE7F49" w:rsidRDefault="00CE7F49" w:rsidP="00CE7F49">
      <w:pPr>
        <w:pStyle w:val="APANormal"/>
      </w:pPr>
    </w:p>
    <w:sectPr w:rsidR="00CE7F49" w:rsidRPr="00CE7F49" w:rsidSect="009F4A4C">
      <w:headerReference w:type="default" r:id="rId31"/>
      <w:pgSz w:w="11900" w:h="16840"/>
      <w:pgMar w:top="1440" w:right="1440" w:bottom="1440" w:left="1440" w:header="720" w:footer="720" w:gutter="0"/>
      <w:cols w:space="36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0C8F2" w14:textId="77777777" w:rsidR="00A416BA" w:rsidRDefault="00A416BA">
      <w:r>
        <w:separator/>
      </w:r>
    </w:p>
    <w:p w14:paraId="7399A9E0" w14:textId="77777777" w:rsidR="00A416BA" w:rsidRDefault="00A416BA"/>
    <w:p w14:paraId="6916FEE4" w14:textId="77777777" w:rsidR="00A416BA" w:rsidRDefault="00A416BA" w:rsidP="002D56DF"/>
  </w:endnote>
  <w:endnote w:type="continuationSeparator" w:id="0">
    <w:p w14:paraId="79DB54F0" w14:textId="77777777" w:rsidR="00A416BA" w:rsidRDefault="00A416BA">
      <w:r>
        <w:continuationSeparator/>
      </w:r>
    </w:p>
    <w:p w14:paraId="6E5672FF" w14:textId="77777777" w:rsidR="00A416BA" w:rsidRDefault="00A416BA"/>
    <w:p w14:paraId="05868B90" w14:textId="77777777" w:rsidR="00A416BA" w:rsidRDefault="00A416BA" w:rsidP="002D56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9CC82" w14:textId="77777777" w:rsidR="00A416BA" w:rsidRDefault="00A416BA">
      <w:r>
        <w:separator/>
      </w:r>
    </w:p>
    <w:p w14:paraId="6EB74FCB" w14:textId="77777777" w:rsidR="00A416BA" w:rsidRDefault="00A416BA"/>
    <w:p w14:paraId="097D2446" w14:textId="77777777" w:rsidR="00A416BA" w:rsidRDefault="00A416BA" w:rsidP="002D56DF"/>
  </w:footnote>
  <w:footnote w:type="continuationSeparator" w:id="0">
    <w:p w14:paraId="14BF9EE8" w14:textId="77777777" w:rsidR="00A416BA" w:rsidRDefault="00A416BA">
      <w:r>
        <w:continuationSeparator/>
      </w:r>
    </w:p>
    <w:p w14:paraId="163FECBF" w14:textId="77777777" w:rsidR="00A416BA" w:rsidRDefault="00A416BA"/>
    <w:p w14:paraId="2D6A1349" w14:textId="77777777" w:rsidR="00A416BA" w:rsidRDefault="00A416BA" w:rsidP="002D56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60C76" w14:textId="6982F6F4" w:rsidR="00903C29" w:rsidRPr="005F3C87" w:rsidRDefault="009947BD" w:rsidP="00916BB5">
    <w:pPr>
      <w:pStyle w:val="APARunningHead"/>
      <w:tabs>
        <w:tab w:val="clear" w:pos="4320"/>
        <w:tab w:val="clear" w:pos="8640"/>
        <w:tab w:val="right" w:pos="13960"/>
      </w:tabs>
      <w:rPr>
        <w:rFonts w:ascii="Calibri" w:hAnsi="Calibri" w:cs="Calibri"/>
        <w:sz w:val="22"/>
        <w:szCs w:val="22"/>
      </w:rPr>
    </w:pPr>
    <w:r>
      <w:rPr>
        <w:rFonts w:ascii="Calibri" w:hAnsi="Calibri" w:cs="Calibri"/>
        <w:sz w:val="22"/>
        <w:szCs w:val="22"/>
      </w:rPr>
      <w:t>supplemental material 1</w:t>
    </w:r>
    <w:r w:rsidR="001940C8" w:rsidRPr="005F3C87">
      <w:rPr>
        <w:rFonts w:ascii="Calibri" w:hAnsi="Calibri" w:cs="Calibri"/>
        <w:sz w:val="22"/>
        <w:szCs w:val="22"/>
      </w:rPr>
      <w:t>: di</w:t>
    </w:r>
    <w:r w:rsidR="002629ED" w:rsidRPr="005F3C87">
      <w:rPr>
        <w:rFonts w:ascii="Calibri" w:hAnsi="Calibri" w:cs="Calibri"/>
        <w:sz w:val="22"/>
        <w:szCs w:val="22"/>
      </w:rPr>
      <w:t>GIT</w:t>
    </w:r>
    <w:r w:rsidR="001940C8" w:rsidRPr="005F3C87">
      <w:rPr>
        <w:rFonts w:ascii="Calibri" w:hAnsi="Calibri" w:cs="Calibri"/>
        <w:sz w:val="22"/>
        <w:szCs w:val="22"/>
      </w:rPr>
      <w:t xml:space="preserve">al </w:t>
    </w:r>
    <w:r w:rsidR="00561445" w:rsidRPr="005F3C87">
      <w:rPr>
        <w:rFonts w:ascii="Calibri" w:hAnsi="Calibri" w:cs="Calibri"/>
        <w:sz w:val="22"/>
        <w:szCs w:val="22"/>
      </w:rPr>
      <w:t>NEUROPSYCHOLOGICAL INTERVENTIONS</w:t>
    </w:r>
    <w:r w:rsidR="00916BB5" w:rsidRPr="005F3C87">
      <w:rPr>
        <w:rFonts w:ascii="Calibri" w:hAnsi="Calibri" w:cs="Calibri"/>
        <w:sz w:val="22"/>
        <w:szCs w:val="22"/>
      </w:rPr>
      <w:tab/>
    </w:r>
    <w:r w:rsidR="00916BB5" w:rsidRPr="005F3C87">
      <w:rPr>
        <w:rFonts w:ascii="Calibri" w:hAnsi="Calibri" w:cs="Calibri"/>
        <w:sz w:val="22"/>
        <w:szCs w:val="22"/>
      </w:rPr>
      <w:fldChar w:fldCharType="begin"/>
    </w:r>
    <w:r w:rsidR="00916BB5" w:rsidRPr="005F3C87">
      <w:rPr>
        <w:rFonts w:ascii="Calibri" w:hAnsi="Calibri" w:cs="Calibri"/>
        <w:sz w:val="22"/>
        <w:szCs w:val="22"/>
      </w:rPr>
      <w:instrText xml:space="preserve"> PAGE </w:instrText>
    </w:r>
    <w:r w:rsidR="00916BB5" w:rsidRPr="005F3C87">
      <w:rPr>
        <w:rFonts w:ascii="Calibri" w:hAnsi="Calibri" w:cs="Calibri"/>
        <w:sz w:val="22"/>
        <w:szCs w:val="22"/>
      </w:rPr>
      <w:fldChar w:fldCharType="separate"/>
    </w:r>
    <w:r w:rsidR="00916BB5" w:rsidRPr="005F3C87">
      <w:rPr>
        <w:rFonts w:ascii="Calibri" w:hAnsi="Calibri" w:cs="Calibri"/>
        <w:sz w:val="22"/>
        <w:szCs w:val="22"/>
      </w:rPr>
      <w:t>5</w:t>
    </w:r>
    <w:r w:rsidR="00916BB5" w:rsidRPr="005F3C87">
      <w:rPr>
        <w:rFonts w:ascii="Calibri" w:hAnsi="Calibri" w:cs="Calibri"/>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66E61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9CBE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1A97A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5AF71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7560C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907EF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6635A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E0C60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D7A016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2E3A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695876"/>
    <w:multiLevelType w:val="hybridMultilevel"/>
    <w:tmpl w:val="EA0EB9B2"/>
    <w:lvl w:ilvl="0" w:tplc="55EE159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A85F72"/>
    <w:multiLevelType w:val="multilevel"/>
    <w:tmpl w:val="A79441FA"/>
    <w:lvl w:ilvl="0">
      <w:start w:val="1"/>
      <w:numFmt w:val="decimal"/>
      <w:suff w:val="space"/>
      <w:lvlText w:val="%1."/>
      <w:lvlJc w:val="center"/>
      <w:pPr>
        <w:ind w:left="0" w:firstLine="288"/>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0706806"/>
    <w:multiLevelType w:val="hybridMultilevel"/>
    <w:tmpl w:val="BE600BA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1105311"/>
    <w:multiLevelType w:val="multilevel"/>
    <w:tmpl w:val="B2C6C4C8"/>
    <w:lvl w:ilvl="0">
      <w:start w:val="1"/>
      <w:numFmt w:val="decimal"/>
      <w:pStyle w:val="APAIndexedHeading1"/>
      <w:suff w:val="space"/>
      <w:lvlText w:val="%1."/>
      <w:lvlJc w:val="center"/>
      <w:pPr>
        <w:ind w:left="0" w:firstLine="288"/>
      </w:pPr>
      <w:rPr>
        <w:rFonts w:ascii="Times New Roman Bold" w:hAnsi="Times New Roman Bold" w:hint="default"/>
        <w:b/>
        <w:i w:val="0"/>
        <w:color w:val="000000" w:themeColor="text1"/>
        <w:sz w:val="24"/>
      </w:rPr>
    </w:lvl>
    <w:lvl w:ilvl="1">
      <w:start w:val="1"/>
      <w:numFmt w:val="decimal"/>
      <w:pStyle w:val="APAIndexedHeading2"/>
      <w:suff w:val="space"/>
      <w:lvlText w:val="%1.%2"/>
      <w:lvlJc w:val="left"/>
      <w:pPr>
        <w:ind w:left="0" w:firstLine="0"/>
      </w:pPr>
      <w:rPr>
        <w:rFonts w:ascii="Times New Roman Bold" w:hAnsi="Times New Roman Bold" w:hint="default"/>
        <w:b/>
        <w:i w:val="0"/>
        <w:color w:val="000000" w:themeColor="text1"/>
        <w:sz w:val="24"/>
      </w:rPr>
    </w:lvl>
    <w:lvl w:ilvl="2">
      <w:start w:val="1"/>
      <w:numFmt w:val="decimal"/>
      <w:pStyle w:val="APAIndexedHeading3"/>
      <w:suff w:val="space"/>
      <w:lvlText w:val="%1.%2.%3"/>
      <w:lvlJc w:val="left"/>
      <w:pPr>
        <w:ind w:left="0" w:firstLine="720"/>
      </w:pPr>
      <w:rPr>
        <w:rFonts w:ascii="Times New Roman Bold" w:hAnsi="Times New Roman Bold" w:hint="default"/>
        <w:b/>
        <w:i w:val="0"/>
        <w:color w:val="000000" w:themeColor="text1"/>
        <w:sz w:val="24"/>
      </w:rPr>
    </w:lvl>
    <w:lvl w:ilvl="3">
      <w:start w:val="1"/>
      <w:numFmt w:val="decimal"/>
      <w:pStyle w:val="APAIndexedHeading4"/>
      <w:suff w:val="space"/>
      <w:lvlText w:val="%1.%2.%3.%4"/>
      <w:lvlJc w:val="left"/>
      <w:pPr>
        <w:ind w:left="0" w:firstLine="720"/>
      </w:pPr>
      <w:rPr>
        <w:rFonts w:ascii="Times New Roman Bold" w:hAnsi="Times New Roman Bold" w:hint="default"/>
        <w:b/>
        <w:i/>
        <w:color w:val="000000" w:themeColor="text1"/>
        <w:sz w:val="24"/>
      </w:rPr>
    </w:lvl>
    <w:lvl w:ilvl="4">
      <w:start w:val="1"/>
      <w:numFmt w:val="decimal"/>
      <w:pStyle w:val="APAIndexedHeading5"/>
      <w:suff w:val="space"/>
      <w:lvlText w:val="%1.%2.%3.%4.%5"/>
      <w:lvlJc w:val="left"/>
      <w:pPr>
        <w:ind w:left="0" w:firstLine="720"/>
      </w:pPr>
      <w:rPr>
        <w:rFonts w:ascii="Times New Roman" w:hAnsi="Times New Roman" w:hint="default"/>
        <w:b w:val="0"/>
        <w:i/>
        <w:color w:val="000000" w:themeColor="text1"/>
        <w:sz w:val="24"/>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61A252F5"/>
    <w:multiLevelType w:val="multilevel"/>
    <w:tmpl w:val="72C09682"/>
    <w:lvl w:ilvl="0">
      <w:start w:val="1"/>
      <w:numFmt w:val="decimal"/>
      <w:suff w:val="space"/>
      <w:lvlText w:val="%1."/>
      <w:lvlJc w:val="center"/>
      <w:pPr>
        <w:ind w:left="0" w:firstLine="288"/>
      </w:pPr>
      <w:rPr>
        <w:rFonts w:ascii="Times New Roman Bold" w:hAnsi="Times New Roman Bold" w:hint="default"/>
        <w:b w:val="0"/>
        <w:i w:val="0"/>
        <w:color w:val="000000" w:themeColor="text1"/>
        <w:sz w:val="24"/>
      </w:rPr>
    </w:lvl>
    <w:lvl w:ilvl="1">
      <w:start w:val="1"/>
      <w:numFmt w:val="decimal"/>
      <w:suff w:val="space"/>
      <w:lvlText w:val="%1.%2"/>
      <w:lvlJc w:val="left"/>
      <w:pPr>
        <w:ind w:left="0" w:firstLine="0"/>
      </w:pPr>
      <w:rPr>
        <w:rFonts w:ascii="Times New Roman Bold" w:hAnsi="Times New Roman Bold" w:hint="default"/>
        <w:b/>
        <w:i w:val="0"/>
        <w:color w:val="000000" w:themeColor="text1"/>
        <w:sz w:val="24"/>
      </w:rPr>
    </w:lvl>
    <w:lvl w:ilvl="2">
      <w:start w:val="1"/>
      <w:numFmt w:val="decimal"/>
      <w:suff w:val="space"/>
      <w:lvlText w:val="%1.%2.%3"/>
      <w:lvlJc w:val="left"/>
      <w:pPr>
        <w:ind w:left="0" w:firstLine="720"/>
      </w:pPr>
      <w:rPr>
        <w:rFonts w:ascii="Times New Roman Bold" w:hAnsi="Times New Roman Bold" w:hint="default"/>
        <w:b/>
        <w:i w:val="0"/>
        <w:color w:val="000000" w:themeColor="text1"/>
        <w:sz w:val="24"/>
      </w:rPr>
    </w:lvl>
    <w:lvl w:ilvl="3">
      <w:start w:val="1"/>
      <w:numFmt w:val="decimal"/>
      <w:suff w:val="space"/>
      <w:lvlText w:val="%1.%2.%3.%4"/>
      <w:lvlJc w:val="left"/>
      <w:pPr>
        <w:ind w:left="0" w:firstLine="720"/>
      </w:pPr>
      <w:rPr>
        <w:rFonts w:ascii="Times New Roman Bold" w:hAnsi="Times New Roman Bold" w:hint="default"/>
        <w:b/>
        <w:i/>
        <w:color w:val="000000" w:themeColor="text1"/>
        <w:sz w:val="24"/>
      </w:rPr>
    </w:lvl>
    <w:lvl w:ilvl="4">
      <w:start w:val="1"/>
      <w:numFmt w:val="decimal"/>
      <w:suff w:val="space"/>
      <w:lvlText w:val="%1.%2.%3.%4.%5"/>
      <w:lvlJc w:val="left"/>
      <w:pPr>
        <w:ind w:left="0" w:firstLine="720"/>
      </w:pPr>
      <w:rPr>
        <w:rFonts w:ascii="Times New Roman" w:hAnsi="Times New Roman" w:hint="default"/>
        <w:b w:val="0"/>
        <w:i/>
        <w:color w:val="000000" w:themeColor="text1"/>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64607663"/>
    <w:multiLevelType w:val="hybridMultilevel"/>
    <w:tmpl w:val="0F0245D4"/>
    <w:lvl w:ilvl="0" w:tplc="08090001">
      <w:start w:val="5"/>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831F48"/>
    <w:multiLevelType w:val="multilevel"/>
    <w:tmpl w:val="A898514E"/>
    <w:lvl w:ilvl="0">
      <w:start w:val="1"/>
      <w:numFmt w:val="decimal"/>
      <w:suff w:val="space"/>
      <w:lvlText w:val="%1."/>
      <w:lvlJc w:val="center"/>
      <w:pPr>
        <w:ind w:left="0" w:firstLine="288"/>
      </w:pPr>
      <w:rPr>
        <w:rFonts w:hint="default"/>
      </w:rPr>
    </w:lvl>
    <w:lvl w:ilvl="1">
      <w:start w:val="1"/>
      <w:numFmt w:val="decimal"/>
      <w:suff w:val="space"/>
      <w:lvlText w:val="%1.%2"/>
      <w:lvlJc w:val="left"/>
      <w:pPr>
        <w:ind w:left="0" w:firstLine="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72574B7A"/>
    <w:multiLevelType w:val="multilevel"/>
    <w:tmpl w:val="8B1405CE"/>
    <w:lvl w:ilvl="0">
      <w:start w:val="1"/>
      <w:numFmt w:val="decimal"/>
      <w:suff w:val="space"/>
      <w:lvlText w:val="%1."/>
      <w:lvlJc w:val="center"/>
      <w:pPr>
        <w:ind w:left="0" w:firstLine="288"/>
      </w:pPr>
      <w:rPr>
        <w:rFonts w:hint="default"/>
      </w:rPr>
    </w:lvl>
    <w:lvl w:ilvl="1">
      <w:start w:val="1"/>
      <w:numFmt w:val="decimal"/>
      <w:suff w:val="space"/>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887492422">
    <w:abstractNumId w:val="0"/>
  </w:num>
  <w:num w:numId="2" w16cid:durableId="573782863">
    <w:abstractNumId w:val="1"/>
  </w:num>
  <w:num w:numId="3" w16cid:durableId="391077643">
    <w:abstractNumId w:val="2"/>
  </w:num>
  <w:num w:numId="4" w16cid:durableId="687563599">
    <w:abstractNumId w:val="3"/>
  </w:num>
  <w:num w:numId="5" w16cid:durableId="824127389">
    <w:abstractNumId w:val="8"/>
  </w:num>
  <w:num w:numId="6" w16cid:durableId="353195248">
    <w:abstractNumId w:val="4"/>
  </w:num>
  <w:num w:numId="7" w16cid:durableId="1191643436">
    <w:abstractNumId w:val="5"/>
  </w:num>
  <w:num w:numId="8" w16cid:durableId="1397165775">
    <w:abstractNumId w:val="6"/>
  </w:num>
  <w:num w:numId="9" w16cid:durableId="406153193">
    <w:abstractNumId w:val="7"/>
  </w:num>
  <w:num w:numId="10" w16cid:durableId="1589652139">
    <w:abstractNumId w:val="9"/>
  </w:num>
  <w:num w:numId="11" w16cid:durableId="1197354208">
    <w:abstractNumId w:val="17"/>
  </w:num>
  <w:num w:numId="12" w16cid:durableId="1030489662">
    <w:abstractNumId w:val="13"/>
  </w:num>
  <w:num w:numId="13" w16cid:durableId="1879272096">
    <w:abstractNumId w:val="11"/>
  </w:num>
  <w:num w:numId="14" w16cid:durableId="812597644">
    <w:abstractNumId w:val="16"/>
  </w:num>
  <w:num w:numId="15" w16cid:durableId="1871647317">
    <w:abstractNumId w:val="14"/>
  </w:num>
  <w:num w:numId="16" w16cid:durableId="450974986">
    <w:abstractNumId w:val="10"/>
  </w:num>
  <w:num w:numId="17" w16cid:durableId="415521469">
    <w:abstractNumId w:val="12"/>
  </w:num>
  <w:num w:numId="18" w16cid:durableId="6161067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9"/>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APA 7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5e02ataa5w25kera0apsdxaezs5zv2exwps&quot;&gt;Test&lt;record-ids&gt;&lt;item&gt;11276&lt;/item&gt;&lt;item&gt;11283&lt;/item&gt;&lt;item&gt;11293&lt;/item&gt;&lt;item&gt;11297&lt;/item&gt;&lt;item&gt;11298&lt;/item&gt;&lt;item&gt;11299&lt;/item&gt;&lt;item&gt;11300&lt;/item&gt;&lt;item&gt;11303&lt;/item&gt;&lt;item&gt;11308&lt;/item&gt;&lt;item&gt;11327&lt;/item&gt;&lt;item&gt;11346&lt;/item&gt;&lt;item&gt;11347&lt;/item&gt;&lt;item&gt;11350&lt;/item&gt;&lt;item&gt;11355&lt;/item&gt;&lt;item&gt;11363&lt;/item&gt;&lt;item&gt;11364&lt;/item&gt;&lt;item&gt;11370&lt;/item&gt;&lt;item&gt;11381&lt;/item&gt;&lt;item&gt;11407&lt;/item&gt;&lt;/record-ids&gt;&lt;/item&gt;&lt;/Libraries&gt;"/>
  </w:docVars>
  <w:rsids>
    <w:rsidRoot w:val="002629ED"/>
    <w:rsid w:val="000002E1"/>
    <w:rsid w:val="00001269"/>
    <w:rsid w:val="00002EB9"/>
    <w:rsid w:val="00003CDA"/>
    <w:rsid w:val="00004977"/>
    <w:rsid w:val="00006F91"/>
    <w:rsid w:val="00010A55"/>
    <w:rsid w:val="0001163B"/>
    <w:rsid w:val="00014560"/>
    <w:rsid w:val="0001516E"/>
    <w:rsid w:val="00016D48"/>
    <w:rsid w:val="00016EF9"/>
    <w:rsid w:val="0002024E"/>
    <w:rsid w:val="00021681"/>
    <w:rsid w:val="000222B8"/>
    <w:rsid w:val="00022309"/>
    <w:rsid w:val="0002345E"/>
    <w:rsid w:val="00023AD7"/>
    <w:rsid w:val="00025074"/>
    <w:rsid w:val="0002645A"/>
    <w:rsid w:val="00026481"/>
    <w:rsid w:val="000265A8"/>
    <w:rsid w:val="00026C30"/>
    <w:rsid w:val="0002767D"/>
    <w:rsid w:val="00027AF6"/>
    <w:rsid w:val="000327EB"/>
    <w:rsid w:val="000331EA"/>
    <w:rsid w:val="00035719"/>
    <w:rsid w:val="0003571B"/>
    <w:rsid w:val="000411C3"/>
    <w:rsid w:val="000434E7"/>
    <w:rsid w:val="00043F08"/>
    <w:rsid w:val="0004592C"/>
    <w:rsid w:val="00052138"/>
    <w:rsid w:val="00052561"/>
    <w:rsid w:val="00052DBA"/>
    <w:rsid w:val="00056C46"/>
    <w:rsid w:val="000610F6"/>
    <w:rsid w:val="00061408"/>
    <w:rsid w:val="00063CA7"/>
    <w:rsid w:val="00064B71"/>
    <w:rsid w:val="00064BFF"/>
    <w:rsid w:val="000665A5"/>
    <w:rsid w:val="00074B52"/>
    <w:rsid w:val="000766EB"/>
    <w:rsid w:val="00077032"/>
    <w:rsid w:val="00077B50"/>
    <w:rsid w:val="0008199D"/>
    <w:rsid w:val="000851DF"/>
    <w:rsid w:val="00085603"/>
    <w:rsid w:val="0008574C"/>
    <w:rsid w:val="00086A66"/>
    <w:rsid w:val="00090456"/>
    <w:rsid w:val="000913C7"/>
    <w:rsid w:val="000929F2"/>
    <w:rsid w:val="00094856"/>
    <w:rsid w:val="00095EA6"/>
    <w:rsid w:val="00096BDC"/>
    <w:rsid w:val="000A0B24"/>
    <w:rsid w:val="000A2218"/>
    <w:rsid w:val="000A2333"/>
    <w:rsid w:val="000A5493"/>
    <w:rsid w:val="000A65AD"/>
    <w:rsid w:val="000A758E"/>
    <w:rsid w:val="000A79C7"/>
    <w:rsid w:val="000B11AE"/>
    <w:rsid w:val="000B2A52"/>
    <w:rsid w:val="000B304F"/>
    <w:rsid w:val="000B33A3"/>
    <w:rsid w:val="000B3501"/>
    <w:rsid w:val="000B41FB"/>
    <w:rsid w:val="000B5F1D"/>
    <w:rsid w:val="000B6726"/>
    <w:rsid w:val="000B77FE"/>
    <w:rsid w:val="000B7CB4"/>
    <w:rsid w:val="000C04EB"/>
    <w:rsid w:val="000C115A"/>
    <w:rsid w:val="000C124F"/>
    <w:rsid w:val="000C2C07"/>
    <w:rsid w:val="000C31A2"/>
    <w:rsid w:val="000C3747"/>
    <w:rsid w:val="000C4BAC"/>
    <w:rsid w:val="000C59A5"/>
    <w:rsid w:val="000C5AEE"/>
    <w:rsid w:val="000C6F21"/>
    <w:rsid w:val="000D17E8"/>
    <w:rsid w:val="000D229B"/>
    <w:rsid w:val="000D3892"/>
    <w:rsid w:val="000D4653"/>
    <w:rsid w:val="000D4CA9"/>
    <w:rsid w:val="000D5095"/>
    <w:rsid w:val="000D677B"/>
    <w:rsid w:val="000D6E97"/>
    <w:rsid w:val="000D7FC0"/>
    <w:rsid w:val="000E091F"/>
    <w:rsid w:val="000E097D"/>
    <w:rsid w:val="000E1425"/>
    <w:rsid w:val="000E1D3D"/>
    <w:rsid w:val="000E22FA"/>
    <w:rsid w:val="000E2B1B"/>
    <w:rsid w:val="000E3FF9"/>
    <w:rsid w:val="000E4E49"/>
    <w:rsid w:val="000E5C76"/>
    <w:rsid w:val="000E63B7"/>
    <w:rsid w:val="000E6BAC"/>
    <w:rsid w:val="000E6BED"/>
    <w:rsid w:val="000F0DC7"/>
    <w:rsid w:val="000F0F2D"/>
    <w:rsid w:val="000F1263"/>
    <w:rsid w:val="000F12CA"/>
    <w:rsid w:val="000F1931"/>
    <w:rsid w:val="000F2A00"/>
    <w:rsid w:val="000F408A"/>
    <w:rsid w:val="000F6486"/>
    <w:rsid w:val="000F7D6C"/>
    <w:rsid w:val="000F7F39"/>
    <w:rsid w:val="00100F82"/>
    <w:rsid w:val="00101E02"/>
    <w:rsid w:val="00102D11"/>
    <w:rsid w:val="00103276"/>
    <w:rsid w:val="00103B78"/>
    <w:rsid w:val="00103F24"/>
    <w:rsid w:val="00106BB9"/>
    <w:rsid w:val="00107D22"/>
    <w:rsid w:val="001109EB"/>
    <w:rsid w:val="001113C6"/>
    <w:rsid w:val="00112D95"/>
    <w:rsid w:val="00113B4E"/>
    <w:rsid w:val="00114CA5"/>
    <w:rsid w:val="001155F6"/>
    <w:rsid w:val="00117B5A"/>
    <w:rsid w:val="00117E29"/>
    <w:rsid w:val="00121B14"/>
    <w:rsid w:val="001222B8"/>
    <w:rsid w:val="001227B0"/>
    <w:rsid w:val="0012394F"/>
    <w:rsid w:val="00124975"/>
    <w:rsid w:val="001249A9"/>
    <w:rsid w:val="00125105"/>
    <w:rsid w:val="00130FA6"/>
    <w:rsid w:val="00132A8C"/>
    <w:rsid w:val="00133662"/>
    <w:rsid w:val="00133AD5"/>
    <w:rsid w:val="001347C0"/>
    <w:rsid w:val="00135384"/>
    <w:rsid w:val="00136468"/>
    <w:rsid w:val="00136560"/>
    <w:rsid w:val="0013715F"/>
    <w:rsid w:val="001375A6"/>
    <w:rsid w:val="0013795A"/>
    <w:rsid w:val="00140AA8"/>
    <w:rsid w:val="00141386"/>
    <w:rsid w:val="001422E8"/>
    <w:rsid w:val="001428A0"/>
    <w:rsid w:val="00142DA0"/>
    <w:rsid w:val="00143095"/>
    <w:rsid w:val="00144F4E"/>
    <w:rsid w:val="00145EDB"/>
    <w:rsid w:val="001465BA"/>
    <w:rsid w:val="001469D0"/>
    <w:rsid w:val="00151218"/>
    <w:rsid w:val="001529C7"/>
    <w:rsid w:val="00152E8A"/>
    <w:rsid w:val="001542FE"/>
    <w:rsid w:val="0015552D"/>
    <w:rsid w:val="001572DD"/>
    <w:rsid w:val="00157DAB"/>
    <w:rsid w:val="001623C9"/>
    <w:rsid w:val="00163169"/>
    <w:rsid w:val="00165A5E"/>
    <w:rsid w:val="00166938"/>
    <w:rsid w:val="00166E4E"/>
    <w:rsid w:val="00167262"/>
    <w:rsid w:val="001715B7"/>
    <w:rsid w:val="0017474F"/>
    <w:rsid w:val="001803B2"/>
    <w:rsid w:val="00181B36"/>
    <w:rsid w:val="00182B1A"/>
    <w:rsid w:val="001833CD"/>
    <w:rsid w:val="001848E3"/>
    <w:rsid w:val="00187562"/>
    <w:rsid w:val="001922C9"/>
    <w:rsid w:val="001929EA"/>
    <w:rsid w:val="0019315F"/>
    <w:rsid w:val="0019343E"/>
    <w:rsid w:val="0019396D"/>
    <w:rsid w:val="00193F69"/>
    <w:rsid w:val="001940C8"/>
    <w:rsid w:val="00194DAF"/>
    <w:rsid w:val="001959DE"/>
    <w:rsid w:val="00195A65"/>
    <w:rsid w:val="001A1305"/>
    <w:rsid w:val="001A232A"/>
    <w:rsid w:val="001A2940"/>
    <w:rsid w:val="001A4017"/>
    <w:rsid w:val="001A60E6"/>
    <w:rsid w:val="001A7A76"/>
    <w:rsid w:val="001A7F13"/>
    <w:rsid w:val="001B01A7"/>
    <w:rsid w:val="001B0779"/>
    <w:rsid w:val="001B1E88"/>
    <w:rsid w:val="001B21C4"/>
    <w:rsid w:val="001B2E53"/>
    <w:rsid w:val="001B3354"/>
    <w:rsid w:val="001B7D89"/>
    <w:rsid w:val="001C038F"/>
    <w:rsid w:val="001C0768"/>
    <w:rsid w:val="001C17BB"/>
    <w:rsid w:val="001C3E69"/>
    <w:rsid w:val="001C480A"/>
    <w:rsid w:val="001C5819"/>
    <w:rsid w:val="001C73EB"/>
    <w:rsid w:val="001D0418"/>
    <w:rsid w:val="001D0EEC"/>
    <w:rsid w:val="001D12D1"/>
    <w:rsid w:val="001D5E94"/>
    <w:rsid w:val="001E0118"/>
    <w:rsid w:val="001E19B9"/>
    <w:rsid w:val="001E2E1E"/>
    <w:rsid w:val="001E33AF"/>
    <w:rsid w:val="001E33CF"/>
    <w:rsid w:val="001E39AA"/>
    <w:rsid w:val="001E4672"/>
    <w:rsid w:val="001E5DD1"/>
    <w:rsid w:val="001E6266"/>
    <w:rsid w:val="001E757E"/>
    <w:rsid w:val="001F01AB"/>
    <w:rsid w:val="001F176D"/>
    <w:rsid w:val="001F22C8"/>
    <w:rsid w:val="001F2B5D"/>
    <w:rsid w:val="001F3D1B"/>
    <w:rsid w:val="001F4614"/>
    <w:rsid w:val="001F4B47"/>
    <w:rsid w:val="001F4D2F"/>
    <w:rsid w:val="001F57C4"/>
    <w:rsid w:val="001F64C2"/>
    <w:rsid w:val="001F69F3"/>
    <w:rsid w:val="001F6B8A"/>
    <w:rsid w:val="00200EE1"/>
    <w:rsid w:val="0020243E"/>
    <w:rsid w:val="00202DC5"/>
    <w:rsid w:val="00203D83"/>
    <w:rsid w:val="00204104"/>
    <w:rsid w:val="00205618"/>
    <w:rsid w:val="00205B20"/>
    <w:rsid w:val="00205B67"/>
    <w:rsid w:val="00210676"/>
    <w:rsid w:val="002120F0"/>
    <w:rsid w:val="0021478D"/>
    <w:rsid w:val="00215C97"/>
    <w:rsid w:val="0021714B"/>
    <w:rsid w:val="00217E95"/>
    <w:rsid w:val="002207DE"/>
    <w:rsid w:val="00220C1C"/>
    <w:rsid w:val="0022480F"/>
    <w:rsid w:val="00225BD8"/>
    <w:rsid w:val="00226A0C"/>
    <w:rsid w:val="0023100B"/>
    <w:rsid w:val="00231746"/>
    <w:rsid w:val="00232972"/>
    <w:rsid w:val="0023334D"/>
    <w:rsid w:val="00233754"/>
    <w:rsid w:val="00234830"/>
    <w:rsid w:val="002357E2"/>
    <w:rsid w:val="00235C45"/>
    <w:rsid w:val="00236B1B"/>
    <w:rsid w:val="00237C23"/>
    <w:rsid w:val="002406CC"/>
    <w:rsid w:val="00241569"/>
    <w:rsid w:val="00241B96"/>
    <w:rsid w:val="0024246D"/>
    <w:rsid w:val="00242D50"/>
    <w:rsid w:val="00243397"/>
    <w:rsid w:val="00243E87"/>
    <w:rsid w:val="00247DA9"/>
    <w:rsid w:val="00250A69"/>
    <w:rsid w:val="00252876"/>
    <w:rsid w:val="0025416A"/>
    <w:rsid w:val="002555DE"/>
    <w:rsid w:val="002563EC"/>
    <w:rsid w:val="00256FEF"/>
    <w:rsid w:val="00257D53"/>
    <w:rsid w:val="0026142E"/>
    <w:rsid w:val="0026193E"/>
    <w:rsid w:val="002629ED"/>
    <w:rsid w:val="002632FE"/>
    <w:rsid w:val="00263402"/>
    <w:rsid w:val="00263F91"/>
    <w:rsid w:val="00264004"/>
    <w:rsid w:val="00264DA6"/>
    <w:rsid w:val="00265225"/>
    <w:rsid w:val="002677F3"/>
    <w:rsid w:val="002732ED"/>
    <w:rsid w:val="00273D79"/>
    <w:rsid w:val="00274CB9"/>
    <w:rsid w:val="0027510A"/>
    <w:rsid w:val="00280B01"/>
    <w:rsid w:val="0028130C"/>
    <w:rsid w:val="00282663"/>
    <w:rsid w:val="00282BA1"/>
    <w:rsid w:val="0028331D"/>
    <w:rsid w:val="00284992"/>
    <w:rsid w:val="0028583E"/>
    <w:rsid w:val="002933CA"/>
    <w:rsid w:val="00293CF6"/>
    <w:rsid w:val="00294961"/>
    <w:rsid w:val="00294C41"/>
    <w:rsid w:val="002A041C"/>
    <w:rsid w:val="002A11E1"/>
    <w:rsid w:val="002A2EC2"/>
    <w:rsid w:val="002A725D"/>
    <w:rsid w:val="002B0440"/>
    <w:rsid w:val="002B0649"/>
    <w:rsid w:val="002B1B41"/>
    <w:rsid w:val="002B3949"/>
    <w:rsid w:val="002B3D38"/>
    <w:rsid w:val="002B4D32"/>
    <w:rsid w:val="002B5A2C"/>
    <w:rsid w:val="002C00D0"/>
    <w:rsid w:val="002C1124"/>
    <w:rsid w:val="002C35F3"/>
    <w:rsid w:val="002C43E8"/>
    <w:rsid w:val="002C5D48"/>
    <w:rsid w:val="002C5F03"/>
    <w:rsid w:val="002C6BDC"/>
    <w:rsid w:val="002C6D60"/>
    <w:rsid w:val="002C7FE8"/>
    <w:rsid w:val="002D0E04"/>
    <w:rsid w:val="002D1F83"/>
    <w:rsid w:val="002D3056"/>
    <w:rsid w:val="002D5280"/>
    <w:rsid w:val="002D56DF"/>
    <w:rsid w:val="002D66CA"/>
    <w:rsid w:val="002D6B67"/>
    <w:rsid w:val="002D6DE4"/>
    <w:rsid w:val="002D7AEB"/>
    <w:rsid w:val="002E01E5"/>
    <w:rsid w:val="002E0D4D"/>
    <w:rsid w:val="002E1190"/>
    <w:rsid w:val="002E1AD8"/>
    <w:rsid w:val="002E2847"/>
    <w:rsid w:val="002F2100"/>
    <w:rsid w:val="002F322D"/>
    <w:rsid w:val="002F45E8"/>
    <w:rsid w:val="002F57BA"/>
    <w:rsid w:val="002F59A0"/>
    <w:rsid w:val="002F78E6"/>
    <w:rsid w:val="002F7BAA"/>
    <w:rsid w:val="003023AE"/>
    <w:rsid w:val="00302B92"/>
    <w:rsid w:val="003064A9"/>
    <w:rsid w:val="00307A65"/>
    <w:rsid w:val="00307D39"/>
    <w:rsid w:val="003101E0"/>
    <w:rsid w:val="00310492"/>
    <w:rsid w:val="00310495"/>
    <w:rsid w:val="00312388"/>
    <w:rsid w:val="00314B6F"/>
    <w:rsid w:val="00315A19"/>
    <w:rsid w:val="00316B92"/>
    <w:rsid w:val="003223AB"/>
    <w:rsid w:val="00324A2F"/>
    <w:rsid w:val="00324D9E"/>
    <w:rsid w:val="00325CC2"/>
    <w:rsid w:val="00326981"/>
    <w:rsid w:val="00326C10"/>
    <w:rsid w:val="00332E10"/>
    <w:rsid w:val="003340A6"/>
    <w:rsid w:val="00334CA1"/>
    <w:rsid w:val="00335D5C"/>
    <w:rsid w:val="003365BA"/>
    <w:rsid w:val="0034275B"/>
    <w:rsid w:val="00343777"/>
    <w:rsid w:val="00344479"/>
    <w:rsid w:val="00346774"/>
    <w:rsid w:val="00346B0B"/>
    <w:rsid w:val="00346FFB"/>
    <w:rsid w:val="003502FF"/>
    <w:rsid w:val="00352654"/>
    <w:rsid w:val="003542B0"/>
    <w:rsid w:val="0035558F"/>
    <w:rsid w:val="00356EB2"/>
    <w:rsid w:val="00356FF4"/>
    <w:rsid w:val="003628A5"/>
    <w:rsid w:val="00363D4F"/>
    <w:rsid w:val="0036572E"/>
    <w:rsid w:val="00366F9E"/>
    <w:rsid w:val="003702A9"/>
    <w:rsid w:val="0037156F"/>
    <w:rsid w:val="003718F5"/>
    <w:rsid w:val="00371A20"/>
    <w:rsid w:val="0037229A"/>
    <w:rsid w:val="00372CC2"/>
    <w:rsid w:val="00375024"/>
    <w:rsid w:val="003750A7"/>
    <w:rsid w:val="00376316"/>
    <w:rsid w:val="0038008F"/>
    <w:rsid w:val="0038042A"/>
    <w:rsid w:val="003806B8"/>
    <w:rsid w:val="00380EB2"/>
    <w:rsid w:val="00385601"/>
    <w:rsid w:val="003917AD"/>
    <w:rsid w:val="00391D6D"/>
    <w:rsid w:val="003924A1"/>
    <w:rsid w:val="00393FF1"/>
    <w:rsid w:val="0039727B"/>
    <w:rsid w:val="00397751"/>
    <w:rsid w:val="003A05AB"/>
    <w:rsid w:val="003A0E64"/>
    <w:rsid w:val="003A7ACD"/>
    <w:rsid w:val="003A7D29"/>
    <w:rsid w:val="003B5070"/>
    <w:rsid w:val="003B5382"/>
    <w:rsid w:val="003B5392"/>
    <w:rsid w:val="003B5541"/>
    <w:rsid w:val="003B5842"/>
    <w:rsid w:val="003B72E2"/>
    <w:rsid w:val="003B740E"/>
    <w:rsid w:val="003C1D1D"/>
    <w:rsid w:val="003C5FF2"/>
    <w:rsid w:val="003C66FB"/>
    <w:rsid w:val="003D07A0"/>
    <w:rsid w:val="003D120A"/>
    <w:rsid w:val="003D191B"/>
    <w:rsid w:val="003D290F"/>
    <w:rsid w:val="003D4FB5"/>
    <w:rsid w:val="003D563D"/>
    <w:rsid w:val="003D7981"/>
    <w:rsid w:val="003D7B49"/>
    <w:rsid w:val="003E0440"/>
    <w:rsid w:val="003E1F21"/>
    <w:rsid w:val="003E40C9"/>
    <w:rsid w:val="003E572D"/>
    <w:rsid w:val="003E5AFA"/>
    <w:rsid w:val="003E6231"/>
    <w:rsid w:val="003F0D24"/>
    <w:rsid w:val="003F143C"/>
    <w:rsid w:val="003F15B8"/>
    <w:rsid w:val="003F1F87"/>
    <w:rsid w:val="003F3531"/>
    <w:rsid w:val="003F4055"/>
    <w:rsid w:val="003F4461"/>
    <w:rsid w:val="003F4BA8"/>
    <w:rsid w:val="003F54B9"/>
    <w:rsid w:val="003F58BF"/>
    <w:rsid w:val="003F58EB"/>
    <w:rsid w:val="003F5AC7"/>
    <w:rsid w:val="003F766A"/>
    <w:rsid w:val="003F7D92"/>
    <w:rsid w:val="00400D02"/>
    <w:rsid w:val="00401964"/>
    <w:rsid w:val="0040350B"/>
    <w:rsid w:val="00405CC9"/>
    <w:rsid w:val="00410BC4"/>
    <w:rsid w:val="004114B8"/>
    <w:rsid w:val="004115D8"/>
    <w:rsid w:val="004130D4"/>
    <w:rsid w:val="004139E6"/>
    <w:rsid w:val="004142E9"/>
    <w:rsid w:val="00414914"/>
    <w:rsid w:val="00414CE0"/>
    <w:rsid w:val="0041618D"/>
    <w:rsid w:val="004174FB"/>
    <w:rsid w:val="00421DC2"/>
    <w:rsid w:val="00422196"/>
    <w:rsid w:val="004241EE"/>
    <w:rsid w:val="00424C90"/>
    <w:rsid w:val="00425197"/>
    <w:rsid w:val="004254EE"/>
    <w:rsid w:val="00425552"/>
    <w:rsid w:val="0042571C"/>
    <w:rsid w:val="0043027D"/>
    <w:rsid w:val="00430A3C"/>
    <w:rsid w:val="00431A28"/>
    <w:rsid w:val="00432394"/>
    <w:rsid w:val="00432F7B"/>
    <w:rsid w:val="00434090"/>
    <w:rsid w:val="004344FC"/>
    <w:rsid w:val="004350BD"/>
    <w:rsid w:val="00435F9C"/>
    <w:rsid w:val="004364F5"/>
    <w:rsid w:val="004412E9"/>
    <w:rsid w:val="00443C38"/>
    <w:rsid w:val="004448B0"/>
    <w:rsid w:val="00444BE4"/>
    <w:rsid w:val="004456F3"/>
    <w:rsid w:val="004467F9"/>
    <w:rsid w:val="00447A88"/>
    <w:rsid w:val="00450144"/>
    <w:rsid w:val="0045053A"/>
    <w:rsid w:val="00450B29"/>
    <w:rsid w:val="00450D72"/>
    <w:rsid w:val="0045274D"/>
    <w:rsid w:val="00452BDB"/>
    <w:rsid w:val="00453DAE"/>
    <w:rsid w:val="004548B3"/>
    <w:rsid w:val="004560C2"/>
    <w:rsid w:val="004603F1"/>
    <w:rsid w:val="004615FC"/>
    <w:rsid w:val="00461BDD"/>
    <w:rsid w:val="0046555E"/>
    <w:rsid w:val="00465928"/>
    <w:rsid w:val="00465DD4"/>
    <w:rsid w:val="00466291"/>
    <w:rsid w:val="0046695C"/>
    <w:rsid w:val="004737A4"/>
    <w:rsid w:val="004760B1"/>
    <w:rsid w:val="00477D15"/>
    <w:rsid w:val="00477E50"/>
    <w:rsid w:val="00480792"/>
    <w:rsid w:val="00482BF1"/>
    <w:rsid w:val="0048414B"/>
    <w:rsid w:val="004854AF"/>
    <w:rsid w:val="004860DD"/>
    <w:rsid w:val="00486FAC"/>
    <w:rsid w:val="00487FCF"/>
    <w:rsid w:val="00491993"/>
    <w:rsid w:val="004929A8"/>
    <w:rsid w:val="0049395A"/>
    <w:rsid w:val="00494112"/>
    <w:rsid w:val="00495ED5"/>
    <w:rsid w:val="004A097B"/>
    <w:rsid w:val="004A296E"/>
    <w:rsid w:val="004A399E"/>
    <w:rsid w:val="004A448A"/>
    <w:rsid w:val="004A6FCE"/>
    <w:rsid w:val="004A790F"/>
    <w:rsid w:val="004A7F44"/>
    <w:rsid w:val="004B0094"/>
    <w:rsid w:val="004B01B5"/>
    <w:rsid w:val="004B0B4F"/>
    <w:rsid w:val="004B200A"/>
    <w:rsid w:val="004B2986"/>
    <w:rsid w:val="004B3A0B"/>
    <w:rsid w:val="004B3A0C"/>
    <w:rsid w:val="004B4007"/>
    <w:rsid w:val="004B47A9"/>
    <w:rsid w:val="004B4AF0"/>
    <w:rsid w:val="004B7111"/>
    <w:rsid w:val="004C0F1A"/>
    <w:rsid w:val="004C1B4D"/>
    <w:rsid w:val="004C2710"/>
    <w:rsid w:val="004C3556"/>
    <w:rsid w:val="004C38C7"/>
    <w:rsid w:val="004C5AB5"/>
    <w:rsid w:val="004C6545"/>
    <w:rsid w:val="004C659D"/>
    <w:rsid w:val="004C6937"/>
    <w:rsid w:val="004C6C55"/>
    <w:rsid w:val="004C7FA4"/>
    <w:rsid w:val="004D0815"/>
    <w:rsid w:val="004D1A35"/>
    <w:rsid w:val="004D1DC6"/>
    <w:rsid w:val="004D20BC"/>
    <w:rsid w:val="004D2247"/>
    <w:rsid w:val="004D3C23"/>
    <w:rsid w:val="004D42A0"/>
    <w:rsid w:val="004D43D5"/>
    <w:rsid w:val="004D5245"/>
    <w:rsid w:val="004D7834"/>
    <w:rsid w:val="004E0058"/>
    <w:rsid w:val="004E0CD3"/>
    <w:rsid w:val="004E34AD"/>
    <w:rsid w:val="004E3DC3"/>
    <w:rsid w:val="004E3E6F"/>
    <w:rsid w:val="004E400C"/>
    <w:rsid w:val="004E47F8"/>
    <w:rsid w:val="004E4DDE"/>
    <w:rsid w:val="004F1549"/>
    <w:rsid w:val="004F2FAF"/>
    <w:rsid w:val="004F59BA"/>
    <w:rsid w:val="004F75DD"/>
    <w:rsid w:val="005003AC"/>
    <w:rsid w:val="005012DC"/>
    <w:rsid w:val="00501549"/>
    <w:rsid w:val="00501C8D"/>
    <w:rsid w:val="00501EE0"/>
    <w:rsid w:val="00503551"/>
    <w:rsid w:val="00504F0F"/>
    <w:rsid w:val="00506E31"/>
    <w:rsid w:val="0050751E"/>
    <w:rsid w:val="00507C88"/>
    <w:rsid w:val="0051224B"/>
    <w:rsid w:val="005127F1"/>
    <w:rsid w:val="00513E19"/>
    <w:rsid w:val="005157B6"/>
    <w:rsid w:val="005207DF"/>
    <w:rsid w:val="00520BCB"/>
    <w:rsid w:val="005210E1"/>
    <w:rsid w:val="00522F4F"/>
    <w:rsid w:val="0052320D"/>
    <w:rsid w:val="00526C8A"/>
    <w:rsid w:val="0052716B"/>
    <w:rsid w:val="0053010D"/>
    <w:rsid w:val="00530C06"/>
    <w:rsid w:val="00534783"/>
    <w:rsid w:val="00535335"/>
    <w:rsid w:val="00535724"/>
    <w:rsid w:val="005357DC"/>
    <w:rsid w:val="00536114"/>
    <w:rsid w:val="005367B0"/>
    <w:rsid w:val="00536F46"/>
    <w:rsid w:val="0053775F"/>
    <w:rsid w:val="0054177E"/>
    <w:rsid w:val="005428E9"/>
    <w:rsid w:val="00542923"/>
    <w:rsid w:val="00542C2B"/>
    <w:rsid w:val="005433B8"/>
    <w:rsid w:val="005451B2"/>
    <w:rsid w:val="00545442"/>
    <w:rsid w:val="00546B1B"/>
    <w:rsid w:val="00550051"/>
    <w:rsid w:val="0055012B"/>
    <w:rsid w:val="00551078"/>
    <w:rsid w:val="00551EDF"/>
    <w:rsid w:val="005527C6"/>
    <w:rsid w:val="00553F3F"/>
    <w:rsid w:val="00556798"/>
    <w:rsid w:val="005574F6"/>
    <w:rsid w:val="00561445"/>
    <w:rsid w:val="00561675"/>
    <w:rsid w:val="005618CC"/>
    <w:rsid w:val="00562183"/>
    <w:rsid w:val="005624B8"/>
    <w:rsid w:val="005625DE"/>
    <w:rsid w:val="00564990"/>
    <w:rsid w:val="005667BC"/>
    <w:rsid w:val="0056697E"/>
    <w:rsid w:val="005677DE"/>
    <w:rsid w:val="00570484"/>
    <w:rsid w:val="00570BBB"/>
    <w:rsid w:val="005723F6"/>
    <w:rsid w:val="00572425"/>
    <w:rsid w:val="00573221"/>
    <w:rsid w:val="0057490B"/>
    <w:rsid w:val="00574BE5"/>
    <w:rsid w:val="00574F30"/>
    <w:rsid w:val="00575252"/>
    <w:rsid w:val="005763E2"/>
    <w:rsid w:val="00577482"/>
    <w:rsid w:val="0058064C"/>
    <w:rsid w:val="005823B7"/>
    <w:rsid w:val="005829CA"/>
    <w:rsid w:val="00583283"/>
    <w:rsid w:val="00583355"/>
    <w:rsid w:val="005855F1"/>
    <w:rsid w:val="00586444"/>
    <w:rsid w:val="00586657"/>
    <w:rsid w:val="0058670E"/>
    <w:rsid w:val="00586F1C"/>
    <w:rsid w:val="00586F5D"/>
    <w:rsid w:val="00587203"/>
    <w:rsid w:val="00587337"/>
    <w:rsid w:val="00587857"/>
    <w:rsid w:val="005900B4"/>
    <w:rsid w:val="00590720"/>
    <w:rsid w:val="0059089E"/>
    <w:rsid w:val="00590AE8"/>
    <w:rsid w:val="00591521"/>
    <w:rsid w:val="005917DB"/>
    <w:rsid w:val="005944FA"/>
    <w:rsid w:val="0059450A"/>
    <w:rsid w:val="005957D5"/>
    <w:rsid w:val="00596AB0"/>
    <w:rsid w:val="005A082F"/>
    <w:rsid w:val="005A0C01"/>
    <w:rsid w:val="005A1C16"/>
    <w:rsid w:val="005A4A81"/>
    <w:rsid w:val="005A4B8E"/>
    <w:rsid w:val="005A54BB"/>
    <w:rsid w:val="005A7210"/>
    <w:rsid w:val="005A725A"/>
    <w:rsid w:val="005A7777"/>
    <w:rsid w:val="005B149D"/>
    <w:rsid w:val="005B1775"/>
    <w:rsid w:val="005B1C63"/>
    <w:rsid w:val="005B263F"/>
    <w:rsid w:val="005B3E3B"/>
    <w:rsid w:val="005B3F77"/>
    <w:rsid w:val="005B6E9C"/>
    <w:rsid w:val="005B6F41"/>
    <w:rsid w:val="005C0087"/>
    <w:rsid w:val="005C230C"/>
    <w:rsid w:val="005C29BD"/>
    <w:rsid w:val="005C34CA"/>
    <w:rsid w:val="005C3849"/>
    <w:rsid w:val="005C6519"/>
    <w:rsid w:val="005C7572"/>
    <w:rsid w:val="005C7ACE"/>
    <w:rsid w:val="005C7C84"/>
    <w:rsid w:val="005D02DA"/>
    <w:rsid w:val="005D116B"/>
    <w:rsid w:val="005D26D7"/>
    <w:rsid w:val="005D3B72"/>
    <w:rsid w:val="005D77F6"/>
    <w:rsid w:val="005E02FA"/>
    <w:rsid w:val="005E2670"/>
    <w:rsid w:val="005E3E8A"/>
    <w:rsid w:val="005E3EFC"/>
    <w:rsid w:val="005E3F16"/>
    <w:rsid w:val="005E6C90"/>
    <w:rsid w:val="005F0D7E"/>
    <w:rsid w:val="005F1FC7"/>
    <w:rsid w:val="005F3C87"/>
    <w:rsid w:val="00602551"/>
    <w:rsid w:val="00605D65"/>
    <w:rsid w:val="0060726A"/>
    <w:rsid w:val="00607392"/>
    <w:rsid w:val="006073BF"/>
    <w:rsid w:val="006074F1"/>
    <w:rsid w:val="00610A54"/>
    <w:rsid w:val="00612ABA"/>
    <w:rsid w:val="006144F9"/>
    <w:rsid w:val="00620AE6"/>
    <w:rsid w:val="00621CB6"/>
    <w:rsid w:val="00621CF4"/>
    <w:rsid w:val="00624B0D"/>
    <w:rsid w:val="00625146"/>
    <w:rsid w:val="006262CA"/>
    <w:rsid w:val="00627213"/>
    <w:rsid w:val="006324D1"/>
    <w:rsid w:val="00634E21"/>
    <w:rsid w:val="0063653E"/>
    <w:rsid w:val="00641603"/>
    <w:rsid w:val="00641C5B"/>
    <w:rsid w:val="00642752"/>
    <w:rsid w:val="00642908"/>
    <w:rsid w:val="00645453"/>
    <w:rsid w:val="00647462"/>
    <w:rsid w:val="006475DD"/>
    <w:rsid w:val="00650B3E"/>
    <w:rsid w:val="00653057"/>
    <w:rsid w:val="00653595"/>
    <w:rsid w:val="0065370D"/>
    <w:rsid w:val="00653CED"/>
    <w:rsid w:val="00655F3A"/>
    <w:rsid w:val="006562AE"/>
    <w:rsid w:val="006601DA"/>
    <w:rsid w:val="00660BAA"/>
    <w:rsid w:val="00661401"/>
    <w:rsid w:val="006614B3"/>
    <w:rsid w:val="00661CA4"/>
    <w:rsid w:val="006621AD"/>
    <w:rsid w:val="00662978"/>
    <w:rsid w:val="00662BCE"/>
    <w:rsid w:val="00662C64"/>
    <w:rsid w:val="006658AB"/>
    <w:rsid w:val="00666297"/>
    <w:rsid w:val="00670E7D"/>
    <w:rsid w:val="00670F2C"/>
    <w:rsid w:val="006742E0"/>
    <w:rsid w:val="006748D3"/>
    <w:rsid w:val="006768A0"/>
    <w:rsid w:val="00677068"/>
    <w:rsid w:val="00680CEF"/>
    <w:rsid w:val="006827B0"/>
    <w:rsid w:val="00683055"/>
    <w:rsid w:val="006834B7"/>
    <w:rsid w:val="00685108"/>
    <w:rsid w:val="0068539E"/>
    <w:rsid w:val="00685C96"/>
    <w:rsid w:val="00686391"/>
    <w:rsid w:val="00686954"/>
    <w:rsid w:val="00687552"/>
    <w:rsid w:val="00691F9A"/>
    <w:rsid w:val="006921F8"/>
    <w:rsid w:val="00692230"/>
    <w:rsid w:val="0069249A"/>
    <w:rsid w:val="00693B7E"/>
    <w:rsid w:val="00693E11"/>
    <w:rsid w:val="00694857"/>
    <w:rsid w:val="00695973"/>
    <w:rsid w:val="00695DC1"/>
    <w:rsid w:val="006975AE"/>
    <w:rsid w:val="00697727"/>
    <w:rsid w:val="00697BAC"/>
    <w:rsid w:val="006A142E"/>
    <w:rsid w:val="006A7153"/>
    <w:rsid w:val="006A71E3"/>
    <w:rsid w:val="006A78E5"/>
    <w:rsid w:val="006B0803"/>
    <w:rsid w:val="006B3206"/>
    <w:rsid w:val="006B34CA"/>
    <w:rsid w:val="006B5749"/>
    <w:rsid w:val="006C0016"/>
    <w:rsid w:val="006C0422"/>
    <w:rsid w:val="006C0E0D"/>
    <w:rsid w:val="006C1351"/>
    <w:rsid w:val="006C28E5"/>
    <w:rsid w:val="006C4292"/>
    <w:rsid w:val="006C5924"/>
    <w:rsid w:val="006C76D5"/>
    <w:rsid w:val="006C7DCF"/>
    <w:rsid w:val="006D109C"/>
    <w:rsid w:val="006D1B2D"/>
    <w:rsid w:val="006D22B2"/>
    <w:rsid w:val="006D22D2"/>
    <w:rsid w:val="006D2757"/>
    <w:rsid w:val="006D2869"/>
    <w:rsid w:val="006D59FE"/>
    <w:rsid w:val="006D6154"/>
    <w:rsid w:val="006D6794"/>
    <w:rsid w:val="006D7C12"/>
    <w:rsid w:val="006D7EAC"/>
    <w:rsid w:val="006E1B20"/>
    <w:rsid w:val="006E295C"/>
    <w:rsid w:val="006E410C"/>
    <w:rsid w:val="006E4527"/>
    <w:rsid w:val="006E4C0A"/>
    <w:rsid w:val="006E688C"/>
    <w:rsid w:val="006E6B9A"/>
    <w:rsid w:val="006F14DE"/>
    <w:rsid w:val="006F1BBD"/>
    <w:rsid w:val="006F249A"/>
    <w:rsid w:val="006F2D86"/>
    <w:rsid w:val="006F2F5C"/>
    <w:rsid w:val="006F3316"/>
    <w:rsid w:val="006F3833"/>
    <w:rsid w:val="006F5977"/>
    <w:rsid w:val="006F6E8C"/>
    <w:rsid w:val="006F796E"/>
    <w:rsid w:val="0070250E"/>
    <w:rsid w:val="0070557B"/>
    <w:rsid w:val="00706704"/>
    <w:rsid w:val="00706D88"/>
    <w:rsid w:val="00707634"/>
    <w:rsid w:val="00707E1B"/>
    <w:rsid w:val="00710C75"/>
    <w:rsid w:val="0071163D"/>
    <w:rsid w:val="00711BFC"/>
    <w:rsid w:val="007127C8"/>
    <w:rsid w:val="007136FE"/>
    <w:rsid w:val="00714CE7"/>
    <w:rsid w:val="00715EFA"/>
    <w:rsid w:val="0071657D"/>
    <w:rsid w:val="00720CBD"/>
    <w:rsid w:val="00721040"/>
    <w:rsid w:val="00722B11"/>
    <w:rsid w:val="00724768"/>
    <w:rsid w:val="00725718"/>
    <w:rsid w:val="0072782D"/>
    <w:rsid w:val="00730C96"/>
    <w:rsid w:val="00731F51"/>
    <w:rsid w:val="00733193"/>
    <w:rsid w:val="00733D50"/>
    <w:rsid w:val="0073402C"/>
    <w:rsid w:val="0073413F"/>
    <w:rsid w:val="0073437A"/>
    <w:rsid w:val="00735014"/>
    <w:rsid w:val="0073508E"/>
    <w:rsid w:val="00736964"/>
    <w:rsid w:val="00736DFE"/>
    <w:rsid w:val="00737B2A"/>
    <w:rsid w:val="00746248"/>
    <w:rsid w:val="00750EBB"/>
    <w:rsid w:val="00750F1B"/>
    <w:rsid w:val="00751B73"/>
    <w:rsid w:val="007524AF"/>
    <w:rsid w:val="007533E0"/>
    <w:rsid w:val="00753AC0"/>
    <w:rsid w:val="00754A39"/>
    <w:rsid w:val="0075574D"/>
    <w:rsid w:val="007577F7"/>
    <w:rsid w:val="00757BAC"/>
    <w:rsid w:val="00760BEA"/>
    <w:rsid w:val="00761C7C"/>
    <w:rsid w:val="00761D78"/>
    <w:rsid w:val="00762236"/>
    <w:rsid w:val="007623FE"/>
    <w:rsid w:val="00762DDF"/>
    <w:rsid w:val="00765A35"/>
    <w:rsid w:val="00765C9E"/>
    <w:rsid w:val="00766EE6"/>
    <w:rsid w:val="0076798C"/>
    <w:rsid w:val="007705C5"/>
    <w:rsid w:val="00772691"/>
    <w:rsid w:val="00772B01"/>
    <w:rsid w:val="00773066"/>
    <w:rsid w:val="007736A9"/>
    <w:rsid w:val="00773935"/>
    <w:rsid w:val="00774559"/>
    <w:rsid w:val="00775D00"/>
    <w:rsid w:val="0077626D"/>
    <w:rsid w:val="0077710D"/>
    <w:rsid w:val="00781F5E"/>
    <w:rsid w:val="00782441"/>
    <w:rsid w:val="007838A3"/>
    <w:rsid w:val="00785984"/>
    <w:rsid w:val="007859F2"/>
    <w:rsid w:val="007862AA"/>
    <w:rsid w:val="00786700"/>
    <w:rsid w:val="007913A4"/>
    <w:rsid w:val="007931E8"/>
    <w:rsid w:val="007950C4"/>
    <w:rsid w:val="00795D67"/>
    <w:rsid w:val="007A1644"/>
    <w:rsid w:val="007A2DA1"/>
    <w:rsid w:val="007A3CC8"/>
    <w:rsid w:val="007A41D5"/>
    <w:rsid w:val="007A4E8D"/>
    <w:rsid w:val="007A5727"/>
    <w:rsid w:val="007B03BC"/>
    <w:rsid w:val="007B0EE4"/>
    <w:rsid w:val="007B1C99"/>
    <w:rsid w:val="007B404C"/>
    <w:rsid w:val="007B4889"/>
    <w:rsid w:val="007B4930"/>
    <w:rsid w:val="007B49F4"/>
    <w:rsid w:val="007B6ED5"/>
    <w:rsid w:val="007C0F28"/>
    <w:rsid w:val="007C1B67"/>
    <w:rsid w:val="007C45B2"/>
    <w:rsid w:val="007C7DAC"/>
    <w:rsid w:val="007C7F4E"/>
    <w:rsid w:val="007D29AE"/>
    <w:rsid w:val="007D5F5D"/>
    <w:rsid w:val="007D6BF4"/>
    <w:rsid w:val="007D79DD"/>
    <w:rsid w:val="007D7C02"/>
    <w:rsid w:val="007E58B3"/>
    <w:rsid w:val="007E5C86"/>
    <w:rsid w:val="007E5D0D"/>
    <w:rsid w:val="007F038A"/>
    <w:rsid w:val="007F105C"/>
    <w:rsid w:val="007F19AB"/>
    <w:rsid w:val="007F1F71"/>
    <w:rsid w:val="007F27C2"/>
    <w:rsid w:val="007F2E04"/>
    <w:rsid w:val="007F302E"/>
    <w:rsid w:val="007F324E"/>
    <w:rsid w:val="007F5EDA"/>
    <w:rsid w:val="007F6740"/>
    <w:rsid w:val="007F6D7F"/>
    <w:rsid w:val="007F7596"/>
    <w:rsid w:val="007F7B09"/>
    <w:rsid w:val="007F7DD5"/>
    <w:rsid w:val="00800F38"/>
    <w:rsid w:val="008011B7"/>
    <w:rsid w:val="00801646"/>
    <w:rsid w:val="00801906"/>
    <w:rsid w:val="008024B4"/>
    <w:rsid w:val="0080327E"/>
    <w:rsid w:val="00804295"/>
    <w:rsid w:val="00804FB2"/>
    <w:rsid w:val="008051E1"/>
    <w:rsid w:val="00805EC8"/>
    <w:rsid w:val="008064A6"/>
    <w:rsid w:val="0080677C"/>
    <w:rsid w:val="008077C1"/>
    <w:rsid w:val="00807D6F"/>
    <w:rsid w:val="008105F5"/>
    <w:rsid w:val="00811146"/>
    <w:rsid w:val="00811E8F"/>
    <w:rsid w:val="00812F4D"/>
    <w:rsid w:val="00814006"/>
    <w:rsid w:val="00815E0B"/>
    <w:rsid w:val="00817797"/>
    <w:rsid w:val="0081795E"/>
    <w:rsid w:val="00822414"/>
    <w:rsid w:val="00823322"/>
    <w:rsid w:val="00825D0A"/>
    <w:rsid w:val="00825DFF"/>
    <w:rsid w:val="00826615"/>
    <w:rsid w:val="0083136F"/>
    <w:rsid w:val="008318EF"/>
    <w:rsid w:val="0083323B"/>
    <w:rsid w:val="0083609A"/>
    <w:rsid w:val="0083702B"/>
    <w:rsid w:val="00841408"/>
    <w:rsid w:val="00842E3B"/>
    <w:rsid w:val="00851A78"/>
    <w:rsid w:val="00852DFD"/>
    <w:rsid w:val="008533D3"/>
    <w:rsid w:val="008561E4"/>
    <w:rsid w:val="00857AB5"/>
    <w:rsid w:val="00860411"/>
    <w:rsid w:val="00860D89"/>
    <w:rsid w:val="00862681"/>
    <w:rsid w:val="00863E92"/>
    <w:rsid w:val="00864763"/>
    <w:rsid w:val="00866AC4"/>
    <w:rsid w:val="00866C6D"/>
    <w:rsid w:val="00866F18"/>
    <w:rsid w:val="00867C71"/>
    <w:rsid w:val="008703E2"/>
    <w:rsid w:val="008706D6"/>
    <w:rsid w:val="0087134A"/>
    <w:rsid w:val="008720DB"/>
    <w:rsid w:val="00880089"/>
    <w:rsid w:val="00881490"/>
    <w:rsid w:val="008814BB"/>
    <w:rsid w:val="00881BE8"/>
    <w:rsid w:val="00881F14"/>
    <w:rsid w:val="00881F43"/>
    <w:rsid w:val="00882289"/>
    <w:rsid w:val="00882FAA"/>
    <w:rsid w:val="008830A1"/>
    <w:rsid w:val="008839B7"/>
    <w:rsid w:val="008843E3"/>
    <w:rsid w:val="008848E4"/>
    <w:rsid w:val="00884F00"/>
    <w:rsid w:val="0088656A"/>
    <w:rsid w:val="008867FF"/>
    <w:rsid w:val="00887378"/>
    <w:rsid w:val="00890D12"/>
    <w:rsid w:val="008910D2"/>
    <w:rsid w:val="00894AFD"/>
    <w:rsid w:val="00896C93"/>
    <w:rsid w:val="00897090"/>
    <w:rsid w:val="008975D2"/>
    <w:rsid w:val="008A070C"/>
    <w:rsid w:val="008A120C"/>
    <w:rsid w:val="008A1CF8"/>
    <w:rsid w:val="008A2FFC"/>
    <w:rsid w:val="008A320E"/>
    <w:rsid w:val="008A5B20"/>
    <w:rsid w:val="008A62C8"/>
    <w:rsid w:val="008A63A8"/>
    <w:rsid w:val="008A67DB"/>
    <w:rsid w:val="008A7038"/>
    <w:rsid w:val="008A7D3F"/>
    <w:rsid w:val="008B1695"/>
    <w:rsid w:val="008B198C"/>
    <w:rsid w:val="008B3098"/>
    <w:rsid w:val="008B45EA"/>
    <w:rsid w:val="008C1D97"/>
    <w:rsid w:val="008C22D1"/>
    <w:rsid w:val="008C7329"/>
    <w:rsid w:val="008C7FCE"/>
    <w:rsid w:val="008D035F"/>
    <w:rsid w:val="008D059A"/>
    <w:rsid w:val="008D2850"/>
    <w:rsid w:val="008D4F33"/>
    <w:rsid w:val="008D5177"/>
    <w:rsid w:val="008D5471"/>
    <w:rsid w:val="008D560E"/>
    <w:rsid w:val="008D575D"/>
    <w:rsid w:val="008D5C89"/>
    <w:rsid w:val="008D75D9"/>
    <w:rsid w:val="008D7CB1"/>
    <w:rsid w:val="008D7F48"/>
    <w:rsid w:val="008E09DA"/>
    <w:rsid w:val="008E0F96"/>
    <w:rsid w:val="008E129C"/>
    <w:rsid w:val="008E2B4C"/>
    <w:rsid w:val="008E42F0"/>
    <w:rsid w:val="008E4604"/>
    <w:rsid w:val="008E619E"/>
    <w:rsid w:val="008E6AE2"/>
    <w:rsid w:val="008E7E59"/>
    <w:rsid w:val="008F10AF"/>
    <w:rsid w:val="008F1980"/>
    <w:rsid w:val="008F2807"/>
    <w:rsid w:val="008F2F62"/>
    <w:rsid w:val="008F3CCD"/>
    <w:rsid w:val="008F3D89"/>
    <w:rsid w:val="008F46C2"/>
    <w:rsid w:val="008F5728"/>
    <w:rsid w:val="008F6E75"/>
    <w:rsid w:val="008F783C"/>
    <w:rsid w:val="00903C29"/>
    <w:rsid w:val="00903CE3"/>
    <w:rsid w:val="009041BA"/>
    <w:rsid w:val="009041C9"/>
    <w:rsid w:val="00905A62"/>
    <w:rsid w:val="009103A7"/>
    <w:rsid w:val="00911A2D"/>
    <w:rsid w:val="00911B4E"/>
    <w:rsid w:val="00911D2D"/>
    <w:rsid w:val="00912026"/>
    <w:rsid w:val="0091211F"/>
    <w:rsid w:val="00913A66"/>
    <w:rsid w:val="00914687"/>
    <w:rsid w:val="0091567F"/>
    <w:rsid w:val="00915A1B"/>
    <w:rsid w:val="00916761"/>
    <w:rsid w:val="00916BB5"/>
    <w:rsid w:val="00917420"/>
    <w:rsid w:val="00917956"/>
    <w:rsid w:val="00920767"/>
    <w:rsid w:val="00923BB9"/>
    <w:rsid w:val="0092417F"/>
    <w:rsid w:val="00924380"/>
    <w:rsid w:val="00927524"/>
    <w:rsid w:val="0093090D"/>
    <w:rsid w:val="00930D61"/>
    <w:rsid w:val="0093132A"/>
    <w:rsid w:val="009332F0"/>
    <w:rsid w:val="00933480"/>
    <w:rsid w:val="00933904"/>
    <w:rsid w:val="00933967"/>
    <w:rsid w:val="009341E1"/>
    <w:rsid w:val="00934602"/>
    <w:rsid w:val="009355E3"/>
    <w:rsid w:val="0093632D"/>
    <w:rsid w:val="00936492"/>
    <w:rsid w:val="009366A2"/>
    <w:rsid w:val="009431EF"/>
    <w:rsid w:val="0094498E"/>
    <w:rsid w:val="00944FA1"/>
    <w:rsid w:val="00947490"/>
    <w:rsid w:val="00947D07"/>
    <w:rsid w:val="00947D1A"/>
    <w:rsid w:val="009519EB"/>
    <w:rsid w:val="00954AF5"/>
    <w:rsid w:val="00955333"/>
    <w:rsid w:val="0095794E"/>
    <w:rsid w:val="00960969"/>
    <w:rsid w:val="00963B79"/>
    <w:rsid w:val="0096411E"/>
    <w:rsid w:val="009647A2"/>
    <w:rsid w:val="00965951"/>
    <w:rsid w:val="009679E5"/>
    <w:rsid w:val="009706B9"/>
    <w:rsid w:val="009711B3"/>
    <w:rsid w:val="00971BB7"/>
    <w:rsid w:val="009726F9"/>
    <w:rsid w:val="0097275D"/>
    <w:rsid w:val="009765E2"/>
    <w:rsid w:val="00976F70"/>
    <w:rsid w:val="009774BF"/>
    <w:rsid w:val="0097786B"/>
    <w:rsid w:val="00980213"/>
    <w:rsid w:val="00981790"/>
    <w:rsid w:val="009820F0"/>
    <w:rsid w:val="00982B91"/>
    <w:rsid w:val="0098363F"/>
    <w:rsid w:val="00984241"/>
    <w:rsid w:val="00986AF9"/>
    <w:rsid w:val="0098706E"/>
    <w:rsid w:val="0098745C"/>
    <w:rsid w:val="00987C32"/>
    <w:rsid w:val="0099047F"/>
    <w:rsid w:val="00992F76"/>
    <w:rsid w:val="00993129"/>
    <w:rsid w:val="009943FE"/>
    <w:rsid w:val="009947BD"/>
    <w:rsid w:val="00994F25"/>
    <w:rsid w:val="00995AF3"/>
    <w:rsid w:val="0099608A"/>
    <w:rsid w:val="00996DDD"/>
    <w:rsid w:val="00997C94"/>
    <w:rsid w:val="009A070E"/>
    <w:rsid w:val="009A0F1C"/>
    <w:rsid w:val="009A1571"/>
    <w:rsid w:val="009A2E86"/>
    <w:rsid w:val="009A3301"/>
    <w:rsid w:val="009A42AD"/>
    <w:rsid w:val="009A5F83"/>
    <w:rsid w:val="009A6A76"/>
    <w:rsid w:val="009B4CFB"/>
    <w:rsid w:val="009B5F8E"/>
    <w:rsid w:val="009B6106"/>
    <w:rsid w:val="009B63D5"/>
    <w:rsid w:val="009B7027"/>
    <w:rsid w:val="009B766D"/>
    <w:rsid w:val="009B7EC5"/>
    <w:rsid w:val="009C3828"/>
    <w:rsid w:val="009C3C07"/>
    <w:rsid w:val="009C4C9E"/>
    <w:rsid w:val="009C5D2F"/>
    <w:rsid w:val="009C7B8F"/>
    <w:rsid w:val="009D2790"/>
    <w:rsid w:val="009D28E1"/>
    <w:rsid w:val="009D30E3"/>
    <w:rsid w:val="009D5DCB"/>
    <w:rsid w:val="009E0B9E"/>
    <w:rsid w:val="009E21F4"/>
    <w:rsid w:val="009E4771"/>
    <w:rsid w:val="009E6913"/>
    <w:rsid w:val="009E6AA3"/>
    <w:rsid w:val="009E6DEC"/>
    <w:rsid w:val="009E7210"/>
    <w:rsid w:val="009F0878"/>
    <w:rsid w:val="009F17A2"/>
    <w:rsid w:val="009F22E4"/>
    <w:rsid w:val="009F2339"/>
    <w:rsid w:val="009F2CD3"/>
    <w:rsid w:val="009F4A4C"/>
    <w:rsid w:val="009F54B2"/>
    <w:rsid w:val="009F5B69"/>
    <w:rsid w:val="009F6EF2"/>
    <w:rsid w:val="009F7E5C"/>
    <w:rsid w:val="009F7FDB"/>
    <w:rsid w:val="00A00140"/>
    <w:rsid w:val="00A015E1"/>
    <w:rsid w:val="00A016D4"/>
    <w:rsid w:val="00A020B5"/>
    <w:rsid w:val="00A021DD"/>
    <w:rsid w:val="00A03527"/>
    <w:rsid w:val="00A04DDE"/>
    <w:rsid w:val="00A067A7"/>
    <w:rsid w:val="00A07AD3"/>
    <w:rsid w:val="00A101CA"/>
    <w:rsid w:val="00A1238A"/>
    <w:rsid w:val="00A12CD7"/>
    <w:rsid w:val="00A13C9F"/>
    <w:rsid w:val="00A14241"/>
    <w:rsid w:val="00A14B57"/>
    <w:rsid w:val="00A15D0B"/>
    <w:rsid w:val="00A20105"/>
    <w:rsid w:val="00A203EE"/>
    <w:rsid w:val="00A22690"/>
    <w:rsid w:val="00A2483E"/>
    <w:rsid w:val="00A2640E"/>
    <w:rsid w:val="00A2649A"/>
    <w:rsid w:val="00A27076"/>
    <w:rsid w:val="00A307AE"/>
    <w:rsid w:val="00A34E69"/>
    <w:rsid w:val="00A35037"/>
    <w:rsid w:val="00A37387"/>
    <w:rsid w:val="00A4066F"/>
    <w:rsid w:val="00A416BA"/>
    <w:rsid w:val="00A41DFB"/>
    <w:rsid w:val="00A433FD"/>
    <w:rsid w:val="00A443BB"/>
    <w:rsid w:val="00A457D4"/>
    <w:rsid w:val="00A47C5C"/>
    <w:rsid w:val="00A47F53"/>
    <w:rsid w:val="00A47FD7"/>
    <w:rsid w:val="00A50B7D"/>
    <w:rsid w:val="00A51CEC"/>
    <w:rsid w:val="00A52012"/>
    <w:rsid w:val="00A5213C"/>
    <w:rsid w:val="00A555DD"/>
    <w:rsid w:val="00A55C53"/>
    <w:rsid w:val="00A5607B"/>
    <w:rsid w:val="00A56C8E"/>
    <w:rsid w:val="00A56E62"/>
    <w:rsid w:val="00A612B2"/>
    <w:rsid w:val="00A61731"/>
    <w:rsid w:val="00A61E30"/>
    <w:rsid w:val="00A62909"/>
    <w:rsid w:val="00A629D5"/>
    <w:rsid w:val="00A64616"/>
    <w:rsid w:val="00A6772F"/>
    <w:rsid w:val="00A70A27"/>
    <w:rsid w:val="00A7103E"/>
    <w:rsid w:val="00A7113E"/>
    <w:rsid w:val="00A714B4"/>
    <w:rsid w:val="00A743B0"/>
    <w:rsid w:val="00A75989"/>
    <w:rsid w:val="00A759B9"/>
    <w:rsid w:val="00A75E49"/>
    <w:rsid w:val="00A76720"/>
    <w:rsid w:val="00A7759F"/>
    <w:rsid w:val="00A82795"/>
    <w:rsid w:val="00A83176"/>
    <w:rsid w:val="00A833D6"/>
    <w:rsid w:val="00A84D11"/>
    <w:rsid w:val="00A9189D"/>
    <w:rsid w:val="00A930F3"/>
    <w:rsid w:val="00A97A2E"/>
    <w:rsid w:val="00A97E70"/>
    <w:rsid w:val="00AA1D80"/>
    <w:rsid w:val="00AA3298"/>
    <w:rsid w:val="00AA4384"/>
    <w:rsid w:val="00AA505A"/>
    <w:rsid w:val="00AA6084"/>
    <w:rsid w:val="00AA78BC"/>
    <w:rsid w:val="00AB1BCC"/>
    <w:rsid w:val="00AB1E99"/>
    <w:rsid w:val="00AB42AC"/>
    <w:rsid w:val="00AC2291"/>
    <w:rsid w:val="00AC32BD"/>
    <w:rsid w:val="00AC3FDF"/>
    <w:rsid w:val="00AC67D6"/>
    <w:rsid w:val="00AC6D6C"/>
    <w:rsid w:val="00AC77F2"/>
    <w:rsid w:val="00AD06C1"/>
    <w:rsid w:val="00AD0F0F"/>
    <w:rsid w:val="00AD2973"/>
    <w:rsid w:val="00AD347E"/>
    <w:rsid w:val="00AD361C"/>
    <w:rsid w:val="00AD4456"/>
    <w:rsid w:val="00AD4A53"/>
    <w:rsid w:val="00AD5574"/>
    <w:rsid w:val="00AD56E7"/>
    <w:rsid w:val="00AE1FB3"/>
    <w:rsid w:val="00AE3140"/>
    <w:rsid w:val="00AE3401"/>
    <w:rsid w:val="00AE3DC7"/>
    <w:rsid w:val="00AE4559"/>
    <w:rsid w:val="00AE48F7"/>
    <w:rsid w:val="00AE4C69"/>
    <w:rsid w:val="00AE5DF6"/>
    <w:rsid w:val="00AE6A37"/>
    <w:rsid w:val="00AE7DEF"/>
    <w:rsid w:val="00AF1B49"/>
    <w:rsid w:val="00AF3010"/>
    <w:rsid w:val="00AF4D07"/>
    <w:rsid w:val="00AF653D"/>
    <w:rsid w:val="00AF66DC"/>
    <w:rsid w:val="00AF66EF"/>
    <w:rsid w:val="00B02D60"/>
    <w:rsid w:val="00B04667"/>
    <w:rsid w:val="00B05990"/>
    <w:rsid w:val="00B05F64"/>
    <w:rsid w:val="00B0611E"/>
    <w:rsid w:val="00B06202"/>
    <w:rsid w:val="00B06237"/>
    <w:rsid w:val="00B0674A"/>
    <w:rsid w:val="00B10036"/>
    <w:rsid w:val="00B10750"/>
    <w:rsid w:val="00B10B0C"/>
    <w:rsid w:val="00B117FC"/>
    <w:rsid w:val="00B1238B"/>
    <w:rsid w:val="00B126DA"/>
    <w:rsid w:val="00B13720"/>
    <w:rsid w:val="00B13B64"/>
    <w:rsid w:val="00B141DC"/>
    <w:rsid w:val="00B15088"/>
    <w:rsid w:val="00B15CE0"/>
    <w:rsid w:val="00B16134"/>
    <w:rsid w:val="00B16885"/>
    <w:rsid w:val="00B205B9"/>
    <w:rsid w:val="00B20AAE"/>
    <w:rsid w:val="00B211A7"/>
    <w:rsid w:val="00B2181F"/>
    <w:rsid w:val="00B21AC9"/>
    <w:rsid w:val="00B21CC8"/>
    <w:rsid w:val="00B23148"/>
    <w:rsid w:val="00B236A1"/>
    <w:rsid w:val="00B242A0"/>
    <w:rsid w:val="00B24467"/>
    <w:rsid w:val="00B25E86"/>
    <w:rsid w:val="00B25F1F"/>
    <w:rsid w:val="00B30666"/>
    <w:rsid w:val="00B3082B"/>
    <w:rsid w:val="00B3106E"/>
    <w:rsid w:val="00B315B9"/>
    <w:rsid w:val="00B33B08"/>
    <w:rsid w:val="00B34ADC"/>
    <w:rsid w:val="00B3547E"/>
    <w:rsid w:val="00B357E9"/>
    <w:rsid w:val="00B35B08"/>
    <w:rsid w:val="00B369FE"/>
    <w:rsid w:val="00B40743"/>
    <w:rsid w:val="00B40A8D"/>
    <w:rsid w:val="00B40D6F"/>
    <w:rsid w:val="00B43A30"/>
    <w:rsid w:val="00B44323"/>
    <w:rsid w:val="00B44C7A"/>
    <w:rsid w:val="00B45279"/>
    <w:rsid w:val="00B512E8"/>
    <w:rsid w:val="00B5214B"/>
    <w:rsid w:val="00B532F2"/>
    <w:rsid w:val="00B53950"/>
    <w:rsid w:val="00B53B9F"/>
    <w:rsid w:val="00B56085"/>
    <w:rsid w:val="00B56231"/>
    <w:rsid w:val="00B56529"/>
    <w:rsid w:val="00B6305E"/>
    <w:rsid w:val="00B63E5C"/>
    <w:rsid w:val="00B74459"/>
    <w:rsid w:val="00B744E4"/>
    <w:rsid w:val="00B76CE0"/>
    <w:rsid w:val="00B77CC8"/>
    <w:rsid w:val="00B8059F"/>
    <w:rsid w:val="00B8166B"/>
    <w:rsid w:val="00B81E7E"/>
    <w:rsid w:val="00B83003"/>
    <w:rsid w:val="00B83748"/>
    <w:rsid w:val="00B872E5"/>
    <w:rsid w:val="00B90006"/>
    <w:rsid w:val="00B9076C"/>
    <w:rsid w:val="00B90B15"/>
    <w:rsid w:val="00B91DEF"/>
    <w:rsid w:val="00B946C2"/>
    <w:rsid w:val="00B96441"/>
    <w:rsid w:val="00BA0DB8"/>
    <w:rsid w:val="00BA13BE"/>
    <w:rsid w:val="00BA49A4"/>
    <w:rsid w:val="00BA6363"/>
    <w:rsid w:val="00BB15B7"/>
    <w:rsid w:val="00BB1CB2"/>
    <w:rsid w:val="00BB4FAF"/>
    <w:rsid w:val="00BB5801"/>
    <w:rsid w:val="00BB5EEB"/>
    <w:rsid w:val="00BC0558"/>
    <w:rsid w:val="00BC0DCF"/>
    <w:rsid w:val="00BC115F"/>
    <w:rsid w:val="00BC2F47"/>
    <w:rsid w:val="00BC373F"/>
    <w:rsid w:val="00BC3A95"/>
    <w:rsid w:val="00BC5F0B"/>
    <w:rsid w:val="00BC6C48"/>
    <w:rsid w:val="00BC6CC2"/>
    <w:rsid w:val="00BC73CD"/>
    <w:rsid w:val="00BC7C33"/>
    <w:rsid w:val="00BD02A2"/>
    <w:rsid w:val="00BD0AB8"/>
    <w:rsid w:val="00BD3E05"/>
    <w:rsid w:val="00BD50E7"/>
    <w:rsid w:val="00BD5F59"/>
    <w:rsid w:val="00BD650E"/>
    <w:rsid w:val="00BD6E77"/>
    <w:rsid w:val="00BE1581"/>
    <w:rsid w:val="00BE1B43"/>
    <w:rsid w:val="00BE1D6E"/>
    <w:rsid w:val="00BE300D"/>
    <w:rsid w:val="00BE3DF2"/>
    <w:rsid w:val="00BE422F"/>
    <w:rsid w:val="00BE478C"/>
    <w:rsid w:val="00BF2D31"/>
    <w:rsid w:val="00BF4A5F"/>
    <w:rsid w:val="00C00134"/>
    <w:rsid w:val="00C04A47"/>
    <w:rsid w:val="00C04FF1"/>
    <w:rsid w:val="00C05412"/>
    <w:rsid w:val="00C062C3"/>
    <w:rsid w:val="00C06F7F"/>
    <w:rsid w:val="00C11A22"/>
    <w:rsid w:val="00C12468"/>
    <w:rsid w:val="00C12641"/>
    <w:rsid w:val="00C13464"/>
    <w:rsid w:val="00C13D36"/>
    <w:rsid w:val="00C16B8C"/>
    <w:rsid w:val="00C17C52"/>
    <w:rsid w:val="00C201FE"/>
    <w:rsid w:val="00C20643"/>
    <w:rsid w:val="00C20F57"/>
    <w:rsid w:val="00C2117B"/>
    <w:rsid w:val="00C2160E"/>
    <w:rsid w:val="00C21C3C"/>
    <w:rsid w:val="00C24D75"/>
    <w:rsid w:val="00C26080"/>
    <w:rsid w:val="00C27C66"/>
    <w:rsid w:val="00C27C9E"/>
    <w:rsid w:val="00C32A46"/>
    <w:rsid w:val="00C34192"/>
    <w:rsid w:val="00C35C42"/>
    <w:rsid w:val="00C3650B"/>
    <w:rsid w:val="00C4001F"/>
    <w:rsid w:val="00C420C3"/>
    <w:rsid w:val="00C43DE6"/>
    <w:rsid w:val="00C47194"/>
    <w:rsid w:val="00C50501"/>
    <w:rsid w:val="00C51F4E"/>
    <w:rsid w:val="00C53677"/>
    <w:rsid w:val="00C60D4F"/>
    <w:rsid w:val="00C62016"/>
    <w:rsid w:val="00C63D98"/>
    <w:rsid w:val="00C64E9F"/>
    <w:rsid w:val="00C65159"/>
    <w:rsid w:val="00C657EF"/>
    <w:rsid w:val="00C6639E"/>
    <w:rsid w:val="00C67CEB"/>
    <w:rsid w:val="00C727F8"/>
    <w:rsid w:val="00C728C9"/>
    <w:rsid w:val="00C73EB2"/>
    <w:rsid w:val="00C740C8"/>
    <w:rsid w:val="00C758A6"/>
    <w:rsid w:val="00C766CC"/>
    <w:rsid w:val="00C76E16"/>
    <w:rsid w:val="00C77627"/>
    <w:rsid w:val="00C77A7C"/>
    <w:rsid w:val="00C77D38"/>
    <w:rsid w:val="00C82188"/>
    <w:rsid w:val="00C82342"/>
    <w:rsid w:val="00C828BE"/>
    <w:rsid w:val="00C83152"/>
    <w:rsid w:val="00C839A4"/>
    <w:rsid w:val="00C851AF"/>
    <w:rsid w:val="00C866AC"/>
    <w:rsid w:val="00C866DC"/>
    <w:rsid w:val="00C90CF9"/>
    <w:rsid w:val="00C921B1"/>
    <w:rsid w:val="00C9441C"/>
    <w:rsid w:val="00C96066"/>
    <w:rsid w:val="00C96291"/>
    <w:rsid w:val="00C9684E"/>
    <w:rsid w:val="00CA1C67"/>
    <w:rsid w:val="00CA2484"/>
    <w:rsid w:val="00CA3CCD"/>
    <w:rsid w:val="00CA4CDE"/>
    <w:rsid w:val="00CA5AEE"/>
    <w:rsid w:val="00CA77C5"/>
    <w:rsid w:val="00CB0525"/>
    <w:rsid w:val="00CB0CA7"/>
    <w:rsid w:val="00CB1A9C"/>
    <w:rsid w:val="00CB2920"/>
    <w:rsid w:val="00CB3707"/>
    <w:rsid w:val="00CB44E9"/>
    <w:rsid w:val="00CB49D1"/>
    <w:rsid w:val="00CB5C2A"/>
    <w:rsid w:val="00CB6ACD"/>
    <w:rsid w:val="00CC0AAD"/>
    <w:rsid w:val="00CC0FA5"/>
    <w:rsid w:val="00CC3BD8"/>
    <w:rsid w:val="00CC3DF4"/>
    <w:rsid w:val="00CC4EBF"/>
    <w:rsid w:val="00CC59FB"/>
    <w:rsid w:val="00CD01C4"/>
    <w:rsid w:val="00CD1AB7"/>
    <w:rsid w:val="00CD2210"/>
    <w:rsid w:val="00CD23B8"/>
    <w:rsid w:val="00CD26DD"/>
    <w:rsid w:val="00CD2C69"/>
    <w:rsid w:val="00CD3BA0"/>
    <w:rsid w:val="00CD5933"/>
    <w:rsid w:val="00CE284A"/>
    <w:rsid w:val="00CE4494"/>
    <w:rsid w:val="00CE5459"/>
    <w:rsid w:val="00CE561D"/>
    <w:rsid w:val="00CE6CCF"/>
    <w:rsid w:val="00CE7030"/>
    <w:rsid w:val="00CE7228"/>
    <w:rsid w:val="00CE7F49"/>
    <w:rsid w:val="00CF00CE"/>
    <w:rsid w:val="00CF0C7E"/>
    <w:rsid w:val="00CF1210"/>
    <w:rsid w:val="00CF18B6"/>
    <w:rsid w:val="00CF2D8E"/>
    <w:rsid w:val="00CF30B3"/>
    <w:rsid w:val="00CF3989"/>
    <w:rsid w:val="00CF3A2D"/>
    <w:rsid w:val="00CF74BE"/>
    <w:rsid w:val="00CF7924"/>
    <w:rsid w:val="00D00049"/>
    <w:rsid w:val="00D00AB4"/>
    <w:rsid w:val="00D02105"/>
    <w:rsid w:val="00D02FC5"/>
    <w:rsid w:val="00D0331E"/>
    <w:rsid w:val="00D03A86"/>
    <w:rsid w:val="00D05BD9"/>
    <w:rsid w:val="00D06BC6"/>
    <w:rsid w:val="00D06BD0"/>
    <w:rsid w:val="00D128A6"/>
    <w:rsid w:val="00D12F20"/>
    <w:rsid w:val="00D14235"/>
    <w:rsid w:val="00D1586C"/>
    <w:rsid w:val="00D1626B"/>
    <w:rsid w:val="00D16AE5"/>
    <w:rsid w:val="00D21266"/>
    <w:rsid w:val="00D2226E"/>
    <w:rsid w:val="00D226A2"/>
    <w:rsid w:val="00D232AD"/>
    <w:rsid w:val="00D2334F"/>
    <w:rsid w:val="00D238BD"/>
    <w:rsid w:val="00D2461A"/>
    <w:rsid w:val="00D24F1F"/>
    <w:rsid w:val="00D255E7"/>
    <w:rsid w:val="00D25882"/>
    <w:rsid w:val="00D25D0A"/>
    <w:rsid w:val="00D272B6"/>
    <w:rsid w:val="00D27A3A"/>
    <w:rsid w:val="00D27F78"/>
    <w:rsid w:val="00D30073"/>
    <w:rsid w:val="00D328A6"/>
    <w:rsid w:val="00D34686"/>
    <w:rsid w:val="00D360AB"/>
    <w:rsid w:val="00D36440"/>
    <w:rsid w:val="00D371B7"/>
    <w:rsid w:val="00D374A4"/>
    <w:rsid w:val="00D377A3"/>
    <w:rsid w:val="00D37925"/>
    <w:rsid w:val="00D402E6"/>
    <w:rsid w:val="00D40D2F"/>
    <w:rsid w:val="00D41BD8"/>
    <w:rsid w:val="00D430D9"/>
    <w:rsid w:val="00D50E04"/>
    <w:rsid w:val="00D61683"/>
    <w:rsid w:val="00D61D1B"/>
    <w:rsid w:val="00D6543D"/>
    <w:rsid w:val="00D655E7"/>
    <w:rsid w:val="00D65C01"/>
    <w:rsid w:val="00D66B60"/>
    <w:rsid w:val="00D70D67"/>
    <w:rsid w:val="00D7278D"/>
    <w:rsid w:val="00D73BFF"/>
    <w:rsid w:val="00D74A48"/>
    <w:rsid w:val="00D74FA9"/>
    <w:rsid w:val="00D75421"/>
    <w:rsid w:val="00D7598E"/>
    <w:rsid w:val="00D75D4F"/>
    <w:rsid w:val="00D77BD2"/>
    <w:rsid w:val="00D80029"/>
    <w:rsid w:val="00D8012B"/>
    <w:rsid w:val="00D80A94"/>
    <w:rsid w:val="00D80ABA"/>
    <w:rsid w:val="00D80FE2"/>
    <w:rsid w:val="00D8133F"/>
    <w:rsid w:val="00D81E44"/>
    <w:rsid w:val="00D82D52"/>
    <w:rsid w:val="00D873E1"/>
    <w:rsid w:val="00D87E7D"/>
    <w:rsid w:val="00D90DD0"/>
    <w:rsid w:val="00D916DC"/>
    <w:rsid w:val="00D91DAE"/>
    <w:rsid w:val="00D920DC"/>
    <w:rsid w:val="00D92A29"/>
    <w:rsid w:val="00D94E38"/>
    <w:rsid w:val="00D94E9C"/>
    <w:rsid w:val="00D9581E"/>
    <w:rsid w:val="00D95E52"/>
    <w:rsid w:val="00D96A5F"/>
    <w:rsid w:val="00DA358B"/>
    <w:rsid w:val="00DA47AC"/>
    <w:rsid w:val="00DA513D"/>
    <w:rsid w:val="00DA749F"/>
    <w:rsid w:val="00DB10E7"/>
    <w:rsid w:val="00DB1E93"/>
    <w:rsid w:val="00DB1F76"/>
    <w:rsid w:val="00DB21FC"/>
    <w:rsid w:val="00DB3124"/>
    <w:rsid w:val="00DB394D"/>
    <w:rsid w:val="00DB3F23"/>
    <w:rsid w:val="00DB7C5C"/>
    <w:rsid w:val="00DC02E6"/>
    <w:rsid w:val="00DC1CC5"/>
    <w:rsid w:val="00DC4DCB"/>
    <w:rsid w:val="00DD0AE0"/>
    <w:rsid w:val="00DD0B04"/>
    <w:rsid w:val="00DD0D45"/>
    <w:rsid w:val="00DD1E08"/>
    <w:rsid w:val="00DD2D30"/>
    <w:rsid w:val="00DD367E"/>
    <w:rsid w:val="00DD3E28"/>
    <w:rsid w:val="00DD4825"/>
    <w:rsid w:val="00DD54CB"/>
    <w:rsid w:val="00DD68D3"/>
    <w:rsid w:val="00DD7D33"/>
    <w:rsid w:val="00DE19A3"/>
    <w:rsid w:val="00DE2F75"/>
    <w:rsid w:val="00DE3040"/>
    <w:rsid w:val="00DE3E2E"/>
    <w:rsid w:val="00DE5993"/>
    <w:rsid w:val="00DE6E0D"/>
    <w:rsid w:val="00DE7980"/>
    <w:rsid w:val="00DF4392"/>
    <w:rsid w:val="00DF514B"/>
    <w:rsid w:val="00DF5887"/>
    <w:rsid w:val="00DF5A86"/>
    <w:rsid w:val="00DF657B"/>
    <w:rsid w:val="00E0007B"/>
    <w:rsid w:val="00E00189"/>
    <w:rsid w:val="00E00606"/>
    <w:rsid w:val="00E010F8"/>
    <w:rsid w:val="00E0251A"/>
    <w:rsid w:val="00E0263D"/>
    <w:rsid w:val="00E042DB"/>
    <w:rsid w:val="00E04639"/>
    <w:rsid w:val="00E0487C"/>
    <w:rsid w:val="00E05D26"/>
    <w:rsid w:val="00E062F6"/>
    <w:rsid w:val="00E1199B"/>
    <w:rsid w:val="00E13809"/>
    <w:rsid w:val="00E13FBC"/>
    <w:rsid w:val="00E142B5"/>
    <w:rsid w:val="00E1440D"/>
    <w:rsid w:val="00E14B5B"/>
    <w:rsid w:val="00E14CCC"/>
    <w:rsid w:val="00E209AD"/>
    <w:rsid w:val="00E21E00"/>
    <w:rsid w:val="00E22242"/>
    <w:rsid w:val="00E2351F"/>
    <w:rsid w:val="00E258D7"/>
    <w:rsid w:val="00E25C9E"/>
    <w:rsid w:val="00E26455"/>
    <w:rsid w:val="00E268F9"/>
    <w:rsid w:val="00E27AA0"/>
    <w:rsid w:val="00E27D63"/>
    <w:rsid w:val="00E30084"/>
    <w:rsid w:val="00E31C7B"/>
    <w:rsid w:val="00E31D2D"/>
    <w:rsid w:val="00E3336E"/>
    <w:rsid w:val="00E34D15"/>
    <w:rsid w:val="00E35AC9"/>
    <w:rsid w:val="00E35E8F"/>
    <w:rsid w:val="00E360C1"/>
    <w:rsid w:val="00E378FB"/>
    <w:rsid w:val="00E37C06"/>
    <w:rsid w:val="00E43FA6"/>
    <w:rsid w:val="00E45E92"/>
    <w:rsid w:val="00E46621"/>
    <w:rsid w:val="00E46ADE"/>
    <w:rsid w:val="00E512AC"/>
    <w:rsid w:val="00E51F1C"/>
    <w:rsid w:val="00E530E0"/>
    <w:rsid w:val="00E5368C"/>
    <w:rsid w:val="00E53927"/>
    <w:rsid w:val="00E54138"/>
    <w:rsid w:val="00E55D4C"/>
    <w:rsid w:val="00E575BB"/>
    <w:rsid w:val="00E62A93"/>
    <w:rsid w:val="00E62EEE"/>
    <w:rsid w:val="00E66945"/>
    <w:rsid w:val="00E67242"/>
    <w:rsid w:val="00E704D1"/>
    <w:rsid w:val="00E72212"/>
    <w:rsid w:val="00E754B6"/>
    <w:rsid w:val="00E77160"/>
    <w:rsid w:val="00E77356"/>
    <w:rsid w:val="00E778DD"/>
    <w:rsid w:val="00E81812"/>
    <w:rsid w:val="00E829A1"/>
    <w:rsid w:val="00E833A4"/>
    <w:rsid w:val="00E84C30"/>
    <w:rsid w:val="00E84FAC"/>
    <w:rsid w:val="00E8697D"/>
    <w:rsid w:val="00E87B0C"/>
    <w:rsid w:val="00E91488"/>
    <w:rsid w:val="00E934FF"/>
    <w:rsid w:val="00E957B3"/>
    <w:rsid w:val="00E96967"/>
    <w:rsid w:val="00E97614"/>
    <w:rsid w:val="00EA7187"/>
    <w:rsid w:val="00EA73A8"/>
    <w:rsid w:val="00EB0396"/>
    <w:rsid w:val="00EB289A"/>
    <w:rsid w:val="00EB5ABB"/>
    <w:rsid w:val="00EB692F"/>
    <w:rsid w:val="00EC0A43"/>
    <w:rsid w:val="00EC12B4"/>
    <w:rsid w:val="00EC1C03"/>
    <w:rsid w:val="00EC2AD5"/>
    <w:rsid w:val="00EC2BFC"/>
    <w:rsid w:val="00EC2C74"/>
    <w:rsid w:val="00EC3572"/>
    <w:rsid w:val="00EC4205"/>
    <w:rsid w:val="00EC4648"/>
    <w:rsid w:val="00EC5A83"/>
    <w:rsid w:val="00EC63C1"/>
    <w:rsid w:val="00EC6678"/>
    <w:rsid w:val="00ED0092"/>
    <w:rsid w:val="00ED08D7"/>
    <w:rsid w:val="00ED26B7"/>
    <w:rsid w:val="00ED2BA2"/>
    <w:rsid w:val="00ED3C29"/>
    <w:rsid w:val="00ED4BD2"/>
    <w:rsid w:val="00ED59C1"/>
    <w:rsid w:val="00ED5F11"/>
    <w:rsid w:val="00ED6154"/>
    <w:rsid w:val="00ED7152"/>
    <w:rsid w:val="00ED735C"/>
    <w:rsid w:val="00ED782D"/>
    <w:rsid w:val="00EE0689"/>
    <w:rsid w:val="00EE60D2"/>
    <w:rsid w:val="00EE697E"/>
    <w:rsid w:val="00EE6BA4"/>
    <w:rsid w:val="00EE731D"/>
    <w:rsid w:val="00EF0D07"/>
    <w:rsid w:val="00EF48DD"/>
    <w:rsid w:val="00EF651E"/>
    <w:rsid w:val="00EF77DE"/>
    <w:rsid w:val="00F00109"/>
    <w:rsid w:val="00F00A52"/>
    <w:rsid w:val="00F0107E"/>
    <w:rsid w:val="00F02629"/>
    <w:rsid w:val="00F029B1"/>
    <w:rsid w:val="00F032CF"/>
    <w:rsid w:val="00F0362A"/>
    <w:rsid w:val="00F044FB"/>
    <w:rsid w:val="00F04C65"/>
    <w:rsid w:val="00F05BD9"/>
    <w:rsid w:val="00F07528"/>
    <w:rsid w:val="00F07699"/>
    <w:rsid w:val="00F1063F"/>
    <w:rsid w:val="00F126ED"/>
    <w:rsid w:val="00F12F43"/>
    <w:rsid w:val="00F1357E"/>
    <w:rsid w:val="00F135CC"/>
    <w:rsid w:val="00F13810"/>
    <w:rsid w:val="00F13EBD"/>
    <w:rsid w:val="00F14A4F"/>
    <w:rsid w:val="00F15216"/>
    <w:rsid w:val="00F17E9C"/>
    <w:rsid w:val="00F201BF"/>
    <w:rsid w:val="00F202BF"/>
    <w:rsid w:val="00F21B81"/>
    <w:rsid w:val="00F23E05"/>
    <w:rsid w:val="00F2686D"/>
    <w:rsid w:val="00F271D2"/>
    <w:rsid w:val="00F275AE"/>
    <w:rsid w:val="00F276C2"/>
    <w:rsid w:val="00F3089D"/>
    <w:rsid w:val="00F30B84"/>
    <w:rsid w:val="00F31B5F"/>
    <w:rsid w:val="00F3263B"/>
    <w:rsid w:val="00F341A0"/>
    <w:rsid w:val="00F34DA3"/>
    <w:rsid w:val="00F378B3"/>
    <w:rsid w:val="00F37B8E"/>
    <w:rsid w:val="00F4076B"/>
    <w:rsid w:val="00F41340"/>
    <w:rsid w:val="00F416CE"/>
    <w:rsid w:val="00F44B26"/>
    <w:rsid w:val="00F45FED"/>
    <w:rsid w:val="00F50A5B"/>
    <w:rsid w:val="00F50BBA"/>
    <w:rsid w:val="00F50EF5"/>
    <w:rsid w:val="00F51842"/>
    <w:rsid w:val="00F54F6A"/>
    <w:rsid w:val="00F56C38"/>
    <w:rsid w:val="00F62BD1"/>
    <w:rsid w:val="00F657FB"/>
    <w:rsid w:val="00F66362"/>
    <w:rsid w:val="00F67473"/>
    <w:rsid w:val="00F675FD"/>
    <w:rsid w:val="00F67C8F"/>
    <w:rsid w:val="00F70016"/>
    <w:rsid w:val="00F72559"/>
    <w:rsid w:val="00F728D9"/>
    <w:rsid w:val="00F730C7"/>
    <w:rsid w:val="00F75820"/>
    <w:rsid w:val="00F76364"/>
    <w:rsid w:val="00F772F6"/>
    <w:rsid w:val="00F8182D"/>
    <w:rsid w:val="00F81B03"/>
    <w:rsid w:val="00F8250C"/>
    <w:rsid w:val="00F82F26"/>
    <w:rsid w:val="00F83875"/>
    <w:rsid w:val="00F84AC0"/>
    <w:rsid w:val="00F86496"/>
    <w:rsid w:val="00F875FC"/>
    <w:rsid w:val="00F910E2"/>
    <w:rsid w:val="00F92903"/>
    <w:rsid w:val="00F92C96"/>
    <w:rsid w:val="00F96420"/>
    <w:rsid w:val="00F979CD"/>
    <w:rsid w:val="00FA0EE1"/>
    <w:rsid w:val="00FA199A"/>
    <w:rsid w:val="00FA1CBD"/>
    <w:rsid w:val="00FA440B"/>
    <w:rsid w:val="00FA4576"/>
    <w:rsid w:val="00FA4ABA"/>
    <w:rsid w:val="00FA7A0E"/>
    <w:rsid w:val="00FB0454"/>
    <w:rsid w:val="00FB1059"/>
    <w:rsid w:val="00FB12F6"/>
    <w:rsid w:val="00FB4894"/>
    <w:rsid w:val="00FB4DFE"/>
    <w:rsid w:val="00FB521D"/>
    <w:rsid w:val="00FB6C53"/>
    <w:rsid w:val="00FB7870"/>
    <w:rsid w:val="00FB79B8"/>
    <w:rsid w:val="00FC18C1"/>
    <w:rsid w:val="00FC71AE"/>
    <w:rsid w:val="00FD048E"/>
    <w:rsid w:val="00FD0AE7"/>
    <w:rsid w:val="00FD19EE"/>
    <w:rsid w:val="00FD2537"/>
    <w:rsid w:val="00FD427F"/>
    <w:rsid w:val="00FD656B"/>
    <w:rsid w:val="00FE1A9C"/>
    <w:rsid w:val="00FE37A0"/>
    <w:rsid w:val="00FE4933"/>
    <w:rsid w:val="00FE540C"/>
    <w:rsid w:val="00FE6396"/>
    <w:rsid w:val="00FE7752"/>
    <w:rsid w:val="00FF243D"/>
    <w:rsid w:val="00FF3019"/>
    <w:rsid w:val="00FF3595"/>
    <w:rsid w:val="00FF3B03"/>
    <w:rsid w:val="00FF46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E595B7"/>
  <w15:docId w15:val="{5B280070-4460-C243-86C2-900BE8A7E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paragraph" w:styleId="Heading1">
    <w:name w:val="heading 1"/>
    <w:basedOn w:val="Normal"/>
    <w:next w:val="Normal"/>
    <w:link w:val="Heading1Char"/>
    <w:uiPriority w:val="9"/>
    <w:qFormat/>
    <w:rsid w:val="002D56DF"/>
    <w:pPr>
      <w:keepNext/>
      <w:tabs>
        <w:tab w:val="right" w:pos="8640"/>
      </w:tabs>
      <w:spacing w:line="480" w:lineRule="auto"/>
      <w:jc w:val="center"/>
      <w:outlineLvl w:val="0"/>
    </w:pPr>
    <w:rPr>
      <w:b/>
      <w:szCs w:val="22"/>
    </w:rPr>
  </w:style>
  <w:style w:type="paragraph" w:styleId="Heading2">
    <w:name w:val="heading 2"/>
    <w:basedOn w:val="NoteHeading"/>
    <w:next w:val="Normal"/>
    <w:link w:val="Heading2Char"/>
    <w:uiPriority w:val="9"/>
    <w:semiHidden/>
    <w:unhideWhenUsed/>
    <w:qFormat/>
    <w:rsid w:val="000E5C7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DD1E0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DD1E08"/>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D1E0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DD1E08"/>
    <w:pPr>
      <w:keepNext/>
      <w:keepLines/>
      <w:numPr>
        <w:ilvl w:val="5"/>
        <w:numId w:val="1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DD1E08"/>
    <w:pPr>
      <w:keepNext/>
      <w:keepLines/>
      <w:numPr>
        <w:ilvl w:val="6"/>
        <w:numId w:val="1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DD1E08"/>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1E08"/>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E5C76"/>
    <w:rPr>
      <w:rFonts w:asciiTheme="majorHAnsi" w:eastAsiaTheme="majorEastAsia" w:hAnsiTheme="majorHAnsi" w:cstheme="majorBidi"/>
      <w:color w:val="365F91" w:themeColor="accent1" w:themeShade="BF"/>
      <w:sz w:val="26"/>
      <w:szCs w:val="26"/>
    </w:rPr>
  </w:style>
  <w:style w:type="paragraph" w:styleId="NoteHeading">
    <w:name w:val="Note Heading"/>
    <w:basedOn w:val="Normal"/>
    <w:next w:val="Normal"/>
    <w:link w:val="NoteHeadingChar"/>
    <w:semiHidden/>
    <w:unhideWhenUsed/>
    <w:rsid w:val="000E5C76"/>
  </w:style>
  <w:style w:type="character" w:customStyle="1" w:styleId="NoteHeadingChar">
    <w:name w:val="Note Heading Char"/>
    <w:basedOn w:val="DefaultParagraphFont"/>
    <w:link w:val="NoteHeading"/>
    <w:semiHidden/>
    <w:rsid w:val="000E5C76"/>
    <w:rPr>
      <w:sz w:val="24"/>
      <w:szCs w:val="24"/>
    </w:rPr>
  </w:style>
  <w:style w:type="paragraph" w:customStyle="1" w:styleId="APAAuthorInfo">
    <w:name w:val="APA Author Info"/>
    <w:basedOn w:val="Normal"/>
    <w:qFormat/>
    <w:rsid w:val="00583355"/>
    <w:pPr>
      <w:tabs>
        <w:tab w:val="right" w:pos="8640"/>
      </w:tabs>
      <w:spacing w:line="480" w:lineRule="auto"/>
      <w:jc w:val="center"/>
    </w:pPr>
  </w:style>
  <w:style w:type="paragraph" w:customStyle="1" w:styleId="APAAbstractHeading">
    <w:name w:val="APA Abstract Heading"/>
    <w:basedOn w:val="APACitationsandReferences"/>
    <w:next w:val="APANormal"/>
    <w:qFormat/>
    <w:rsid w:val="00AD06C1"/>
    <w:pPr>
      <w:jc w:val="center"/>
    </w:pPr>
  </w:style>
  <w:style w:type="paragraph" w:customStyle="1" w:styleId="APAAbstractText">
    <w:name w:val="APA Abstract Text"/>
    <w:basedOn w:val="Normal"/>
    <w:qFormat/>
    <w:rsid w:val="000E5C76"/>
    <w:pPr>
      <w:keepNext/>
      <w:tabs>
        <w:tab w:val="right" w:pos="8640"/>
      </w:tabs>
      <w:spacing w:line="480" w:lineRule="auto"/>
    </w:pPr>
    <w:rPr>
      <w:szCs w:val="22"/>
    </w:rPr>
  </w:style>
  <w:style w:type="paragraph" w:customStyle="1" w:styleId="APACitationsandReferences">
    <w:name w:val="APA Citations and References"/>
    <w:basedOn w:val="APANormal"/>
    <w:next w:val="APANormal"/>
    <w:qFormat/>
    <w:rsid w:val="00D255E7"/>
    <w:pPr>
      <w:ind w:left="720" w:hanging="720"/>
    </w:pPr>
  </w:style>
  <w:style w:type="paragraph" w:customStyle="1" w:styleId="APARunningHead">
    <w:name w:val="APA Running Head"/>
    <w:basedOn w:val="Normal"/>
    <w:qFormat/>
    <w:rsid w:val="000E5C76"/>
    <w:pPr>
      <w:keepLines/>
      <w:tabs>
        <w:tab w:val="center" w:pos="4320"/>
        <w:tab w:val="right" w:pos="8640"/>
      </w:tabs>
      <w:spacing w:line="480" w:lineRule="auto"/>
    </w:pPr>
    <w:rPr>
      <w:caps/>
    </w:rPr>
  </w:style>
  <w:style w:type="paragraph" w:customStyle="1" w:styleId="APAHeading2">
    <w:name w:val="APA Heading 2"/>
    <w:basedOn w:val="APANormal"/>
    <w:next w:val="APANormal"/>
    <w:qFormat/>
    <w:rsid w:val="00DD1E08"/>
    <w:pPr>
      <w:ind w:left="576" w:hanging="576"/>
      <w:outlineLvl w:val="1"/>
    </w:pPr>
    <w:rPr>
      <w:b/>
    </w:rPr>
  </w:style>
  <w:style w:type="paragraph" w:customStyle="1" w:styleId="APAHeading3">
    <w:name w:val="APA Heading 3"/>
    <w:basedOn w:val="APANormal"/>
    <w:next w:val="APANormal"/>
    <w:qFormat/>
    <w:rsid w:val="000B6726"/>
    <w:pPr>
      <w:widowControl w:val="0"/>
      <w:outlineLvl w:val="2"/>
    </w:pPr>
    <w:rPr>
      <w:b/>
      <w:iCs/>
    </w:rPr>
  </w:style>
  <w:style w:type="paragraph" w:customStyle="1" w:styleId="APAHeading4">
    <w:name w:val="APA Heading 4"/>
    <w:basedOn w:val="APANormal"/>
    <w:next w:val="APANormal"/>
    <w:qFormat/>
    <w:rsid w:val="000B6726"/>
    <w:pPr>
      <w:outlineLvl w:val="3"/>
    </w:pPr>
    <w:rPr>
      <w:b/>
      <w:i/>
    </w:rPr>
  </w:style>
  <w:style w:type="paragraph" w:customStyle="1" w:styleId="APAHeading5">
    <w:name w:val="APA Heading 5"/>
    <w:basedOn w:val="APANormal"/>
    <w:next w:val="APANormal"/>
    <w:qFormat/>
    <w:rsid w:val="000B6726"/>
    <w:pPr>
      <w:outlineLvl w:val="4"/>
    </w:pPr>
    <w:rPr>
      <w:i/>
    </w:rPr>
  </w:style>
  <w:style w:type="paragraph" w:customStyle="1" w:styleId="APANormal">
    <w:name w:val="APA Normal"/>
    <w:basedOn w:val="Normal"/>
    <w:link w:val="APANormalChar"/>
    <w:qFormat/>
    <w:rsid w:val="000E5C76"/>
    <w:pPr>
      <w:tabs>
        <w:tab w:val="right" w:pos="8640"/>
      </w:tabs>
      <w:spacing w:line="480" w:lineRule="auto"/>
      <w:ind w:firstLine="720"/>
    </w:pPr>
  </w:style>
  <w:style w:type="paragraph" w:customStyle="1" w:styleId="APAHeading1">
    <w:name w:val="APA Heading 1"/>
    <w:basedOn w:val="Heading1"/>
    <w:next w:val="APANormal"/>
    <w:qFormat/>
    <w:rsid w:val="003E5AFA"/>
  </w:style>
  <w:style w:type="paragraph" w:customStyle="1" w:styleId="APATableDescription">
    <w:name w:val="APA Table Description"/>
    <w:basedOn w:val="APANormal"/>
    <w:next w:val="APANormal"/>
    <w:qFormat/>
    <w:rsid w:val="00294961"/>
    <w:pPr>
      <w:ind w:firstLine="0"/>
    </w:pPr>
    <w:rPr>
      <w:i/>
      <w:sz w:val="22"/>
      <w:szCs w:val="22"/>
    </w:rPr>
  </w:style>
  <w:style w:type="paragraph" w:customStyle="1" w:styleId="APATitle">
    <w:name w:val="APA Title"/>
    <w:basedOn w:val="APAAbstractHeading"/>
    <w:next w:val="APANormal"/>
    <w:qFormat/>
    <w:rsid w:val="004130D4"/>
  </w:style>
  <w:style w:type="paragraph" w:customStyle="1" w:styleId="APAAuthorNote">
    <w:name w:val="APA Author Note"/>
    <w:basedOn w:val="APAAbstractHeading"/>
    <w:next w:val="APANormal"/>
    <w:qFormat/>
    <w:rsid w:val="00AD06C1"/>
  </w:style>
  <w:style w:type="paragraph" w:customStyle="1" w:styleId="APAAppendix">
    <w:name w:val="APA Appendix"/>
    <w:basedOn w:val="APAAbstractHeading"/>
    <w:next w:val="APANormal"/>
    <w:qFormat/>
    <w:rsid w:val="007A3CC8"/>
  </w:style>
  <w:style w:type="paragraph" w:customStyle="1" w:styleId="APAFootnotes">
    <w:name w:val="APA Footnotes"/>
    <w:basedOn w:val="APAAbstractHeading"/>
    <w:next w:val="APANormal"/>
    <w:qFormat/>
    <w:rsid w:val="004130D4"/>
  </w:style>
  <w:style w:type="paragraph" w:styleId="TOC4">
    <w:name w:val="toc 4"/>
    <w:basedOn w:val="Normal"/>
    <w:next w:val="Normal"/>
    <w:autoRedefine/>
    <w:semiHidden/>
    <w:unhideWhenUsed/>
    <w:rsid w:val="004130D4"/>
    <w:pPr>
      <w:ind w:left="720"/>
    </w:pPr>
    <w:rPr>
      <w:rFonts w:asciiTheme="minorHAnsi" w:hAnsiTheme="minorHAnsi" w:cstheme="minorHAnsi"/>
      <w:sz w:val="20"/>
      <w:szCs w:val="20"/>
    </w:rPr>
  </w:style>
  <w:style w:type="paragraph" w:styleId="TOC5">
    <w:name w:val="toc 5"/>
    <w:basedOn w:val="Normal"/>
    <w:next w:val="Normal"/>
    <w:autoRedefine/>
    <w:semiHidden/>
    <w:unhideWhenUsed/>
    <w:rsid w:val="004130D4"/>
    <w:pPr>
      <w:ind w:left="960"/>
    </w:pPr>
    <w:rPr>
      <w:rFonts w:asciiTheme="minorHAnsi" w:hAnsiTheme="minorHAnsi" w:cstheme="minorHAnsi"/>
      <w:sz w:val="20"/>
      <w:szCs w:val="20"/>
    </w:rPr>
  </w:style>
  <w:style w:type="paragraph" w:styleId="TOC6">
    <w:name w:val="toc 6"/>
    <w:basedOn w:val="Normal"/>
    <w:next w:val="Normal"/>
    <w:autoRedefine/>
    <w:semiHidden/>
    <w:unhideWhenUsed/>
    <w:rsid w:val="004130D4"/>
    <w:pPr>
      <w:ind w:left="1200"/>
    </w:pPr>
    <w:rPr>
      <w:rFonts w:asciiTheme="minorHAnsi" w:hAnsiTheme="minorHAnsi" w:cstheme="minorHAnsi"/>
      <w:sz w:val="20"/>
      <w:szCs w:val="20"/>
    </w:rPr>
  </w:style>
  <w:style w:type="paragraph" w:styleId="TOC7">
    <w:name w:val="toc 7"/>
    <w:basedOn w:val="Normal"/>
    <w:next w:val="Normal"/>
    <w:autoRedefine/>
    <w:semiHidden/>
    <w:unhideWhenUsed/>
    <w:rsid w:val="004130D4"/>
    <w:pPr>
      <w:ind w:left="1440"/>
    </w:pPr>
    <w:rPr>
      <w:rFonts w:asciiTheme="minorHAnsi" w:hAnsiTheme="minorHAnsi" w:cstheme="minorHAnsi"/>
      <w:sz w:val="20"/>
      <w:szCs w:val="20"/>
    </w:rPr>
  </w:style>
  <w:style w:type="paragraph" w:styleId="TOC8">
    <w:name w:val="toc 8"/>
    <w:basedOn w:val="Normal"/>
    <w:next w:val="Normal"/>
    <w:autoRedefine/>
    <w:semiHidden/>
    <w:unhideWhenUsed/>
    <w:rsid w:val="004130D4"/>
    <w:pPr>
      <w:ind w:left="1680"/>
    </w:pPr>
    <w:rPr>
      <w:rFonts w:asciiTheme="minorHAnsi" w:hAnsiTheme="minorHAnsi" w:cstheme="minorHAnsi"/>
      <w:sz w:val="20"/>
      <w:szCs w:val="20"/>
    </w:rPr>
  </w:style>
  <w:style w:type="paragraph" w:styleId="TOC9">
    <w:name w:val="toc 9"/>
    <w:basedOn w:val="Normal"/>
    <w:next w:val="Normal"/>
    <w:autoRedefine/>
    <w:semiHidden/>
    <w:unhideWhenUsed/>
    <w:rsid w:val="004130D4"/>
    <w:pPr>
      <w:ind w:left="1920"/>
    </w:pPr>
    <w:rPr>
      <w:rFonts w:asciiTheme="minorHAnsi" w:hAnsiTheme="minorHAnsi" w:cstheme="minorHAnsi"/>
      <w:sz w:val="20"/>
      <w:szCs w:val="20"/>
    </w:rPr>
  </w:style>
  <w:style w:type="paragraph" w:customStyle="1" w:styleId="APAIndexedHeading1">
    <w:name w:val="APA Indexed Heading 1"/>
    <w:basedOn w:val="APAHeading1"/>
    <w:next w:val="APANormal"/>
    <w:qFormat/>
    <w:rsid w:val="00DD1E08"/>
    <w:pPr>
      <w:numPr>
        <w:numId w:val="12"/>
      </w:numPr>
    </w:pPr>
  </w:style>
  <w:style w:type="paragraph" w:customStyle="1" w:styleId="APAIndexedHeading2">
    <w:name w:val="APA Indexed Heading 2"/>
    <w:basedOn w:val="APAHeading2"/>
    <w:next w:val="APANormal"/>
    <w:qFormat/>
    <w:rsid w:val="00DD1E08"/>
    <w:pPr>
      <w:numPr>
        <w:ilvl w:val="1"/>
        <w:numId w:val="12"/>
      </w:numPr>
    </w:pPr>
  </w:style>
  <w:style w:type="paragraph" w:customStyle="1" w:styleId="APAIndexedHeading3">
    <w:name w:val="APA Indexed Heading 3"/>
    <w:basedOn w:val="APAHeading3"/>
    <w:next w:val="APANormal"/>
    <w:qFormat/>
    <w:rsid w:val="00DD1E08"/>
    <w:pPr>
      <w:numPr>
        <w:ilvl w:val="2"/>
        <w:numId w:val="12"/>
      </w:numPr>
    </w:pPr>
  </w:style>
  <w:style w:type="paragraph" w:customStyle="1" w:styleId="APAIndexedHeading4">
    <w:name w:val="APA Indexed Heading 4"/>
    <w:basedOn w:val="APAHeading4"/>
    <w:next w:val="APANormal"/>
    <w:qFormat/>
    <w:rsid w:val="00DD1E08"/>
    <w:pPr>
      <w:numPr>
        <w:ilvl w:val="3"/>
        <w:numId w:val="12"/>
      </w:numPr>
    </w:pPr>
  </w:style>
  <w:style w:type="paragraph" w:customStyle="1" w:styleId="APAIndexedHeading5">
    <w:name w:val="APA Indexed Heading 5"/>
    <w:basedOn w:val="APAHeading5"/>
    <w:next w:val="APANormal"/>
    <w:qFormat/>
    <w:rsid w:val="00DD1E08"/>
    <w:pPr>
      <w:numPr>
        <w:ilvl w:val="4"/>
        <w:numId w:val="12"/>
      </w:numPr>
    </w:pPr>
  </w:style>
  <w:style w:type="character" w:customStyle="1" w:styleId="Heading3Char">
    <w:name w:val="Heading 3 Char"/>
    <w:basedOn w:val="DefaultParagraphFont"/>
    <w:link w:val="Heading3"/>
    <w:uiPriority w:val="9"/>
    <w:semiHidden/>
    <w:rsid w:val="00B90006"/>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B90006"/>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B90006"/>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B90006"/>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B90006"/>
    <w:rPr>
      <w:rFonts w:asciiTheme="majorHAnsi" w:eastAsiaTheme="majorEastAsia" w:hAnsiTheme="majorHAnsi" w:cstheme="majorBidi"/>
      <w:i/>
      <w:iCs/>
      <w:color w:val="243F60" w:themeColor="accent1" w:themeShade="7F"/>
      <w:sz w:val="24"/>
      <w:szCs w:val="24"/>
    </w:rPr>
  </w:style>
  <w:style w:type="character" w:customStyle="1" w:styleId="Heading8Char">
    <w:name w:val="Heading 8 Char"/>
    <w:basedOn w:val="DefaultParagraphFont"/>
    <w:link w:val="Heading8"/>
    <w:uiPriority w:val="9"/>
    <w:semiHidden/>
    <w:rsid w:val="00B900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0006"/>
    <w:rPr>
      <w:rFonts w:asciiTheme="majorHAnsi" w:eastAsiaTheme="majorEastAsia" w:hAnsiTheme="majorHAnsi" w:cstheme="majorBidi"/>
      <w:i/>
      <w:iCs/>
      <w:color w:val="272727" w:themeColor="text1" w:themeTint="D8"/>
      <w:sz w:val="21"/>
      <w:szCs w:val="21"/>
    </w:rPr>
  </w:style>
  <w:style w:type="paragraph" w:customStyle="1" w:styleId="APATableContent">
    <w:name w:val="APA Table Content"/>
    <w:basedOn w:val="Normal"/>
    <w:next w:val="Normal"/>
    <w:qFormat/>
    <w:rsid w:val="000E5C76"/>
    <w:pPr>
      <w:tabs>
        <w:tab w:val="right" w:pos="8640"/>
      </w:tabs>
      <w:spacing w:line="480" w:lineRule="auto"/>
      <w:jc w:val="center"/>
    </w:pPr>
    <w:rPr>
      <w:iCs/>
      <w:sz w:val="22"/>
      <w:szCs w:val="22"/>
    </w:rPr>
  </w:style>
  <w:style w:type="paragraph" w:customStyle="1" w:styleId="APATableTitle">
    <w:name w:val="APA Table Title"/>
    <w:basedOn w:val="APANormal"/>
    <w:next w:val="APATableDescription"/>
    <w:qFormat/>
    <w:rsid w:val="00772691"/>
    <w:pPr>
      <w:ind w:firstLine="0"/>
    </w:pPr>
  </w:style>
  <w:style w:type="paragraph" w:customStyle="1" w:styleId="APAFigureTitle">
    <w:name w:val="APA Figure Title"/>
    <w:basedOn w:val="APANormal"/>
    <w:next w:val="APANormal"/>
    <w:qFormat/>
    <w:rsid w:val="001529C7"/>
    <w:pPr>
      <w:ind w:firstLine="0"/>
    </w:pPr>
    <w:rPr>
      <w:i/>
    </w:rPr>
  </w:style>
  <w:style w:type="paragraph" w:styleId="Header">
    <w:name w:val="header"/>
    <w:basedOn w:val="Normal"/>
    <w:link w:val="HeaderChar"/>
    <w:uiPriority w:val="99"/>
    <w:unhideWhenUsed/>
    <w:rsid w:val="00A101CA"/>
    <w:pPr>
      <w:tabs>
        <w:tab w:val="center" w:pos="4513"/>
        <w:tab w:val="right" w:pos="9026"/>
      </w:tabs>
    </w:pPr>
  </w:style>
  <w:style w:type="character" w:customStyle="1" w:styleId="HeaderChar">
    <w:name w:val="Header Char"/>
    <w:basedOn w:val="DefaultParagraphFont"/>
    <w:link w:val="Header"/>
    <w:uiPriority w:val="99"/>
    <w:rsid w:val="00A101CA"/>
    <w:rPr>
      <w:sz w:val="24"/>
      <w:szCs w:val="24"/>
    </w:rPr>
  </w:style>
  <w:style w:type="paragraph" w:styleId="Footer">
    <w:name w:val="footer"/>
    <w:basedOn w:val="Normal"/>
    <w:link w:val="FooterChar"/>
    <w:uiPriority w:val="99"/>
    <w:unhideWhenUsed/>
    <w:rsid w:val="00A101CA"/>
    <w:pPr>
      <w:tabs>
        <w:tab w:val="center" w:pos="4513"/>
        <w:tab w:val="right" w:pos="9026"/>
      </w:tabs>
    </w:pPr>
  </w:style>
  <w:style w:type="character" w:customStyle="1" w:styleId="FooterChar">
    <w:name w:val="Footer Char"/>
    <w:basedOn w:val="DefaultParagraphFont"/>
    <w:link w:val="Footer"/>
    <w:uiPriority w:val="99"/>
    <w:rsid w:val="00A101CA"/>
    <w:rPr>
      <w:sz w:val="24"/>
      <w:szCs w:val="24"/>
    </w:rPr>
  </w:style>
  <w:style w:type="character" w:styleId="Hyperlink">
    <w:name w:val="Hyperlink"/>
    <w:basedOn w:val="DefaultParagraphFont"/>
    <w:uiPriority w:val="99"/>
    <w:unhideWhenUsed/>
    <w:rsid w:val="002629ED"/>
    <w:rPr>
      <w:color w:val="0000FF"/>
      <w:u w:val="single"/>
    </w:rPr>
  </w:style>
  <w:style w:type="paragraph" w:styleId="Caption">
    <w:name w:val="caption"/>
    <w:basedOn w:val="Normal"/>
    <w:next w:val="Normal"/>
    <w:uiPriority w:val="35"/>
    <w:unhideWhenUsed/>
    <w:qFormat/>
    <w:rsid w:val="00CC59FB"/>
    <w:pPr>
      <w:spacing w:after="200"/>
    </w:pPr>
    <w:rPr>
      <w:i/>
      <w:iCs/>
      <w:color w:val="1F497D" w:themeColor="text2"/>
      <w:sz w:val="18"/>
      <w:szCs w:val="18"/>
    </w:rPr>
  </w:style>
  <w:style w:type="paragraph" w:styleId="Revision">
    <w:name w:val="Revision"/>
    <w:hidden/>
    <w:uiPriority w:val="99"/>
    <w:semiHidden/>
    <w:rsid w:val="00F30B84"/>
    <w:rPr>
      <w:sz w:val="24"/>
      <w:szCs w:val="24"/>
    </w:rPr>
  </w:style>
  <w:style w:type="character" w:styleId="CommentReference">
    <w:name w:val="annotation reference"/>
    <w:basedOn w:val="DefaultParagraphFont"/>
    <w:uiPriority w:val="99"/>
    <w:semiHidden/>
    <w:unhideWhenUsed/>
    <w:rsid w:val="007F6D7F"/>
    <w:rPr>
      <w:sz w:val="16"/>
      <w:szCs w:val="16"/>
    </w:rPr>
  </w:style>
  <w:style w:type="paragraph" w:styleId="CommentText">
    <w:name w:val="annotation text"/>
    <w:basedOn w:val="Normal"/>
    <w:link w:val="CommentTextChar"/>
    <w:uiPriority w:val="99"/>
    <w:unhideWhenUsed/>
    <w:rsid w:val="007F6D7F"/>
    <w:rPr>
      <w:sz w:val="20"/>
      <w:szCs w:val="20"/>
    </w:rPr>
  </w:style>
  <w:style w:type="character" w:customStyle="1" w:styleId="CommentTextChar">
    <w:name w:val="Comment Text Char"/>
    <w:basedOn w:val="DefaultParagraphFont"/>
    <w:link w:val="CommentText"/>
    <w:uiPriority w:val="99"/>
    <w:rsid w:val="007F6D7F"/>
  </w:style>
  <w:style w:type="paragraph" w:styleId="CommentSubject">
    <w:name w:val="annotation subject"/>
    <w:basedOn w:val="CommentText"/>
    <w:next w:val="CommentText"/>
    <w:link w:val="CommentSubjectChar"/>
    <w:semiHidden/>
    <w:unhideWhenUsed/>
    <w:rsid w:val="007F6D7F"/>
    <w:rPr>
      <w:b/>
      <w:bCs/>
    </w:rPr>
  </w:style>
  <w:style w:type="character" w:customStyle="1" w:styleId="CommentSubjectChar">
    <w:name w:val="Comment Subject Char"/>
    <w:basedOn w:val="CommentTextChar"/>
    <w:link w:val="CommentSubject"/>
    <w:semiHidden/>
    <w:rsid w:val="007F6D7F"/>
    <w:rPr>
      <w:b/>
      <w:bCs/>
    </w:rPr>
  </w:style>
  <w:style w:type="paragraph" w:customStyle="1" w:styleId="EndNoteBibliographyTitle">
    <w:name w:val="EndNote Bibliography Title"/>
    <w:basedOn w:val="Normal"/>
    <w:link w:val="EndNoteBibliographyTitleChar"/>
    <w:rsid w:val="0042571C"/>
    <w:pPr>
      <w:jc w:val="center"/>
    </w:pPr>
  </w:style>
  <w:style w:type="character" w:customStyle="1" w:styleId="APANormalChar">
    <w:name w:val="APA Normal Char"/>
    <w:basedOn w:val="DefaultParagraphFont"/>
    <w:link w:val="APANormal"/>
    <w:rsid w:val="0042571C"/>
    <w:rPr>
      <w:sz w:val="24"/>
      <w:szCs w:val="24"/>
    </w:rPr>
  </w:style>
  <w:style w:type="character" w:customStyle="1" w:styleId="EndNoteBibliographyTitleChar">
    <w:name w:val="EndNote Bibliography Title Char"/>
    <w:basedOn w:val="APANormalChar"/>
    <w:link w:val="EndNoteBibliographyTitle"/>
    <w:rsid w:val="0042571C"/>
    <w:rPr>
      <w:sz w:val="24"/>
      <w:szCs w:val="24"/>
    </w:rPr>
  </w:style>
  <w:style w:type="paragraph" w:customStyle="1" w:styleId="EndNoteBibliography">
    <w:name w:val="EndNote Bibliography"/>
    <w:basedOn w:val="Normal"/>
    <w:link w:val="EndNoteBibliographyChar"/>
    <w:rsid w:val="0042571C"/>
  </w:style>
  <w:style w:type="character" w:customStyle="1" w:styleId="EndNoteBibliographyChar">
    <w:name w:val="EndNote Bibliography Char"/>
    <w:basedOn w:val="APANormalChar"/>
    <w:link w:val="EndNoteBibliography"/>
    <w:rsid w:val="0042571C"/>
    <w:rPr>
      <w:sz w:val="24"/>
      <w:szCs w:val="24"/>
    </w:rPr>
  </w:style>
  <w:style w:type="character" w:styleId="UnresolvedMention">
    <w:name w:val="Unresolved Mention"/>
    <w:basedOn w:val="DefaultParagraphFont"/>
    <w:uiPriority w:val="99"/>
    <w:semiHidden/>
    <w:unhideWhenUsed/>
    <w:rsid w:val="0042571C"/>
    <w:rPr>
      <w:color w:val="605E5C"/>
      <w:shd w:val="clear" w:color="auto" w:fill="E1DFDD"/>
    </w:rPr>
  </w:style>
  <w:style w:type="character" w:styleId="FollowedHyperlink">
    <w:name w:val="FollowedHyperlink"/>
    <w:basedOn w:val="DefaultParagraphFont"/>
    <w:semiHidden/>
    <w:unhideWhenUsed/>
    <w:rsid w:val="003D563D"/>
    <w:rPr>
      <w:color w:val="800080" w:themeColor="followedHyperlink"/>
      <w:u w:val="single"/>
    </w:rPr>
  </w:style>
  <w:style w:type="character" w:customStyle="1" w:styleId="Heading1Char">
    <w:name w:val="Heading 1 Char"/>
    <w:basedOn w:val="DefaultParagraphFont"/>
    <w:link w:val="Heading1"/>
    <w:uiPriority w:val="9"/>
    <w:rsid w:val="003365BA"/>
    <w:rPr>
      <w:b/>
      <w:sz w:val="24"/>
      <w:szCs w:val="22"/>
    </w:rPr>
  </w:style>
  <w:style w:type="table" w:styleId="PlainTable2">
    <w:name w:val="Plain Table 2"/>
    <w:basedOn w:val="TableNormal"/>
    <w:uiPriority w:val="42"/>
    <w:rsid w:val="003365BA"/>
    <w:pPr>
      <w:jc w:val="both"/>
    </w:pPr>
    <w:rPr>
      <w:rFonts w:asciiTheme="minorHAnsi" w:eastAsiaTheme="minorHAnsi" w:hAnsiTheme="minorHAnsi" w:cstheme="minorBidi"/>
      <w:sz w:val="22"/>
      <w:szCs w:val="22"/>
      <w:lang w:val="da-DK"/>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3365BA"/>
    <w:pPr>
      <w:ind w:left="720"/>
      <w:contextualSpacing/>
    </w:pPr>
  </w:style>
  <w:style w:type="table" w:styleId="TableGrid">
    <w:name w:val="Table Grid"/>
    <w:basedOn w:val="TableNormal"/>
    <w:rsid w:val="004F2F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E268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68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68F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68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68F9"/>
    <w:pPr>
      <w:spacing w:before="160"/>
      <w:jc w:val="center"/>
    </w:pPr>
    <w:rPr>
      <w:i/>
      <w:iCs/>
      <w:color w:val="404040" w:themeColor="text1" w:themeTint="BF"/>
    </w:rPr>
  </w:style>
  <w:style w:type="character" w:customStyle="1" w:styleId="QuoteChar">
    <w:name w:val="Quote Char"/>
    <w:basedOn w:val="DefaultParagraphFont"/>
    <w:link w:val="Quote"/>
    <w:uiPriority w:val="29"/>
    <w:rsid w:val="00E268F9"/>
    <w:rPr>
      <w:i/>
      <w:iCs/>
      <w:color w:val="404040" w:themeColor="text1" w:themeTint="BF"/>
      <w:sz w:val="24"/>
      <w:szCs w:val="24"/>
    </w:rPr>
  </w:style>
  <w:style w:type="character" w:styleId="IntenseEmphasis">
    <w:name w:val="Intense Emphasis"/>
    <w:basedOn w:val="DefaultParagraphFont"/>
    <w:uiPriority w:val="21"/>
    <w:qFormat/>
    <w:rsid w:val="00E268F9"/>
    <w:rPr>
      <w:i/>
      <w:iCs/>
      <w:color w:val="365F91" w:themeColor="accent1" w:themeShade="BF"/>
    </w:rPr>
  </w:style>
  <w:style w:type="paragraph" w:styleId="IntenseQuote">
    <w:name w:val="Intense Quote"/>
    <w:basedOn w:val="Normal"/>
    <w:next w:val="Normal"/>
    <w:link w:val="IntenseQuoteChar"/>
    <w:uiPriority w:val="30"/>
    <w:qFormat/>
    <w:rsid w:val="00E268F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268F9"/>
    <w:rPr>
      <w:i/>
      <w:iCs/>
      <w:color w:val="365F91" w:themeColor="accent1" w:themeShade="BF"/>
      <w:sz w:val="24"/>
      <w:szCs w:val="24"/>
    </w:rPr>
  </w:style>
  <w:style w:type="character" w:styleId="IntenseReference">
    <w:name w:val="Intense Reference"/>
    <w:basedOn w:val="DefaultParagraphFont"/>
    <w:uiPriority w:val="32"/>
    <w:qFormat/>
    <w:rsid w:val="00E268F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433184">
      <w:bodyDiv w:val="1"/>
      <w:marLeft w:val="0"/>
      <w:marRight w:val="0"/>
      <w:marTop w:val="0"/>
      <w:marBottom w:val="0"/>
      <w:divBdr>
        <w:top w:val="none" w:sz="0" w:space="0" w:color="auto"/>
        <w:left w:val="none" w:sz="0" w:space="0" w:color="auto"/>
        <w:bottom w:val="none" w:sz="0" w:space="0" w:color="auto"/>
        <w:right w:val="none" w:sz="0" w:space="0" w:color="auto"/>
      </w:divBdr>
      <w:divsChild>
        <w:div w:id="31342635">
          <w:marLeft w:val="480"/>
          <w:marRight w:val="0"/>
          <w:marTop w:val="0"/>
          <w:marBottom w:val="0"/>
          <w:divBdr>
            <w:top w:val="none" w:sz="0" w:space="0" w:color="auto"/>
            <w:left w:val="none" w:sz="0" w:space="0" w:color="auto"/>
            <w:bottom w:val="none" w:sz="0" w:space="0" w:color="auto"/>
            <w:right w:val="none" w:sz="0" w:space="0" w:color="auto"/>
          </w:divBdr>
          <w:divsChild>
            <w:div w:id="329065208">
              <w:marLeft w:val="0"/>
              <w:marRight w:val="0"/>
              <w:marTop w:val="0"/>
              <w:marBottom w:val="0"/>
              <w:divBdr>
                <w:top w:val="none" w:sz="0" w:space="0" w:color="auto"/>
                <w:left w:val="none" w:sz="0" w:space="0" w:color="auto"/>
                <w:bottom w:val="none" w:sz="0" w:space="0" w:color="auto"/>
                <w:right w:val="none" w:sz="0" w:space="0" w:color="auto"/>
              </w:divBdr>
            </w:div>
            <w:div w:id="232737623">
              <w:marLeft w:val="0"/>
              <w:marRight w:val="0"/>
              <w:marTop w:val="0"/>
              <w:marBottom w:val="0"/>
              <w:divBdr>
                <w:top w:val="none" w:sz="0" w:space="0" w:color="auto"/>
                <w:left w:val="none" w:sz="0" w:space="0" w:color="auto"/>
                <w:bottom w:val="none" w:sz="0" w:space="0" w:color="auto"/>
                <w:right w:val="none" w:sz="0" w:space="0" w:color="auto"/>
              </w:divBdr>
            </w:div>
            <w:div w:id="1615166415">
              <w:marLeft w:val="0"/>
              <w:marRight w:val="0"/>
              <w:marTop w:val="0"/>
              <w:marBottom w:val="0"/>
              <w:divBdr>
                <w:top w:val="none" w:sz="0" w:space="0" w:color="auto"/>
                <w:left w:val="none" w:sz="0" w:space="0" w:color="auto"/>
                <w:bottom w:val="none" w:sz="0" w:space="0" w:color="auto"/>
                <w:right w:val="none" w:sz="0" w:space="0" w:color="auto"/>
              </w:divBdr>
            </w:div>
            <w:div w:id="1603104141">
              <w:marLeft w:val="0"/>
              <w:marRight w:val="0"/>
              <w:marTop w:val="0"/>
              <w:marBottom w:val="0"/>
              <w:divBdr>
                <w:top w:val="none" w:sz="0" w:space="0" w:color="auto"/>
                <w:left w:val="none" w:sz="0" w:space="0" w:color="auto"/>
                <w:bottom w:val="none" w:sz="0" w:space="0" w:color="auto"/>
                <w:right w:val="none" w:sz="0" w:space="0" w:color="auto"/>
              </w:divBdr>
            </w:div>
            <w:div w:id="1400133412">
              <w:marLeft w:val="0"/>
              <w:marRight w:val="0"/>
              <w:marTop w:val="0"/>
              <w:marBottom w:val="0"/>
              <w:divBdr>
                <w:top w:val="none" w:sz="0" w:space="0" w:color="auto"/>
                <w:left w:val="none" w:sz="0" w:space="0" w:color="auto"/>
                <w:bottom w:val="none" w:sz="0" w:space="0" w:color="auto"/>
                <w:right w:val="none" w:sz="0" w:space="0" w:color="auto"/>
              </w:divBdr>
            </w:div>
            <w:div w:id="300313245">
              <w:marLeft w:val="0"/>
              <w:marRight w:val="0"/>
              <w:marTop w:val="0"/>
              <w:marBottom w:val="0"/>
              <w:divBdr>
                <w:top w:val="none" w:sz="0" w:space="0" w:color="auto"/>
                <w:left w:val="none" w:sz="0" w:space="0" w:color="auto"/>
                <w:bottom w:val="none" w:sz="0" w:space="0" w:color="auto"/>
                <w:right w:val="none" w:sz="0" w:space="0" w:color="auto"/>
              </w:divBdr>
            </w:div>
            <w:div w:id="656736790">
              <w:marLeft w:val="0"/>
              <w:marRight w:val="0"/>
              <w:marTop w:val="0"/>
              <w:marBottom w:val="0"/>
              <w:divBdr>
                <w:top w:val="none" w:sz="0" w:space="0" w:color="auto"/>
                <w:left w:val="none" w:sz="0" w:space="0" w:color="auto"/>
                <w:bottom w:val="none" w:sz="0" w:space="0" w:color="auto"/>
                <w:right w:val="none" w:sz="0" w:space="0" w:color="auto"/>
              </w:divBdr>
            </w:div>
            <w:div w:id="295184693">
              <w:marLeft w:val="0"/>
              <w:marRight w:val="0"/>
              <w:marTop w:val="0"/>
              <w:marBottom w:val="0"/>
              <w:divBdr>
                <w:top w:val="none" w:sz="0" w:space="0" w:color="auto"/>
                <w:left w:val="none" w:sz="0" w:space="0" w:color="auto"/>
                <w:bottom w:val="none" w:sz="0" w:space="0" w:color="auto"/>
                <w:right w:val="none" w:sz="0" w:space="0" w:color="auto"/>
              </w:divBdr>
            </w:div>
            <w:div w:id="1986082475">
              <w:marLeft w:val="0"/>
              <w:marRight w:val="0"/>
              <w:marTop w:val="0"/>
              <w:marBottom w:val="0"/>
              <w:divBdr>
                <w:top w:val="none" w:sz="0" w:space="0" w:color="auto"/>
                <w:left w:val="none" w:sz="0" w:space="0" w:color="auto"/>
                <w:bottom w:val="none" w:sz="0" w:space="0" w:color="auto"/>
                <w:right w:val="none" w:sz="0" w:space="0" w:color="auto"/>
              </w:divBdr>
            </w:div>
            <w:div w:id="1456367310">
              <w:marLeft w:val="0"/>
              <w:marRight w:val="0"/>
              <w:marTop w:val="0"/>
              <w:marBottom w:val="0"/>
              <w:divBdr>
                <w:top w:val="none" w:sz="0" w:space="0" w:color="auto"/>
                <w:left w:val="none" w:sz="0" w:space="0" w:color="auto"/>
                <w:bottom w:val="none" w:sz="0" w:space="0" w:color="auto"/>
                <w:right w:val="none" w:sz="0" w:space="0" w:color="auto"/>
              </w:divBdr>
            </w:div>
            <w:div w:id="103429704">
              <w:marLeft w:val="0"/>
              <w:marRight w:val="0"/>
              <w:marTop w:val="0"/>
              <w:marBottom w:val="0"/>
              <w:divBdr>
                <w:top w:val="none" w:sz="0" w:space="0" w:color="auto"/>
                <w:left w:val="none" w:sz="0" w:space="0" w:color="auto"/>
                <w:bottom w:val="none" w:sz="0" w:space="0" w:color="auto"/>
                <w:right w:val="none" w:sz="0" w:space="0" w:color="auto"/>
              </w:divBdr>
            </w:div>
            <w:div w:id="1878392849">
              <w:marLeft w:val="0"/>
              <w:marRight w:val="0"/>
              <w:marTop w:val="0"/>
              <w:marBottom w:val="0"/>
              <w:divBdr>
                <w:top w:val="none" w:sz="0" w:space="0" w:color="auto"/>
                <w:left w:val="none" w:sz="0" w:space="0" w:color="auto"/>
                <w:bottom w:val="none" w:sz="0" w:space="0" w:color="auto"/>
                <w:right w:val="none" w:sz="0" w:space="0" w:color="auto"/>
              </w:divBdr>
            </w:div>
            <w:div w:id="158158129">
              <w:marLeft w:val="0"/>
              <w:marRight w:val="0"/>
              <w:marTop w:val="0"/>
              <w:marBottom w:val="0"/>
              <w:divBdr>
                <w:top w:val="none" w:sz="0" w:space="0" w:color="auto"/>
                <w:left w:val="none" w:sz="0" w:space="0" w:color="auto"/>
                <w:bottom w:val="none" w:sz="0" w:space="0" w:color="auto"/>
                <w:right w:val="none" w:sz="0" w:space="0" w:color="auto"/>
              </w:divBdr>
            </w:div>
            <w:div w:id="1759136694">
              <w:marLeft w:val="0"/>
              <w:marRight w:val="0"/>
              <w:marTop w:val="0"/>
              <w:marBottom w:val="0"/>
              <w:divBdr>
                <w:top w:val="none" w:sz="0" w:space="0" w:color="auto"/>
                <w:left w:val="none" w:sz="0" w:space="0" w:color="auto"/>
                <w:bottom w:val="none" w:sz="0" w:space="0" w:color="auto"/>
                <w:right w:val="none" w:sz="0" w:space="0" w:color="auto"/>
              </w:divBdr>
            </w:div>
            <w:div w:id="462815889">
              <w:marLeft w:val="0"/>
              <w:marRight w:val="0"/>
              <w:marTop w:val="0"/>
              <w:marBottom w:val="0"/>
              <w:divBdr>
                <w:top w:val="none" w:sz="0" w:space="0" w:color="auto"/>
                <w:left w:val="none" w:sz="0" w:space="0" w:color="auto"/>
                <w:bottom w:val="none" w:sz="0" w:space="0" w:color="auto"/>
                <w:right w:val="none" w:sz="0" w:space="0" w:color="auto"/>
              </w:divBdr>
            </w:div>
            <w:div w:id="250704141">
              <w:marLeft w:val="0"/>
              <w:marRight w:val="0"/>
              <w:marTop w:val="0"/>
              <w:marBottom w:val="0"/>
              <w:divBdr>
                <w:top w:val="none" w:sz="0" w:space="0" w:color="auto"/>
                <w:left w:val="none" w:sz="0" w:space="0" w:color="auto"/>
                <w:bottom w:val="none" w:sz="0" w:space="0" w:color="auto"/>
                <w:right w:val="none" w:sz="0" w:space="0" w:color="auto"/>
              </w:divBdr>
            </w:div>
            <w:div w:id="1004549318">
              <w:marLeft w:val="0"/>
              <w:marRight w:val="0"/>
              <w:marTop w:val="0"/>
              <w:marBottom w:val="0"/>
              <w:divBdr>
                <w:top w:val="none" w:sz="0" w:space="0" w:color="auto"/>
                <w:left w:val="none" w:sz="0" w:space="0" w:color="auto"/>
                <w:bottom w:val="none" w:sz="0" w:space="0" w:color="auto"/>
                <w:right w:val="none" w:sz="0" w:space="0" w:color="auto"/>
              </w:divBdr>
            </w:div>
            <w:div w:id="488406197">
              <w:marLeft w:val="0"/>
              <w:marRight w:val="0"/>
              <w:marTop w:val="0"/>
              <w:marBottom w:val="0"/>
              <w:divBdr>
                <w:top w:val="none" w:sz="0" w:space="0" w:color="auto"/>
                <w:left w:val="none" w:sz="0" w:space="0" w:color="auto"/>
                <w:bottom w:val="none" w:sz="0" w:space="0" w:color="auto"/>
                <w:right w:val="none" w:sz="0" w:space="0" w:color="auto"/>
              </w:divBdr>
            </w:div>
            <w:div w:id="1358892478">
              <w:marLeft w:val="0"/>
              <w:marRight w:val="0"/>
              <w:marTop w:val="0"/>
              <w:marBottom w:val="0"/>
              <w:divBdr>
                <w:top w:val="none" w:sz="0" w:space="0" w:color="auto"/>
                <w:left w:val="none" w:sz="0" w:space="0" w:color="auto"/>
                <w:bottom w:val="none" w:sz="0" w:space="0" w:color="auto"/>
                <w:right w:val="none" w:sz="0" w:space="0" w:color="auto"/>
              </w:divBdr>
            </w:div>
            <w:div w:id="1057583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92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i.org/10.1016/j.dcn.2012.11.002" TargetMode="External"/><Relationship Id="rId18" Type="http://schemas.openxmlformats.org/officeDocument/2006/relationships/hyperlink" Target="https://doi.org/10.1016/j.abrep.2019.100231" TargetMode="External"/><Relationship Id="rId26" Type="http://schemas.openxmlformats.org/officeDocument/2006/relationships/hyperlink" Target="https://doi.org/10.1111/acer.15055" TargetMode="External"/><Relationship Id="rId3" Type="http://schemas.openxmlformats.org/officeDocument/2006/relationships/customXml" Target="../customXml/item3.xml"/><Relationship Id="rId21" Type="http://schemas.openxmlformats.org/officeDocument/2006/relationships/hyperlink" Target="https://doi.org/10.1001/jamapsychiatry.2020.3446" TargetMode="External"/><Relationship Id="rId7" Type="http://schemas.openxmlformats.org/officeDocument/2006/relationships/settings" Target="settings.xml"/><Relationship Id="rId12" Type="http://schemas.openxmlformats.org/officeDocument/2006/relationships/hyperlink" Target="https://doi.org/10.1016/j.brs.2021.10.386" TargetMode="External"/><Relationship Id="rId17" Type="http://schemas.openxmlformats.org/officeDocument/2006/relationships/hyperlink" Target="https://doi.org/10.1016/j.ajp.2019.05.006" TargetMode="External"/><Relationship Id="rId25" Type="http://schemas.openxmlformats.org/officeDocument/2006/relationships/hyperlink" Target="https://doi.org/10.1159/00053781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oi.org/10.31234/osf.io/h6t7f" TargetMode="External"/><Relationship Id="rId20" Type="http://schemas.openxmlformats.org/officeDocument/2006/relationships/hyperlink" Target="https://doi.org/10.1111/add.15989" TargetMode="External"/><Relationship Id="rId29" Type="http://schemas.openxmlformats.org/officeDocument/2006/relationships/hyperlink" Target="https://doi.org/10.1111/acer.1384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10.1159/000526805" TargetMode="External"/><Relationship Id="rId24" Type="http://schemas.openxmlformats.org/officeDocument/2006/relationships/hyperlink" Target="https://doi.org/10.1037/adb0000642"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oi.org/10.1016/j.drugalcdep.2022.109621" TargetMode="External"/><Relationship Id="rId23" Type="http://schemas.openxmlformats.org/officeDocument/2006/relationships/hyperlink" Target="https://doi.org/10.1037/ccp0000321" TargetMode="External"/><Relationship Id="rId28" Type="http://schemas.openxmlformats.org/officeDocument/2006/relationships/hyperlink" Target="https://doi.org/10.1111/add.16104" TargetMode="External"/><Relationship Id="rId10" Type="http://schemas.openxmlformats.org/officeDocument/2006/relationships/endnotes" Target="endnotes.xml"/><Relationship Id="rId19" Type="http://schemas.openxmlformats.org/officeDocument/2006/relationships/hyperlink" Target="https://doi.org/10.1016/j.addbeh.2023.107630"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101/2024.10.09.24315059" TargetMode="External"/><Relationship Id="rId22" Type="http://schemas.openxmlformats.org/officeDocument/2006/relationships/hyperlink" Target="https://doi.org/10.1111/acer.13163" TargetMode="External"/><Relationship Id="rId27" Type="http://schemas.openxmlformats.org/officeDocument/2006/relationships/hyperlink" Target="https://doi.org/10.1016/j.drugalcdep.2009.11.022" TargetMode="External"/><Relationship Id="rId30" Type="http://schemas.openxmlformats.org/officeDocument/2006/relationships/hyperlink" Target="https://doi.org/10.1177/0956797611400615"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B8911F24E86A348B8EA201CB11F7D52" ma:contentTypeVersion="" ma:contentTypeDescription="Create a new document." ma:contentTypeScope="" ma:versionID="e504a988335cca9ef4185fb68c052a10">
  <xsd:schema xmlns:xsd="http://www.w3.org/2001/XMLSchema" xmlns:xs="http://www.w3.org/2001/XMLSchema" xmlns:p="http://schemas.microsoft.com/office/2006/metadata/properties" xmlns:ns1="http://schemas.microsoft.com/sharepoint/v3" targetNamespace="http://schemas.microsoft.com/office/2006/metadata/properties" ma:root="true" ma:fieldsID="3087f67eda00c539007612ec919253f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F1666A-9030-B04D-9BCE-7E344BE806B9}">
  <ds:schemaRefs>
    <ds:schemaRef ds:uri="http://schemas.openxmlformats.org/officeDocument/2006/bibliography"/>
  </ds:schemaRefs>
</ds:datastoreItem>
</file>

<file path=customXml/itemProps2.xml><?xml version="1.0" encoding="utf-8"?>
<ds:datastoreItem xmlns:ds="http://schemas.openxmlformats.org/officeDocument/2006/customXml" ds:itemID="{18C428F1-9CDD-4F46-ADE9-862CBCEDE0CD}">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2685E910-515C-44D5-9CBD-8EEB2D85C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D2F8F9-7771-4AD8-BB9A-43009D4582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770</TotalTime>
  <Pages>9</Pages>
  <Words>2401</Words>
  <Characters>13690</Characters>
  <Application>Microsoft Office Word</Application>
  <DocSecurity>0</DocSecurity>
  <Lines>114</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Supplementary material</vt:lpstr>
      <vt:lpstr>Supplementary material</vt:lpstr>
    </vt:vector>
  </TitlesOfParts>
  <Manager/>
  <Company/>
  <LinksUpToDate>false</LinksUpToDate>
  <CharactersWithSpaces>16059</CharactersWithSpaces>
  <SharedDoc>false</SharedDoc>
  <HyperlinkBase/>
  <HLinks>
    <vt:vector size="24" baseType="variant">
      <vt:variant>
        <vt:i4>7274534</vt:i4>
      </vt:variant>
      <vt:variant>
        <vt:i4>9</vt:i4>
      </vt:variant>
      <vt:variant>
        <vt:i4>0</vt:i4>
      </vt:variant>
      <vt:variant>
        <vt:i4>5</vt:i4>
      </vt:variant>
      <vt:variant>
        <vt:lpwstr>http://www.siue.edu/education/psychology/facultypubs.shtml</vt:lpwstr>
      </vt:variant>
      <vt:variant>
        <vt:lpwstr/>
      </vt:variant>
      <vt:variant>
        <vt:i4>4194375</vt:i4>
      </vt:variant>
      <vt:variant>
        <vt:i4>6</vt:i4>
      </vt:variant>
      <vt:variant>
        <vt:i4>0</vt:i4>
      </vt:variant>
      <vt:variant>
        <vt:i4>5</vt:i4>
      </vt:variant>
      <vt:variant>
        <vt:lpwstr>http://www.apastyle.org/</vt:lpwstr>
      </vt:variant>
      <vt:variant>
        <vt:lpwstr/>
      </vt:variant>
      <vt:variant>
        <vt:i4>5767197</vt:i4>
      </vt:variant>
      <vt:variant>
        <vt:i4>3</vt:i4>
      </vt:variant>
      <vt:variant>
        <vt:i4>0</vt:i4>
      </vt:variant>
      <vt:variant>
        <vt:i4>5</vt:i4>
      </vt:variant>
      <vt:variant>
        <vt:lpwstr>http://www.thehungersite.com/</vt:lpwstr>
      </vt:variant>
      <vt:variant>
        <vt:lpwstr/>
      </vt:variant>
      <vt:variant>
        <vt:i4>6488104</vt:i4>
      </vt:variant>
      <vt:variant>
        <vt:i4>0</vt:i4>
      </vt:variant>
      <vt:variant>
        <vt:i4>0</vt:i4>
      </vt:variant>
      <vt:variant>
        <vt:i4>5</vt:i4>
      </vt:variant>
      <vt:variant>
        <vt:lpwstr>http://goo.gl/DGHoZ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dc:title>
  <dc:subject/>
  <dc:creator/>
  <cp:keywords/>
  <dc:description/>
  <cp:lastModifiedBy>Nicolaj Tesgaard Mistarz</cp:lastModifiedBy>
  <cp:revision>183</cp:revision>
  <dcterms:created xsi:type="dcterms:W3CDTF">2025-05-05T10:54:00Z</dcterms:created>
  <dcterms:modified xsi:type="dcterms:W3CDTF">2026-06-20T14:46:00Z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0x0101006B8911F24E86A348B8EA201CB11F7D52</vt:lpwstr>
  </property>
  <property fmtid="{D5CDD505-2E9C-101B-9397-08002B2CF9AE}" pid="3" name="ZOTERO_PREF_1">
    <vt:lpwstr>&lt;data data-version="3" zotero-version="7.1-beta.35+03b33d995"&gt;&lt;session id="sbxDx8w0"/&gt;&lt;style id="http://www.zotero.org/styles/apa" locale="en-GB" hasBibliography="1" bibliographyStyleHasBeenSet="0"/&gt;&lt;prefs&gt;&lt;pref name="fieldType" value="Field"/&gt;&lt;pref name=</vt:lpwstr>
  </property>
  <property fmtid="{D5CDD505-2E9C-101B-9397-08002B2CF9AE}" pid="4" name="ZOTERO_PREF_2">
    <vt:lpwstr>"automaticJournalAbbreviations" value="true"/&gt;&lt;/prefs&gt;&lt;/data&gt;</vt:lpwstr>
  </property>
</Properties>
</file>