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E07C9" w14:textId="77777777" w:rsidR="00377FE0" w:rsidRPr="00D17957" w:rsidRDefault="00377FE0" w:rsidP="00377FE0">
      <w:pPr>
        <w:spacing w:line="360" w:lineRule="auto"/>
        <w:rPr>
          <w:rFonts w:ascii="Arial" w:hAnsi="Arial" w:cs="Arial"/>
          <w:b/>
          <w:bCs/>
          <w:lang w:val="en-US"/>
        </w:rPr>
      </w:pPr>
      <w:r w:rsidRPr="00D17957">
        <w:rPr>
          <w:rFonts w:ascii="Arial" w:hAnsi="Arial" w:cs="Arial"/>
          <w:b/>
          <w:bCs/>
          <w:lang w:val="en-US"/>
        </w:rPr>
        <w:t xml:space="preserve">Figure 3 </w:t>
      </w:r>
    </w:p>
    <w:p w14:paraId="002D4EBD" w14:textId="77777777" w:rsidR="00377FE0" w:rsidRDefault="00377FE0" w:rsidP="00377FE0">
      <w:pPr>
        <w:spacing w:line="360" w:lineRule="auto"/>
        <w:rPr>
          <w:rFonts w:ascii="Arial" w:hAnsi="Arial" w:cs="Arial"/>
          <w:lang w:val="en-US"/>
        </w:rPr>
      </w:pPr>
      <w:r w:rsidRPr="00AF11B3">
        <w:rPr>
          <w:rFonts w:ascii="Arial" w:hAnsi="Arial" w:cs="Arial"/>
          <w:lang w:val="en-US"/>
        </w:rPr>
        <w:t xml:space="preserve">Forest-Plots of </w:t>
      </w:r>
      <w:r>
        <w:rPr>
          <w:rFonts w:ascii="Arial" w:hAnsi="Arial" w:cs="Arial"/>
          <w:lang w:val="en-US"/>
        </w:rPr>
        <w:t xml:space="preserve">the subgroup-analysis for the outcome domains depression and anxiety </w:t>
      </w:r>
    </w:p>
    <w:p w14:paraId="653269F1" w14:textId="77777777" w:rsidR="00377FE0" w:rsidRPr="005C1533" w:rsidRDefault="00377FE0" w:rsidP="00377FE0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5C1533">
        <w:rPr>
          <w:rFonts w:ascii="Arial" w:hAnsi="Arial" w:cs="Arial"/>
          <w:b/>
          <w:bCs/>
          <w:sz w:val="20"/>
          <w:szCs w:val="20"/>
          <w:lang w:val="en-US"/>
        </w:rPr>
        <w:t>Depression (VI)</w:t>
      </w:r>
    </w:p>
    <w:p w14:paraId="5A171C8F" w14:textId="77777777" w:rsidR="00377FE0" w:rsidRPr="00D17957" w:rsidRDefault="00377FE0" w:rsidP="00377FE0">
      <w:pPr>
        <w:spacing w:line="360" w:lineRule="auto"/>
        <w:rPr>
          <w:rFonts w:ascii="Arial" w:hAnsi="Arial" w:cs="Arial"/>
          <w:b/>
          <w:bCs/>
          <w:lang w:val="en-US"/>
        </w:rPr>
      </w:pPr>
      <w:r w:rsidRPr="00D17957"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3F71AFCD" wp14:editId="07721522">
            <wp:extent cx="5760720" cy="144843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F8014" w14:textId="77777777" w:rsidR="00377FE0" w:rsidRPr="005C1533" w:rsidRDefault="00377FE0" w:rsidP="00377FE0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5C1533">
        <w:rPr>
          <w:rFonts w:ascii="Arial" w:hAnsi="Arial" w:cs="Arial"/>
          <w:b/>
          <w:bCs/>
          <w:sz w:val="20"/>
          <w:szCs w:val="20"/>
          <w:lang w:val="en-US"/>
        </w:rPr>
        <w:t>Anxiety (VI)</w:t>
      </w:r>
    </w:p>
    <w:p w14:paraId="3ED148D8" w14:textId="77777777" w:rsidR="00377FE0" w:rsidRPr="00AF11B3" w:rsidRDefault="00377FE0" w:rsidP="00377FE0">
      <w:pPr>
        <w:spacing w:line="360" w:lineRule="auto"/>
        <w:rPr>
          <w:rFonts w:ascii="Arial" w:hAnsi="Arial" w:cs="Arial"/>
          <w:lang w:val="en-US"/>
        </w:rPr>
      </w:pPr>
      <w:r w:rsidRPr="00D17957"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3EA15BAB" wp14:editId="4F46904D">
            <wp:extent cx="5760720" cy="1140460"/>
            <wp:effectExtent l="0" t="0" r="0" b="254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46E8A" w14:textId="77777777" w:rsidR="00377FE0" w:rsidRPr="00AF11B3" w:rsidRDefault="00377FE0" w:rsidP="00377FE0">
      <w:pPr>
        <w:spacing w:line="360" w:lineRule="auto"/>
        <w:rPr>
          <w:rFonts w:ascii="Arial" w:hAnsi="Arial" w:cs="Arial"/>
          <w:lang w:val="en-US"/>
        </w:rPr>
      </w:pPr>
    </w:p>
    <w:p w14:paraId="605109C5" w14:textId="77777777" w:rsidR="00377FE0" w:rsidRDefault="00377FE0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713E54A7" w14:textId="77777777" w:rsidR="00377FE0" w:rsidRDefault="00377FE0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3577AE8A" w14:textId="77777777" w:rsidR="00377FE0" w:rsidRDefault="00377FE0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14B03AFB" w14:textId="77777777" w:rsidR="00377FE0" w:rsidRDefault="00377FE0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17B58E71" w14:textId="77777777" w:rsidR="00377FE0" w:rsidRDefault="00377FE0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6B80D07F" w14:textId="77777777" w:rsidR="00377FE0" w:rsidRPr="00C97ED7" w:rsidRDefault="00377FE0" w:rsidP="00377FE0">
      <w:pPr>
        <w:spacing w:line="48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008627E2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Table 3</w:t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 w:rsidRPr="008627E2">
        <w:rPr>
          <w:rFonts w:ascii="Arial" w:hAnsi="Arial" w:cs="Arial"/>
          <w:i/>
          <w:iCs/>
          <w:sz w:val="20"/>
          <w:szCs w:val="20"/>
          <w:lang w:val="en-US"/>
        </w:rPr>
        <w:t xml:space="preserve">All Mental Health Outcomes for Post Measurement Included in the Meta-Analysis (k = 23)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134"/>
        <w:gridCol w:w="4677"/>
      </w:tblGrid>
      <w:tr w:rsidR="00377FE0" w:rsidRPr="008627E2" w14:paraId="4F85432E" w14:textId="77777777" w:rsidTr="002933D8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7CB9A83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Study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F36F86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5E0A6303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Mental health outcomes</w:t>
            </w:r>
          </w:p>
        </w:tc>
      </w:tr>
      <w:tr w:rsidR="00377FE0" w:rsidRPr="008627E2" w14:paraId="2CED1C50" w14:textId="77777777" w:rsidTr="002933D8">
        <w:tc>
          <w:tcPr>
            <w:tcW w:w="3261" w:type="dxa"/>
            <w:tcBorders>
              <w:top w:val="single" w:sz="4" w:space="0" w:color="auto"/>
            </w:tcBorders>
          </w:tcPr>
          <w:p w14:paraId="466F146D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Brody et al. (1999)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E6F75D6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54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05085D3A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Mood</w:t>
            </w:r>
          </w:p>
        </w:tc>
      </w:tr>
      <w:tr w:rsidR="00377FE0" w:rsidRPr="008627E2" w14:paraId="5E485320" w14:textId="77777777" w:rsidTr="002933D8">
        <w:tc>
          <w:tcPr>
            <w:tcW w:w="3261" w:type="dxa"/>
          </w:tcPr>
          <w:p w14:paraId="1F640347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Brody et al. (2002)</w:t>
            </w:r>
          </w:p>
        </w:tc>
        <w:tc>
          <w:tcPr>
            <w:tcW w:w="1134" w:type="dxa"/>
          </w:tcPr>
          <w:p w14:paraId="5ADE88F1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230</w:t>
            </w:r>
          </w:p>
        </w:tc>
        <w:tc>
          <w:tcPr>
            <w:tcW w:w="4677" w:type="dxa"/>
          </w:tcPr>
          <w:p w14:paraId="263870B3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Mood</w:t>
            </w:r>
          </w:p>
        </w:tc>
      </w:tr>
      <w:tr w:rsidR="00377FE0" w:rsidRPr="008627E2" w14:paraId="33D813F9" w14:textId="77777777" w:rsidTr="002933D8">
        <w:tc>
          <w:tcPr>
            <w:tcW w:w="3261" w:type="dxa"/>
          </w:tcPr>
          <w:p w14:paraId="17A9D323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Garnefski</w:t>
            </w:r>
            <w:proofErr w:type="spellEnd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Kraaij</w:t>
            </w:r>
            <w:proofErr w:type="spellEnd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 xml:space="preserve"> (2012)</w:t>
            </w:r>
          </w:p>
        </w:tc>
        <w:tc>
          <w:tcPr>
            <w:tcW w:w="1134" w:type="dxa"/>
          </w:tcPr>
          <w:p w14:paraId="69159764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</w:p>
        </w:tc>
        <w:tc>
          <w:tcPr>
            <w:tcW w:w="4677" w:type="dxa"/>
          </w:tcPr>
          <w:p w14:paraId="7C5DC193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Depression; anxiety</w:t>
            </w:r>
          </w:p>
        </w:tc>
      </w:tr>
      <w:tr w:rsidR="00377FE0" w:rsidRPr="008627E2" w14:paraId="17361A88" w14:textId="77777777" w:rsidTr="002933D8">
        <w:tc>
          <w:tcPr>
            <w:tcW w:w="3261" w:type="dxa"/>
          </w:tcPr>
          <w:p w14:paraId="0382FCC5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Jansson-</w:t>
            </w: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Fröjmark</w:t>
            </w:r>
            <w:proofErr w:type="spellEnd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 xml:space="preserve"> et al. (2012)</w:t>
            </w:r>
          </w:p>
        </w:tc>
        <w:tc>
          <w:tcPr>
            <w:tcW w:w="1134" w:type="dxa"/>
          </w:tcPr>
          <w:p w14:paraId="5327C5B7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</w:p>
        </w:tc>
        <w:tc>
          <w:tcPr>
            <w:tcW w:w="4677" w:type="dxa"/>
          </w:tcPr>
          <w:p w14:paraId="37D8E781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insomnia disorder; depression; anxiety</w:t>
            </w:r>
          </w:p>
        </w:tc>
      </w:tr>
      <w:tr w:rsidR="00377FE0" w:rsidRPr="008627E2" w14:paraId="113FF7CA" w14:textId="77777777" w:rsidTr="002933D8">
        <w:tc>
          <w:tcPr>
            <w:tcW w:w="3261" w:type="dxa"/>
          </w:tcPr>
          <w:p w14:paraId="11A47EA5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Matsuguma</w:t>
            </w:r>
            <w:proofErr w:type="spellEnd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 xml:space="preserve"> et al. (2019)</w:t>
            </w:r>
          </w:p>
        </w:tc>
        <w:tc>
          <w:tcPr>
            <w:tcW w:w="1134" w:type="dxa"/>
          </w:tcPr>
          <w:p w14:paraId="6E9B2BFF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4677" w:type="dxa"/>
          </w:tcPr>
          <w:p w14:paraId="51F3CE58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Self-</w:t>
            </w: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esteem</w:t>
            </w:r>
            <w:r w:rsidRPr="008627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377FE0" w:rsidRPr="002B4946" w14:paraId="7AF385C5" w14:textId="77777777" w:rsidTr="002933D8">
        <w:tc>
          <w:tcPr>
            <w:tcW w:w="3261" w:type="dxa"/>
          </w:tcPr>
          <w:p w14:paraId="5E11B07C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Rees et al. (2015)</w:t>
            </w:r>
          </w:p>
        </w:tc>
        <w:tc>
          <w:tcPr>
            <w:tcW w:w="1134" w:type="dxa"/>
          </w:tcPr>
          <w:p w14:paraId="67AC7669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138</w:t>
            </w:r>
          </w:p>
        </w:tc>
        <w:tc>
          <w:tcPr>
            <w:tcW w:w="4677" w:type="dxa"/>
          </w:tcPr>
          <w:p w14:paraId="5E479387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Depression; anxiety; stress; self-</w:t>
            </w: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efficacy</w:t>
            </w:r>
            <w:r w:rsidRPr="008627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377FE0" w:rsidRPr="008627E2" w14:paraId="5CB32090" w14:textId="77777777" w:rsidTr="002933D8">
        <w:tc>
          <w:tcPr>
            <w:tcW w:w="3261" w:type="dxa"/>
          </w:tcPr>
          <w:p w14:paraId="6B5FCDB3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Rovner et al. (2013)</w:t>
            </w:r>
          </w:p>
        </w:tc>
        <w:tc>
          <w:tcPr>
            <w:tcW w:w="1134" w:type="dxa"/>
          </w:tcPr>
          <w:p w14:paraId="55634509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218</w:t>
            </w:r>
          </w:p>
        </w:tc>
        <w:tc>
          <w:tcPr>
            <w:tcW w:w="4677" w:type="dxa"/>
          </w:tcPr>
          <w:p w14:paraId="5C5C5198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Depression</w:t>
            </w:r>
          </w:p>
        </w:tc>
      </w:tr>
      <w:tr w:rsidR="00377FE0" w:rsidRPr="008627E2" w14:paraId="6FBA9E28" w14:textId="77777777" w:rsidTr="002933D8">
        <w:tc>
          <w:tcPr>
            <w:tcW w:w="3261" w:type="dxa"/>
          </w:tcPr>
          <w:p w14:paraId="5EF5272D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Rovner et al. (2014)</w:t>
            </w:r>
          </w:p>
        </w:tc>
        <w:tc>
          <w:tcPr>
            <w:tcW w:w="1134" w:type="dxa"/>
          </w:tcPr>
          <w:p w14:paraId="7DECD4A4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163</w:t>
            </w:r>
          </w:p>
        </w:tc>
        <w:tc>
          <w:tcPr>
            <w:tcW w:w="4677" w:type="dxa"/>
          </w:tcPr>
          <w:p w14:paraId="01A69BFB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Depression</w:t>
            </w:r>
          </w:p>
        </w:tc>
      </w:tr>
      <w:tr w:rsidR="00377FE0" w:rsidRPr="002B4946" w14:paraId="61588673" w14:textId="77777777" w:rsidTr="002933D8">
        <w:tc>
          <w:tcPr>
            <w:tcW w:w="3261" w:type="dxa"/>
          </w:tcPr>
          <w:p w14:paraId="65526AA7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Tey</w:t>
            </w:r>
            <w:proofErr w:type="spellEnd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 xml:space="preserve"> et al. (2019)</w:t>
            </w:r>
          </w:p>
        </w:tc>
        <w:tc>
          <w:tcPr>
            <w:tcW w:w="1134" w:type="dxa"/>
          </w:tcPr>
          <w:p w14:paraId="25D2734B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130</w:t>
            </w:r>
          </w:p>
        </w:tc>
        <w:tc>
          <w:tcPr>
            <w:tcW w:w="4677" w:type="dxa"/>
          </w:tcPr>
          <w:p w14:paraId="159DC9EF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Depression</w:t>
            </w:r>
            <w:r w:rsidRPr="008627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anxiety</w:t>
            </w:r>
            <w:r w:rsidRPr="008627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stress</w:t>
            </w:r>
            <w:r w:rsidRPr="008627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; self-</w:t>
            </w: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efficacy</w:t>
            </w:r>
            <w:r w:rsidRPr="008627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 xml:space="preserve">; generic health-related quality of </w:t>
            </w: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life</w:t>
            </w:r>
            <w:r w:rsidRPr="008627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 xml:space="preserve">; health-related quality of </w:t>
            </w:r>
            <w:proofErr w:type="spellStart"/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life</w:t>
            </w:r>
            <w:r w:rsidRPr="008627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377FE0" w:rsidRPr="008627E2" w14:paraId="451A698A" w14:textId="77777777" w:rsidTr="002933D8">
        <w:tc>
          <w:tcPr>
            <w:tcW w:w="3261" w:type="dxa"/>
          </w:tcPr>
          <w:p w14:paraId="1C2AE590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627E2">
              <w:rPr>
                <w:rFonts w:ascii="Arial" w:hAnsi="Arial" w:cs="Arial"/>
                <w:sz w:val="20"/>
                <w:szCs w:val="20"/>
              </w:rPr>
              <w:t>Van der Aa et al. (2015)</w:t>
            </w:r>
          </w:p>
        </w:tc>
        <w:tc>
          <w:tcPr>
            <w:tcW w:w="1134" w:type="dxa"/>
          </w:tcPr>
          <w:p w14:paraId="34B57B7D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627E2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4677" w:type="dxa"/>
          </w:tcPr>
          <w:p w14:paraId="314F2A66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27E2">
              <w:rPr>
                <w:rFonts w:ascii="Arial" w:hAnsi="Arial" w:cs="Arial"/>
                <w:sz w:val="20"/>
                <w:szCs w:val="20"/>
                <w:lang w:val="en-US"/>
              </w:rPr>
              <w:t>Depression; anxiety</w:t>
            </w:r>
          </w:p>
        </w:tc>
      </w:tr>
      <w:tr w:rsidR="00377FE0" w:rsidRPr="008627E2" w14:paraId="4B8CF988" w14:textId="77777777" w:rsidTr="002933D8">
        <w:tc>
          <w:tcPr>
            <w:tcW w:w="3261" w:type="dxa"/>
            <w:tcBorders>
              <w:bottom w:val="single" w:sz="4" w:space="0" w:color="auto"/>
            </w:tcBorders>
          </w:tcPr>
          <w:p w14:paraId="214FAED9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627E2">
              <w:rPr>
                <w:rFonts w:ascii="Arial" w:hAnsi="Arial" w:cs="Arial"/>
                <w:sz w:val="20"/>
                <w:szCs w:val="20"/>
              </w:rPr>
              <w:t>Wahl et al. (2006)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F37AE6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627E2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7FBE88A4" w14:textId="77777777" w:rsidR="00377FE0" w:rsidRPr="008627E2" w:rsidRDefault="00377FE0" w:rsidP="002933D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627E2">
              <w:rPr>
                <w:rFonts w:ascii="Arial" w:hAnsi="Arial" w:cs="Arial"/>
                <w:sz w:val="20"/>
                <w:szCs w:val="20"/>
              </w:rPr>
              <w:t>Depression</w:t>
            </w:r>
          </w:p>
        </w:tc>
      </w:tr>
    </w:tbl>
    <w:p w14:paraId="7A4DBD48" w14:textId="77777777" w:rsidR="00377FE0" w:rsidRPr="008627E2" w:rsidRDefault="00377FE0" w:rsidP="00377FE0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8627E2">
        <w:rPr>
          <w:rFonts w:ascii="Arial" w:hAnsi="Arial" w:cs="Arial"/>
          <w:i/>
          <w:iCs/>
          <w:sz w:val="20"/>
          <w:szCs w:val="20"/>
          <w:lang w:val="en-US"/>
        </w:rPr>
        <w:t>Notes</w:t>
      </w:r>
      <w:r w:rsidRPr="008627E2">
        <w:rPr>
          <w:rFonts w:ascii="Arial" w:hAnsi="Arial" w:cs="Arial"/>
          <w:sz w:val="20"/>
          <w:szCs w:val="20"/>
          <w:lang w:val="en-US"/>
        </w:rPr>
        <w:t>.</w:t>
      </w:r>
      <w:r w:rsidRPr="008627E2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proofErr w:type="spellStart"/>
      <w:r w:rsidRPr="008627E2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proofErr w:type="spellEnd"/>
      <w:r w:rsidRPr="008627E2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 w:rsidRPr="008627E2">
        <w:rPr>
          <w:rFonts w:ascii="Arial" w:hAnsi="Arial" w:cs="Arial"/>
          <w:sz w:val="20"/>
          <w:szCs w:val="20"/>
          <w:lang w:val="en-US"/>
        </w:rPr>
        <w:t xml:space="preserve">The direction of the outcome domain was converted by multiplying with -1. </w:t>
      </w:r>
    </w:p>
    <w:p w14:paraId="77C2FD23" w14:textId="77777777" w:rsidR="00377FE0" w:rsidRDefault="00377FE0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6692AC5B" w14:textId="77777777" w:rsidR="00377FE0" w:rsidRDefault="00377FE0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0C85D140" w14:textId="77777777" w:rsidR="00377FE0" w:rsidRDefault="00377FE0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51620351" w14:textId="77777777" w:rsidR="00377FE0" w:rsidRDefault="00377FE0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2B34403A" w14:textId="77777777" w:rsidR="00377FE0" w:rsidRDefault="00377FE0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5FBD2CBE" w14:textId="77777777" w:rsidR="00377FE0" w:rsidRDefault="00377FE0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65CF6A50" w14:textId="77777777" w:rsidR="00377FE0" w:rsidRDefault="00377FE0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</w:p>
    <w:p w14:paraId="4EDDC327" w14:textId="13635C0F" w:rsidR="007D2872" w:rsidRPr="00CC3BA7" w:rsidRDefault="007D2872" w:rsidP="007D2872">
      <w:pPr>
        <w:rPr>
          <w:rFonts w:ascii="Arial" w:hAnsi="Arial" w:cs="Arial"/>
          <w:b/>
          <w:bCs/>
          <w:sz w:val="18"/>
          <w:szCs w:val="18"/>
          <w:lang w:val="en-US"/>
        </w:rPr>
      </w:pPr>
      <w:r w:rsidRPr="00CC3BA7">
        <w:rPr>
          <w:rFonts w:ascii="Arial" w:hAnsi="Arial" w:cs="Arial"/>
          <w:b/>
          <w:bCs/>
          <w:sz w:val="18"/>
          <w:szCs w:val="18"/>
          <w:lang w:val="en-US"/>
        </w:rPr>
        <w:lastRenderedPageBreak/>
        <w:t>Table 4</w:t>
      </w:r>
    </w:p>
    <w:p w14:paraId="2C9484D0" w14:textId="6D1D463D" w:rsidR="007D2872" w:rsidRPr="00CC3BA7" w:rsidRDefault="007D2872" w:rsidP="007D2872">
      <w:pPr>
        <w:spacing w:line="480" w:lineRule="auto"/>
        <w:rPr>
          <w:rFonts w:ascii="Arial" w:hAnsi="Arial" w:cs="Arial"/>
          <w:i/>
          <w:iCs/>
          <w:sz w:val="18"/>
          <w:szCs w:val="18"/>
          <w:lang w:val="en-US"/>
        </w:rPr>
      </w:pPr>
      <w:r w:rsidRPr="00CC3BA7">
        <w:rPr>
          <w:rFonts w:ascii="Arial" w:hAnsi="Arial" w:cs="Arial"/>
          <w:i/>
          <w:iCs/>
          <w:sz w:val="18"/>
          <w:szCs w:val="18"/>
          <w:lang w:val="en-US"/>
        </w:rPr>
        <w:t xml:space="preserve">Categories of </w:t>
      </w:r>
      <w:r w:rsidR="00D13F07" w:rsidRPr="00CC3BA7">
        <w:rPr>
          <w:rFonts w:ascii="Arial" w:hAnsi="Arial" w:cs="Arial"/>
          <w:i/>
          <w:iCs/>
          <w:sz w:val="18"/>
          <w:szCs w:val="18"/>
          <w:lang w:val="en-US"/>
        </w:rPr>
        <w:t>I</w:t>
      </w:r>
      <w:r w:rsidRPr="00CC3BA7">
        <w:rPr>
          <w:rFonts w:ascii="Arial" w:hAnsi="Arial" w:cs="Arial"/>
          <w:i/>
          <w:iCs/>
          <w:sz w:val="18"/>
          <w:szCs w:val="18"/>
          <w:lang w:val="en-US"/>
        </w:rPr>
        <w:t xml:space="preserve">dentified </w:t>
      </w:r>
      <w:r w:rsidR="00D13F07" w:rsidRPr="00CC3BA7">
        <w:rPr>
          <w:rFonts w:ascii="Arial" w:hAnsi="Arial" w:cs="Arial"/>
          <w:i/>
          <w:iCs/>
          <w:sz w:val="18"/>
          <w:szCs w:val="18"/>
          <w:lang w:val="en-US"/>
        </w:rPr>
        <w:t>M</w:t>
      </w:r>
      <w:r w:rsidRPr="00CC3BA7">
        <w:rPr>
          <w:rFonts w:ascii="Arial" w:hAnsi="Arial" w:cs="Arial"/>
          <w:i/>
          <w:iCs/>
          <w:sz w:val="18"/>
          <w:szCs w:val="18"/>
          <w:lang w:val="en-US"/>
        </w:rPr>
        <w:t xml:space="preserve">ethods to </w:t>
      </w:r>
      <w:r w:rsidR="00D13F07" w:rsidRPr="00CC3BA7">
        <w:rPr>
          <w:rFonts w:ascii="Arial" w:hAnsi="Arial" w:cs="Arial"/>
          <w:i/>
          <w:iCs/>
          <w:sz w:val="18"/>
          <w:szCs w:val="18"/>
          <w:lang w:val="en-US"/>
        </w:rPr>
        <w:t>I</w:t>
      </w:r>
      <w:r w:rsidRPr="00CC3BA7">
        <w:rPr>
          <w:rFonts w:ascii="Arial" w:hAnsi="Arial" w:cs="Arial"/>
          <w:i/>
          <w:iCs/>
          <w:sz w:val="18"/>
          <w:szCs w:val="18"/>
          <w:lang w:val="en-US"/>
        </w:rPr>
        <w:t xml:space="preserve">mprove the </w:t>
      </w:r>
      <w:r w:rsidR="00D13F07" w:rsidRPr="00CC3BA7">
        <w:rPr>
          <w:rFonts w:ascii="Arial" w:hAnsi="Arial" w:cs="Arial"/>
          <w:i/>
          <w:iCs/>
          <w:sz w:val="18"/>
          <w:szCs w:val="18"/>
          <w:lang w:val="en-US"/>
        </w:rPr>
        <w:t>A</w:t>
      </w:r>
      <w:r w:rsidRPr="00CC3BA7">
        <w:rPr>
          <w:rFonts w:ascii="Arial" w:hAnsi="Arial" w:cs="Arial"/>
          <w:i/>
          <w:iCs/>
          <w:sz w:val="18"/>
          <w:szCs w:val="18"/>
          <w:lang w:val="en-US"/>
        </w:rPr>
        <w:t xml:space="preserve">ccessibility in </w:t>
      </w:r>
      <w:r w:rsidR="00D13F07" w:rsidRPr="00CC3BA7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CC3BA7">
        <w:rPr>
          <w:rFonts w:ascii="Arial" w:hAnsi="Arial" w:cs="Arial"/>
          <w:i/>
          <w:iCs/>
          <w:sz w:val="18"/>
          <w:szCs w:val="18"/>
          <w:lang w:val="en-US"/>
        </w:rPr>
        <w:t xml:space="preserve">sychological </w:t>
      </w:r>
      <w:r w:rsidR="00D13F07" w:rsidRPr="00CC3BA7">
        <w:rPr>
          <w:rFonts w:ascii="Arial" w:hAnsi="Arial" w:cs="Arial"/>
          <w:i/>
          <w:iCs/>
          <w:sz w:val="18"/>
          <w:szCs w:val="18"/>
          <w:lang w:val="en-US"/>
        </w:rPr>
        <w:t>I</w:t>
      </w:r>
      <w:r w:rsidRPr="00CC3BA7">
        <w:rPr>
          <w:rFonts w:ascii="Arial" w:hAnsi="Arial" w:cs="Arial"/>
          <w:i/>
          <w:iCs/>
          <w:sz w:val="18"/>
          <w:szCs w:val="18"/>
          <w:lang w:val="en-US"/>
        </w:rPr>
        <w:t xml:space="preserve">nterventions for </w:t>
      </w:r>
      <w:r w:rsidR="00D13F07" w:rsidRPr="00CC3BA7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CC3BA7">
        <w:rPr>
          <w:rFonts w:ascii="Arial" w:hAnsi="Arial" w:cs="Arial"/>
          <w:i/>
          <w:iCs/>
          <w:sz w:val="18"/>
          <w:szCs w:val="18"/>
          <w:lang w:val="en-US"/>
        </w:rPr>
        <w:t xml:space="preserve">ersons with </w:t>
      </w:r>
      <w:r w:rsidR="00CC3BA7" w:rsidRPr="00CC3BA7">
        <w:rPr>
          <w:rFonts w:ascii="Arial" w:hAnsi="Arial" w:cs="Arial"/>
          <w:i/>
          <w:iCs/>
          <w:sz w:val="18"/>
          <w:szCs w:val="18"/>
          <w:lang w:val="en-US"/>
        </w:rPr>
        <w:t>Hearing (VI) or Vision Impairment (</w:t>
      </w:r>
      <w:r w:rsidRPr="00CC3BA7">
        <w:rPr>
          <w:rFonts w:ascii="Arial" w:hAnsi="Arial" w:cs="Arial"/>
          <w:i/>
          <w:iCs/>
          <w:sz w:val="18"/>
          <w:szCs w:val="18"/>
          <w:lang w:val="en-US"/>
        </w:rPr>
        <w:t>VI</w:t>
      </w:r>
      <w:r w:rsidR="00CC3BA7" w:rsidRPr="00CC3BA7">
        <w:rPr>
          <w:rFonts w:ascii="Arial" w:hAnsi="Arial" w:cs="Arial"/>
          <w:i/>
          <w:iCs/>
          <w:sz w:val="18"/>
          <w:szCs w:val="18"/>
          <w:lang w:val="en-US"/>
        </w:rPr>
        <w:t>)</w:t>
      </w:r>
    </w:p>
    <w:tbl>
      <w:tblPr>
        <w:tblStyle w:val="Tabellenraster"/>
        <w:tblW w:w="13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245"/>
        <w:gridCol w:w="5245"/>
      </w:tblGrid>
      <w:tr w:rsidR="007D2872" w:rsidRPr="00CC3BA7" w14:paraId="26C8DAAB" w14:textId="77777777" w:rsidTr="00D13F07">
        <w:trPr>
          <w:tblHeader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8B7EAA4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Category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22B16F92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Example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C11ED4A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Quantity of studies</w:t>
            </w:r>
          </w:p>
        </w:tc>
      </w:tr>
      <w:tr w:rsidR="007D2872" w:rsidRPr="002B4946" w14:paraId="566E7101" w14:textId="77777777" w:rsidTr="00A5734F">
        <w:tc>
          <w:tcPr>
            <w:tcW w:w="2977" w:type="dxa"/>
          </w:tcPr>
          <w:p w14:paraId="0279A119" w14:textId="23C28AE5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0" w:name="_Hlk126343845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C1: Trained personnel or experts</w:t>
            </w:r>
            <w:bookmarkEnd w:id="0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(e.g., audiologists, occupational therapists, optometrist</w:t>
            </w:r>
            <w:r w:rsid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psychologists)</w:t>
            </w:r>
          </w:p>
        </w:tc>
        <w:tc>
          <w:tcPr>
            <w:tcW w:w="5245" w:type="dxa"/>
          </w:tcPr>
          <w:p w14:paraId="0F2600CB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Rovner et al. (2014): “In the former, occupational therapists delivered BA to address depression and functional deficits owing to vision loss.” </w:t>
            </w:r>
          </w:p>
        </w:tc>
        <w:tc>
          <w:tcPr>
            <w:tcW w:w="5245" w:type="dxa"/>
          </w:tcPr>
          <w:p w14:paraId="4C422037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HI or VI (</w:t>
            </w:r>
            <w:r w:rsidRPr="00950C9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16): </w:t>
            </w:r>
            <w:r w:rsidRPr="00950C9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13; 81% (Brody et al., 2002; Brody et al., 2006; Brody et al., 2005; Brody et al., 1999; Deemer et al., 2017; Jansson-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Fröjmark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et al., 2012; Rees et al., 2015; Rovner et al., 2013; Rovner et al., 2014; 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Tey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et al., 2019; van der Aa et al., 2015; van der Aa et al., 2017; Wahl et al., 2006)</w:t>
            </w:r>
          </w:p>
          <w:p w14:paraId="3FF934E1" w14:textId="1416DDA8" w:rsidR="00CC3BA7" w:rsidRPr="00CC3BA7" w:rsidRDefault="00CC3BA7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D2872" w:rsidRPr="002B4946" w14:paraId="69FD8704" w14:textId="77777777" w:rsidTr="00A5734F">
        <w:tc>
          <w:tcPr>
            <w:tcW w:w="2977" w:type="dxa"/>
          </w:tcPr>
          <w:p w14:paraId="65F22853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C2: Independence through remaining eyesight</w:t>
            </w:r>
          </w:p>
        </w:tc>
        <w:tc>
          <w:tcPr>
            <w:tcW w:w="5245" w:type="dxa"/>
          </w:tcPr>
          <w:p w14:paraId="264ED381" w14:textId="77777777" w:rsidR="007D2872" w:rsidRPr="00CC3BA7" w:rsidRDefault="007D2872" w:rsidP="00CC3BA7">
            <w:pPr>
              <w:spacing w:line="276" w:lineRule="auto"/>
              <w:rPr>
                <w:rFonts w:ascii="Arial" w:eastAsiaTheme="minorEastAsia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Brody et al. (2002): “We </w:t>
            </w:r>
            <w:r w:rsidRPr="00CC3BA7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challenged them to use their remaining eyesight to maintain their independence and involvement in personally meaningful activities.”</w:t>
            </w:r>
          </w:p>
          <w:p w14:paraId="1601E6C0" w14:textId="1FDAC1F0" w:rsidR="00CC3BA7" w:rsidRPr="00CC3BA7" w:rsidRDefault="00CC3BA7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14:paraId="61FE0B1F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VI (</w:t>
            </w:r>
            <w:r w:rsidRPr="006C464C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14): </w:t>
            </w:r>
            <w:r w:rsidRPr="006C464C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3; 21% (Brody et al., 2002; Brody et al., 2005; Brody et al., 1999)</w:t>
            </w:r>
          </w:p>
        </w:tc>
      </w:tr>
      <w:tr w:rsidR="007D2872" w:rsidRPr="002B4946" w14:paraId="7B08D4D5" w14:textId="77777777" w:rsidTr="00A5734F">
        <w:tc>
          <w:tcPr>
            <w:tcW w:w="2977" w:type="dxa"/>
          </w:tcPr>
          <w:p w14:paraId="3E318DBA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C3: Low vision aids and devices </w:t>
            </w:r>
          </w:p>
        </w:tc>
        <w:tc>
          <w:tcPr>
            <w:tcW w:w="5245" w:type="dxa"/>
          </w:tcPr>
          <w:p w14:paraId="6C632E13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Brody et al. (1999): “Participants randomized to the wait-list condition also attended the intervention, allowing pre-post comparisons on the use of vision aids, activities, and health-related quality of life variables.” </w:t>
            </w:r>
          </w:p>
          <w:p w14:paraId="0E16FA48" w14:textId="3914C1FF" w:rsidR="00CC3BA7" w:rsidRPr="00CC3BA7" w:rsidRDefault="00CC3BA7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14:paraId="228C4A3D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VI (</w:t>
            </w:r>
            <w:r w:rsidRPr="006C464C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14): </w:t>
            </w:r>
            <w:r w:rsidRPr="006C464C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5; 36% (Brody et al., 2002; Brody et al., 1999; Deemer et al., 2017; Rees et al., 2015; Rovner et al., 2014)</w:t>
            </w:r>
          </w:p>
        </w:tc>
      </w:tr>
      <w:tr w:rsidR="007D2872" w:rsidRPr="00CC3BA7" w14:paraId="375C3E9C" w14:textId="77777777" w:rsidTr="00A5734F">
        <w:tc>
          <w:tcPr>
            <w:tcW w:w="2977" w:type="dxa"/>
          </w:tcPr>
          <w:p w14:paraId="1CD9E4F2" w14:textId="4B6EFC53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C4: Modeled interventions by </w:t>
            </w:r>
            <w:r w:rsidRPr="00377FE0">
              <w:rPr>
                <w:rFonts w:ascii="Arial" w:hAnsi="Arial" w:cs="Arial"/>
                <w:sz w:val="18"/>
                <w:szCs w:val="18"/>
                <w:lang w:val="en-US"/>
              </w:rPr>
              <w:t>experts an</w:t>
            </w:r>
            <w:r w:rsidR="00D66015" w:rsidRPr="00377FE0">
              <w:rPr>
                <w:rFonts w:ascii="Arial" w:hAnsi="Arial" w:cs="Arial"/>
                <w:sz w:val="18"/>
                <w:szCs w:val="18"/>
                <w:lang w:val="en-US"/>
              </w:rPr>
              <w:t>d/</w:t>
            </w:r>
            <w:r w:rsidRPr="00377FE0">
              <w:rPr>
                <w:rFonts w:ascii="Arial" w:hAnsi="Arial" w:cs="Arial"/>
                <w:sz w:val="18"/>
                <w:szCs w:val="18"/>
                <w:lang w:val="en-US"/>
              </w:rPr>
              <w:t>or patients</w:t>
            </w:r>
          </w:p>
        </w:tc>
        <w:tc>
          <w:tcPr>
            <w:tcW w:w="5245" w:type="dxa"/>
          </w:tcPr>
          <w:p w14:paraId="6A7FA2F0" w14:textId="5A23D2EB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</w:rPr>
              <w:t xml:space="preserve">Van der Aa et al. 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(2015): “Patients (</w:t>
            </w:r>
            <w:r w:rsidRPr="00754C7B">
              <w:rPr>
                <w:rFonts w:ascii="Arial" w:hAnsi="Arial" w:cs="Arial"/>
                <w:i/>
                <w:sz w:val="18"/>
                <w:szCs w:val="18"/>
                <w:lang w:val="en-US"/>
              </w:rPr>
              <w:t>n</w:t>
            </w:r>
            <w:r w:rsidR="00754C7B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r w:rsidR="00754C7B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8) from low vision rehabilitation </w:t>
            </w:r>
            <w:r w:rsidR="006066F6" w:rsidRPr="00CC3BA7">
              <w:rPr>
                <w:rFonts w:ascii="Arial" w:hAnsi="Arial" w:cs="Arial"/>
                <w:sz w:val="18"/>
                <w:szCs w:val="18"/>
                <w:lang w:val="en-US"/>
              </w:rPr>
              <w:t>organizations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were involved in the development and implementation of the stepped care program based on two focus group meetings in the Netherlands and Belgium.” </w:t>
            </w:r>
          </w:p>
          <w:p w14:paraId="6E30CB3D" w14:textId="33EB71F5" w:rsidR="00CC3BA7" w:rsidRPr="00CC3BA7" w:rsidRDefault="00CC3BA7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14:paraId="60F1CD42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C3BA7">
              <w:rPr>
                <w:rFonts w:ascii="Arial" w:hAnsi="Arial" w:cs="Arial"/>
                <w:sz w:val="18"/>
                <w:szCs w:val="18"/>
              </w:rPr>
              <w:t>VI (</w:t>
            </w:r>
            <w:r w:rsidRPr="006C464C">
              <w:rPr>
                <w:rFonts w:ascii="Arial" w:hAnsi="Arial" w:cs="Arial"/>
                <w:i/>
                <w:iCs/>
                <w:sz w:val="18"/>
                <w:szCs w:val="18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</w:rPr>
              <w:t xml:space="preserve"> 14): </w:t>
            </w:r>
            <w:r w:rsidRPr="006C464C">
              <w:rPr>
                <w:rFonts w:ascii="Arial" w:hAnsi="Arial" w:cs="Arial"/>
                <w:i/>
                <w:iCs/>
                <w:sz w:val="18"/>
                <w:szCs w:val="18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</w:rPr>
              <w:t xml:space="preserve"> 4; 29% (Brody et al., 2006; Brody et al., 2005; van der Aa et al., 2015; van der Aa et al., 2017)</w:t>
            </w:r>
          </w:p>
        </w:tc>
      </w:tr>
      <w:tr w:rsidR="007D2872" w:rsidRPr="00CC3BA7" w14:paraId="78A2A4B3" w14:textId="77777777" w:rsidTr="00B16CE7">
        <w:tc>
          <w:tcPr>
            <w:tcW w:w="2977" w:type="dxa"/>
          </w:tcPr>
          <w:p w14:paraId="1FE35AC0" w14:textId="77777777" w:rsidR="007D2872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C5: Different methods of recruitment (e.g., oral, mail, e-mail, telephone)</w:t>
            </w:r>
          </w:p>
          <w:p w14:paraId="68DAB425" w14:textId="79572996" w:rsidR="00CC3BA7" w:rsidRPr="00CC3BA7" w:rsidRDefault="00CC3BA7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14:paraId="293DE89A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Matsuguma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(2019): “Oral informed consent was obtained from all participants.” </w:t>
            </w:r>
          </w:p>
        </w:tc>
        <w:tc>
          <w:tcPr>
            <w:tcW w:w="5245" w:type="dxa"/>
          </w:tcPr>
          <w:p w14:paraId="47112AC5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C3BA7">
              <w:rPr>
                <w:rFonts w:ascii="Arial" w:hAnsi="Arial" w:cs="Arial"/>
                <w:sz w:val="18"/>
                <w:szCs w:val="18"/>
              </w:rPr>
              <w:t>VI (</w:t>
            </w:r>
            <w:r w:rsidRPr="006C464C">
              <w:rPr>
                <w:rFonts w:ascii="Arial" w:hAnsi="Arial" w:cs="Arial"/>
                <w:i/>
                <w:iCs/>
                <w:sz w:val="18"/>
                <w:szCs w:val="18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</w:rPr>
              <w:t xml:space="preserve"> 14): </w:t>
            </w:r>
            <w:r w:rsidRPr="006C464C">
              <w:rPr>
                <w:rFonts w:ascii="Arial" w:hAnsi="Arial" w:cs="Arial"/>
                <w:i/>
                <w:iCs/>
                <w:sz w:val="18"/>
                <w:szCs w:val="18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</w:rPr>
              <w:t xml:space="preserve"> 4; 29% (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</w:rPr>
              <w:t>Deemer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</w:rPr>
              <w:t xml:space="preserve"> et al., 2017; 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</w:rPr>
              <w:t>Matsuguma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</w:rPr>
              <w:t xml:space="preserve"> et al., 2019; van der Aa et al., 2015; van der Aa et al., 2017)</w:t>
            </w:r>
          </w:p>
        </w:tc>
      </w:tr>
      <w:tr w:rsidR="007D2872" w:rsidRPr="002B4946" w14:paraId="2D3CC49F" w14:textId="77777777" w:rsidTr="00B16CE7">
        <w:trPr>
          <w:trHeight w:val="1392"/>
        </w:trPr>
        <w:tc>
          <w:tcPr>
            <w:tcW w:w="2977" w:type="dxa"/>
          </w:tcPr>
          <w:p w14:paraId="12955EC4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C6: In-home interventions </w:t>
            </w:r>
          </w:p>
        </w:tc>
        <w:tc>
          <w:tcPr>
            <w:tcW w:w="5245" w:type="dxa"/>
          </w:tcPr>
          <w:p w14:paraId="076142DF" w14:textId="77777777" w:rsidR="007D2872" w:rsidRPr="00CC3BA7" w:rsidRDefault="007D2872" w:rsidP="00CC3BA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Garnefski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&amp; 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Kraaij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(2012): “Respondents who were allocated to the CBS condition received the self-help program at home by regular mail.” </w:t>
            </w:r>
          </w:p>
        </w:tc>
        <w:tc>
          <w:tcPr>
            <w:tcW w:w="5245" w:type="dxa"/>
          </w:tcPr>
          <w:p w14:paraId="394F2B4C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HI or VI (</w:t>
            </w:r>
            <w:r w:rsidRPr="006C464C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16): </w:t>
            </w:r>
            <w:r w:rsidRPr="006C464C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6; 38% (Deemer et al., 2017; 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Garnefski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&amp; 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Kraaij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, 2012; Girdler et al., 2010; Rovner et al., 2014; van der Aa et al., 2015; van der Aa et al., 2017)</w:t>
            </w:r>
          </w:p>
        </w:tc>
      </w:tr>
      <w:tr w:rsidR="007D2872" w:rsidRPr="00CC3BA7" w14:paraId="08E7FD0B" w14:textId="77777777" w:rsidTr="00B16CE7">
        <w:tc>
          <w:tcPr>
            <w:tcW w:w="2977" w:type="dxa"/>
          </w:tcPr>
          <w:p w14:paraId="0ABB633A" w14:textId="234EB96B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C7: Face</w:t>
            </w:r>
            <w:r w:rsidR="00CC3BA7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to</w:t>
            </w:r>
            <w:r w:rsidR="00CC3BA7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face interviews </w:t>
            </w:r>
          </w:p>
        </w:tc>
        <w:tc>
          <w:tcPr>
            <w:tcW w:w="5245" w:type="dxa"/>
          </w:tcPr>
          <w:p w14:paraId="51DA4E5C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Girdler et al. (2010): “Face-to-face structured interviews (including oral administration of questionnaires) were administered in participants’ homes.” </w:t>
            </w:r>
          </w:p>
        </w:tc>
        <w:tc>
          <w:tcPr>
            <w:tcW w:w="5245" w:type="dxa"/>
          </w:tcPr>
          <w:p w14:paraId="3EFCF24B" w14:textId="77777777" w:rsidR="007D2872" w:rsidRPr="00CC3BA7" w:rsidRDefault="007D2872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C3BA7">
              <w:rPr>
                <w:rFonts w:ascii="Arial" w:hAnsi="Arial" w:cs="Arial"/>
                <w:sz w:val="18"/>
                <w:szCs w:val="18"/>
              </w:rPr>
              <w:t>VI (</w:t>
            </w:r>
            <w:r w:rsidRPr="006C464C">
              <w:rPr>
                <w:rFonts w:ascii="Arial" w:hAnsi="Arial" w:cs="Arial"/>
                <w:i/>
                <w:iCs/>
                <w:sz w:val="18"/>
                <w:szCs w:val="18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</w:rPr>
              <w:t xml:space="preserve"> 14): </w:t>
            </w:r>
            <w:r w:rsidRPr="006C464C">
              <w:rPr>
                <w:rFonts w:ascii="Arial" w:hAnsi="Arial" w:cs="Arial"/>
                <w:i/>
                <w:iCs/>
                <w:sz w:val="18"/>
                <w:szCs w:val="18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</w:rPr>
              <w:t xml:space="preserve"> 6; 43% (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</w:rPr>
              <w:t>Girdler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</w:rPr>
              <w:t xml:space="preserve"> et al., 2010; 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</w:rPr>
              <w:t>Matsuguma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</w:rPr>
              <w:t xml:space="preserve"> et al., 2019; Rees et al., 2015; 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</w:rPr>
              <w:t>Rovner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</w:rPr>
              <w:t xml:space="preserve"> et al., 2013; van der Aa et al., 2015; van der Aa et al., 2017)</w:t>
            </w:r>
          </w:p>
        </w:tc>
      </w:tr>
      <w:tr w:rsidR="00B16CE7" w:rsidRPr="002B4946" w14:paraId="1F751B70" w14:textId="77777777" w:rsidTr="00B16CE7">
        <w:tc>
          <w:tcPr>
            <w:tcW w:w="2977" w:type="dxa"/>
            <w:tcBorders>
              <w:top w:val="single" w:sz="4" w:space="0" w:color="auto"/>
            </w:tcBorders>
          </w:tcPr>
          <w:p w14:paraId="2D6D5AED" w14:textId="1265E04E" w:rsidR="00B16CE7" w:rsidRPr="00CC3BA7" w:rsidRDefault="00040731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C8: Communication </w:t>
            </w:r>
            <w:r w:rsidR="00E860A0">
              <w:rPr>
                <w:rFonts w:ascii="Arial" w:hAnsi="Arial" w:cs="Arial"/>
                <w:sz w:val="18"/>
                <w:szCs w:val="18"/>
                <w:lang w:val="en-US"/>
              </w:rPr>
              <w:t>by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mail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04BE357D" w14:textId="2A08202B" w:rsid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>Jansson-</w:t>
            </w:r>
            <w:proofErr w:type="spellStart"/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>Fröjmark</w:t>
            </w:r>
            <w:proofErr w:type="spellEnd"/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et al. </w:t>
            </w:r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>(2012): “At three time points (pre-treatment, post-treatment, and 3-month follow-up), the participants were sent the questionnaires and a weekly sleep diary by mail.”</w:t>
            </w:r>
          </w:p>
          <w:p w14:paraId="3337DA62" w14:textId="1C6C607C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00C1A21E" w14:textId="35048224" w:rsidR="00B16CE7" w:rsidRPr="00CC3BA7" w:rsidRDefault="00040731" w:rsidP="00CC3BA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>HI (</w:t>
            </w:r>
            <w:r w:rsidRPr="00040731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</w:t>
            </w:r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 xml:space="preserve"> = 2): </w:t>
            </w:r>
            <w:r w:rsidRPr="00040731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</w:t>
            </w:r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 xml:space="preserve"> = 2; 100% (</w:t>
            </w:r>
            <w:proofErr w:type="spellStart"/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>Garnefski</w:t>
            </w:r>
            <w:proofErr w:type="spellEnd"/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 xml:space="preserve"> &amp; </w:t>
            </w:r>
            <w:proofErr w:type="spellStart"/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>Kraaij</w:t>
            </w:r>
            <w:proofErr w:type="spellEnd"/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>, 2012; Jansson-</w:t>
            </w:r>
            <w:proofErr w:type="spellStart"/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>Fröjmark</w:t>
            </w:r>
            <w:proofErr w:type="spellEnd"/>
            <w:r w:rsidRPr="00040731">
              <w:rPr>
                <w:rFonts w:ascii="Arial" w:hAnsi="Arial" w:cs="Arial"/>
                <w:sz w:val="18"/>
                <w:szCs w:val="18"/>
                <w:lang w:val="en-US"/>
              </w:rPr>
              <w:t>, et al. 2012)</w:t>
            </w:r>
          </w:p>
        </w:tc>
      </w:tr>
      <w:tr w:rsidR="00040731" w:rsidRPr="002B4946" w14:paraId="765E3085" w14:textId="77777777" w:rsidTr="00A5734F">
        <w:tc>
          <w:tcPr>
            <w:tcW w:w="2977" w:type="dxa"/>
          </w:tcPr>
          <w:p w14:paraId="6AAA568D" w14:textId="6AE1AA30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C9: Arranged transport </w:t>
            </w:r>
          </w:p>
        </w:tc>
        <w:tc>
          <w:tcPr>
            <w:tcW w:w="5245" w:type="dxa"/>
          </w:tcPr>
          <w:p w14:paraId="6E4ADAC3" w14:textId="77777777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Rees et al. (2015): “The sessions</w:t>
            </w:r>
          </w:p>
          <w:p w14:paraId="48B75743" w14:textId="77777777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were held at urban rehabilitation cente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s, and transport for participants arranged (when requested) and provided free of cost.”</w:t>
            </w:r>
          </w:p>
          <w:p w14:paraId="23C753C7" w14:textId="37495E9C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14:paraId="30E5AE58" w14:textId="3C9B78E3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VI (</w:t>
            </w:r>
            <w:r w:rsidRPr="00950C9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= 14): </w:t>
            </w:r>
            <w:r w:rsidRPr="00950C9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= 1; 7% (Rees et al., (2015)</w:t>
            </w:r>
          </w:p>
        </w:tc>
      </w:tr>
      <w:tr w:rsidR="00040731" w:rsidRPr="002B4946" w14:paraId="0CB3E434" w14:textId="77777777" w:rsidTr="00A5734F">
        <w:tc>
          <w:tcPr>
            <w:tcW w:w="2977" w:type="dxa"/>
          </w:tcPr>
          <w:p w14:paraId="16785442" w14:textId="0C279B31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" w:name="_Hlk126344028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C10: Accompan</w:t>
            </w:r>
            <w:r w:rsidR="002B4946">
              <w:rPr>
                <w:rFonts w:ascii="Arial" w:hAnsi="Arial" w:cs="Arial"/>
                <w:sz w:val="18"/>
                <w:szCs w:val="18"/>
                <w:lang w:val="en-US"/>
              </w:rPr>
              <w:t>iment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of participants</w:t>
            </w:r>
          </w:p>
        </w:tc>
        <w:tc>
          <w:tcPr>
            <w:tcW w:w="5245" w:type="dxa"/>
          </w:tcPr>
          <w:p w14:paraId="5B03C1A2" w14:textId="77777777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Rees et al. (2015): “Participants were given the option to have a relative, friend or other caregiver accompany them to the program in order to provide support and assistance and to encourage sustainability of learning.”</w:t>
            </w:r>
          </w:p>
          <w:p w14:paraId="214517DC" w14:textId="09657B9D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14:paraId="72B10904" w14:textId="3A285D76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VI (</w:t>
            </w:r>
            <w:r w:rsidRPr="00950C9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14): </w:t>
            </w:r>
            <w:r w:rsidRPr="00950C9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1; 7% (Rees et al., (2015)</w:t>
            </w:r>
          </w:p>
        </w:tc>
      </w:tr>
      <w:bookmarkEnd w:id="1"/>
      <w:tr w:rsidR="00040731" w:rsidRPr="002B4946" w14:paraId="348D3F5D" w14:textId="77777777" w:rsidTr="00A5734F">
        <w:tc>
          <w:tcPr>
            <w:tcW w:w="2977" w:type="dxa"/>
          </w:tcPr>
          <w:p w14:paraId="6C465B35" w14:textId="5359A4E4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C11: Different types of therapy materials (e.g., written, digital, audio, Braille)</w:t>
            </w:r>
          </w:p>
        </w:tc>
        <w:tc>
          <w:tcPr>
            <w:tcW w:w="5245" w:type="dxa"/>
          </w:tcPr>
          <w:p w14:paraId="31179812" w14:textId="77777777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</w:rPr>
              <w:t xml:space="preserve">Van der Aa et al. 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(2015): ” Specific attention was also given to the manner in which the program was offered (for example, audio and Braille version of written documents).”</w:t>
            </w:r>
          </w:p>
          <w:p w14:paraId="6225E28F" w14:textId="6C47B6E5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14:paraId="62716DC6" w14:textId="7131AAD3" w:rsidR="00040731" w:rsidRPr="00D66015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HI or VI (</w:t>
            </w:r>
            <w:r w:rsidRPr="00950C9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16): </w:t>
            </w:r>
            <w:r w:rsidRPr="00950C9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6; 38% (Brody et al., 2002; 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Garnefski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&amp; 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Kraaij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, 2012; Jansson-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Fröjmark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et al., 2012; Tay et al., 2019; van der Aa et al., 2015; van der Aa et al., 2017)</w:t>
            </w:r>
          </w:p>
        </w:tc>
      </w:tr>
      <w:tr w:rsidR="00040731" w:rsidRPr="00CC3BA7" w14:paraId="220A973C" w14:textId="77777777" w:rsidTr="00A5734F">
        <w:tc>
          <w:tcPr>
            <w:tcW w:w="2977" w:type="dxa"/>
          </w:tcPr>
          <w:p w14:paraId="71F07CC5" w14:textId="50B795E1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C12: Phone-interviews </w:t>
            </w:r>
          </w:p>
        </w:tc>
        <w:tc>
          <w:tcPr>
            <w:tcW w:w="5245" w:type="dxa"/>
          </w:tcPr>
          <w:p w14:paraId="2DFDBEDE" w14:textId="77777777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Wahl et al. (2006): “All the assessments in the study were performed as telephone interviews by trained research assistants who were not informed about the research status of those they interviewed.”</w:t>
            </w:r>
          </w:p>
          <w:p w14:paraId="31EF9345" w14:textId="77777777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</w:tcPr>
          <w:p w14:paraId="4EF181BA" w14:textId="7A90143A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C3BA7">
              <w:rPr>
                <w:rFonts w:ascii="Arial" w:hAnsi="Arial" w:cs="Arial"/>
                <w:sz w:val="18"/>
                <w:szCs w:val="18"/>
              </w:rPr>
              <w:t>VI (</w:t>
            </w:r>
            <w:r w:rsidRPr="00950C99">
              <w:rPr>
                <w:rFonts w:ascii="Arial" w:hAnsi="Arial" w:cs="Arial"/>
                <w:i/>
                <w:iCs/>
                <w:sz w:val="18"/>
                <w:szCs w:val="18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</w:rPr>
              <w:t xml:space="preserve"> 14): </w:t>
            </w:r>
            <w:r w:rsidRPr="00950C99">
              <w:rPr>
                <w:rFonts w:ascii="Arial" w:hAnsi="Arial" w:cs="Arial"/>
                <w:i/>
                <w:iCs/>
                <w:sz w:val="18"/>
                <w:szCs w:val="18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</w:rPr>
              <w:t xml:space="preserve"> 3; 21% (van der Aa et al., 2015; van der Aa et al., 2017; Wahl et al., 2006)</w:t>
            </w:r>
          </w:p>
        </w:tc>
      </w:tr>
      <w:tr w:rsidR="00040731" w:rsidRPr="00CC3BA7" w14:paraId="4559A61E" w14:textId="77777777" w:rsidTr="00A5734F">
        <w:tc>
          <w:tcPr>
            <w:tcW w:w="2977" w:type="dxa"/>
            <w:tcBorders>
              <w:bottom w:val="single" w:sz="4" w:space="0" w:color="auto"/>
            </w:tcBorders>
          </w:tcPr>
          <w:p w14:paraId="29C4A4FC" w14:textId="77777777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2" w:name="_Hlk126344289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C13: Repetition of content and additional information</w:t>
            </w:r>
            <w:bookmarkEnd w:id="2"/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77FA14FC" w14:textId="18FE9E69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Jansson-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Fröjmark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(2012): “Receipt was attained by (a) asking the patient at the end of each session to describe the treatment components for that session and the therapist supplying additional information if a component was not described in a full manner…”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00405A7" w14:textId="77777777" w:rsidR="00040731" w:rsidRPr="00CC3BA7" w:rsidRDefault="00040731" w:rsidP="0004073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HI (</w:t>
            </w:r>
            <w:r w:rsidRPr="00950C9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2): </w:t>
            </w:r>
            <w:r w:rsidRPr="00950C9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 =</w:t>
            </w:r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1; 50% (Jansson-</w:t>
            </w:r>
            <w:proofErr w:type="spellStart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>Fröjmark</w:t>
            </w:r>
            <w:proofErr w:type="spellEnd"/>
            <w:r w:rsidRPr="00CC3BA7">
              <w:rPr>
                <w:rFonts w:ascii="Arial" w:hAnsi="Arial" w:cs="Arial"/>
                <w:sz w:val="18"/>
                <w:szCs w:val="18"/>
                <w:lang w:val="en-US"/>
              </w:rPr>
              <w:t xml:space="preserve"> et al., 2012)</w:t>
            </w:r>
          </w:p>
        </w:tc>
      </w:tr>
    </w:tbl>
    <w:p w14:paraId="1B46AD8F" w14:textId="77777777" w:rsidR="007D2872" w:rsidRPr="00CC3BA7" w:rsidRDefault="007D2872" w:rsidP="00CC3BA7">
      <w:pPr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p w14:paraId="229A4144" w14:textId="77777777" w:rsidR="0086359F" w:rsidRPr="00CC3BA7" w:rsidRDefault="0086359F" w:rsidP="00CC3BA7">
      <w:pPr>
        <w:spacing w:line="276" w:lineRule="auto"/>
        <w:rPr>
          <w:rFonts w:ascii="Arial" w:hAnsi="Arial" w:cs="Arial"/>
          <w:sz w:val="18"/>
          <w:szCs w:val="18"/>
        </w:rPr>
      </w:pPr>
    </w:p>
    <w:sectPr w:rsidR="0086359F" w:rsidRPr="00CC3BA7" w:rsidSect="00410B8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72"/>
    <w:rsid w:val="00040731"/>
    <w:rsid w:val="001C345F"/>
    <w:rsid w:val="002B4946"/>
    <w:rsid w:val="00377FE0"/>
    <w:rsid w:val="00410B88"/>
    <w:rsid w:val="00475208"/>
    <w:rsid w:val="004F0215"/>
    <w:rsid w:val="006066F6"/>
    <w:rsid w:val="006C464C"/>
    <w:rsid w:val="007116DA"/>
    <w:rsid w:val="00754C7B"/>
    <w:rsid w:val="007D2872"/>
    <w:rsid w:val="0086359F"/>
    <w:rsid w:val="00950C99"/>
    <w:rsid w:val="00A904EB"/>
    <w:rsid w:val="00B16CE7"/>
    <w:rsid w:val="00CC3BA7"/>
    <w:rsid w:val="00D13F07"/>
    <w:rsid w:val="00D66015"/>
    <w:rsid w:val="00DD4DDA"/>
    <w:rsid w:val="00E8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55428"/>
  <w15:chartTrackingRefBased/>
  <w15:docId w15:val="{81838723-D2F2-459C-BF42-AEABFC49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D2872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D287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D4D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D4DD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D4DDA"/>
    <w:rPr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D4DD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D4DDA"/>
    <w:rPr>
      <w:b/>
      <w:bCs/>
      <w:kern w:val="0"/>
      <w:sz w:val="20"/>
      <w:szCs w:val="20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5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520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</dc:creator>
  <cp:keywords/>
  <dc:description/>
  <cp:lastModifiedBy>Bastian Hardt</cp:lastModifiedBy>
  <cp:revision>3</cp:revision>
  <dcterms:created xsi:type="dcterms:W3CDTF">2024-02-06T14:50:00Z</dcterms:created>
  <dcterms:modified xsi:type="dcterms:W3CDTF">2024-02-18T16:24:00Z</dcterms:modified>
</cp:coreProperties>
</file>