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410" w:rsidRPr="001456FF" w:rsidRDefault="00E30410" w:rsidP="00E30410">
      <w:pPr>
        <w:spacing w:line="480" w:lineRule="auto"/>
        <w:rPr>
          <w:rFonts w:eastAsiaTheme="minorHAnsi"/>
        </w:rPr>
      </w:pPr>
      <w:bookmarkStart w:id="0" w:name="_GoBack"/>
      <w:bookmarkEnd w:id="0"/>
      <w:r w:rsidRPr="001456FF">
        <w:rPr>
          <w:rFonts w:eastAsiaTheme="minorHAnsi"/>
          <w:b/>
        </w:rPr>
        <w:t>Supplement A</w:t>
      </w:r>
    </w:p>
    <w:p w:rsidR="00E30410" w:rsidRPr="00E613D4" w:rsidRDefault="00E30410" w:rsidP="00E30410">
      <w:pPr>
        <w:spacing w:line="480" w:lineRule="auto"/>
        <w:rPr>
          <w:rFonts w:eastAsiaTheme="minorHAnsi"/>
          <w:i/>
        </w:rPr>
      </w:pPr>
      <w:r w:rsidRPr="00E613D4">
        <w:rPr>
          <w:rFonts w:eastAsiaTheme="minorHAnsi"/>
          <w:i/>
        </w:rPr>
        <w:t>Teen Symposium Program Components, Motivational Interviewing Strategies, and Examples</w:t>
      </w:r>
    </w:p>
    <w:tbl>
      <w:tblPr>
        <w:tblStyle w:val="TableGrid1"/>
        <w:tblW w:w="12955" w:type="dxa"/>
        <w:tblLook w:val="04A0" w:firstRow="1" w:lastRow="0" w:firstColumn="1" w:lastColumn="0" w:noHBand="0" w:noVBand="1"/>
      </w:tblPr>
      <w:tblGrid>
        <w:gridCol w:w="2155"/>
        <w:gridCol w:w="2160"/>
        <w:gridCol w:w="8640"/>
      </w:tblGrid>
      <w:tr w:rsidR="00E30410" w:rsidRPr="001456FF" w:rsidTr="00E613D4">
        <w:tc>
          <w:tcPr>
            <w:tcW w:w="2155" w:type="dxa"/>
            <w:tcBorders>
              <w:left w:val="nil"/>
              <w:bottom w:val="single" w:sz="4" w:space="0" w:color="auto"/>
              <w:right w:val="nil"/>
            </w:tcBorders>
          </w:tcPr>
          <w:p w:rsidR="00E30410" w:rsidRPr="001456FF" w:rsidRDefault="00E30410" w:rsidP="00E613D4">
            <w:pPr>
              <w:spacing w:line="480" w:lineRule="auto"/>
              <w:jc w:val="center"/>
            </w:pPr>
            <w:r w:rsidRPr="001456FF">
              <w:t>Program Component</w:t>
            </w:r>
          </w:p>
        </w:tc>
        <w:tc>
          <w:tcPr>
            <w:tcW w:w="2160" w:type="dxa"/>
            <w:tcBorders>
              <w:left w:val="nil"/>
              <w:bottom w:val="single" w:sz="4" w:space="0" w:color="auto"/>
              <w:right w:val="nil"/>
            </w:tcBorders>
          </w:tcPr>
          <w:p w:rsidR="00E30410" w:rsidRPr="000B6082" w:rsidRDefault="00E30410" w:rsidP="00E613D4">
            <w:pPr>
              <w:spacing w:line="480" w:lineRule="auto"/>
              <w:jc w:val="center"/>
            </w:pPr>
            <w:r w:rsidRPr="000B6082">
              <w:t>MI Strategy(s)</w:t>
            </w:r>
          </w:p>
        </w:tc>
        <w:tc>
          <w:tcPr>
            <w:tcW w:w="8640" w:type="dxa"/>
            <w:tcBorders>
              <w:left w:val="nil"/>
              <w:bottom w:val="single" w:sz="4" w:space="0" w:color="auto"/>
              <w:right w:val="nil"/>
            </w:tcBorders>
          </w:tcPr>
          <w:p w:rsidR="00E30410" w:rsidRPr="000B6082" w:rsidRDefault="00E30410" w:rsidP="00E613D4">
            <w:pPr>
              <w:spacing w:line="480" w:lineRule="auto"/>
              <w:jc w:val="center"/>
            </w:pPr>
            <w:r w:rsidRPr="000B6082">
              <w:t>Example(s)</w:t>
            </w:r>
          </w:p>
        </w:tc>
      </w:tr>
      <w:tr w:rsidR="00E30410" w:rsidRPr="001456FF" w:rsidTr="00E613D4">
        <w:trPr>
          <w:trHeight w:val="2564"/>
        </w:trPr>
        <w:tc>
          <w:tcPr>
            <w:tcW w:w="2155" w:type="dxa"/>
            <w:tcBorders>
              <w:left w:val="nil"/>
              <w:bottom w:val="nil"/>
              <w:right w:val="nil"/>
            </w:tcBorders>
          </w:tcPr>
          <w:p w:rsidR="00E30410" w:rsidRPr="001456FF" w:rsidRDefault="00E30410" w:rsidP="00E613D4">
            <w:pPr>
              <w:spacing w:line="480" w:lineRule="auto"/>
            </w:pPr>
            <w:r w:rsidRPr="001456FF">
              <w:t>Mini-presentations</w:t>
            </w:r>
          </w:p>
        </w:tc>
        <w:tc>
          <w:tcPr>
            <w:tcW w:w="2160" w:type="dxa"/>
            <w:tcBorders>
              <w:left w:val="nil"/>
              <w:bottom w:val="nil"/>
              <w:right w:val="nil"/>
            </w:tcBorders>
          </w:tcPr>
          <w:p w:rsidR="00E30410" w:rsidRPr="001456FF" w:rsidRDefault="00E30410" w:rsidP="00E30410">
            <w:pPr>
              <w:numPr>
                <w:ilvl w:val="0"/>
                <w:numId w:val="1"/>
              </w:numPr>
              <w:spacing w:line="480" w:lineRule="auto"/>
              <w:ind w:left="148" w:hanging="180"/>
            </w:pPr>
            <w:r w:rsidRPr="001456FF">
              <w:t>Fostering empathy</w:t>
            </w:r>
          </w:p>
          <w:p w:rsidR="00E30410" w:rsidRPr="001456FF" w:rsidRDefault="00E30410" w:rsidP="00E30410">
            <w:pPr>
              <w:numPr>
                <w:ilvl w:val="0"/>
                <w:numId w:val="1"/>
              </w:numPr>
              <w:spacing w:line="480" w:lineRule="auto"/>
              <w:ind w:left="148" w:hanging="180"/>
            </w:pPr>
            <w:r w:rsidRPr="001456FF">
              <w:t>Developing discrepancies</w:t>
            </w:r>
          </w:p>
        </w:tc>
        <w:tc>
          <w:tcPr>
            <w:tcW w:w="8640" w:type="dxa"/>
            <w:tcBorders>
              <w:left w:val="nil"/>
              <w:bottom w:val="nil"/>
              <w:right w:val="nil"/>
            </w:tcBorders>
          </w:tcPr>
          <w:p w:rsidR="00E30410" w:rsidRPr="001456FF" w:rsidRDefault="00E30410" w:rsidP="00E30410">
            <w:pPr>
              <w:numPr>
                <w:ilvl w:val="0"/>
                <w:numId w:val="1"/>
              </w:numPr>
              <w:spacing w:line="480" w:lineRule="auto"/>
              <w:ind w:left="341" w:hanging="180"/>
            </w:pPr>
            <w:r w:rsidRPr="001456FF">
              <w:t xml:space="preserve">The </w:t>
            </w:r>
            <w:r w:rsidRPr="001456FF">
              <w:rPr>
                <w:i/>
              </w:rPr>
              <w:t>Thriving at School</w:t>
            </w:r>
            <w:r w:rsidRPr="001456FF">
              <w:t xml:space="preserve"> mini-presentation informed adolescents about their educational rights (i.e., 504 plan or IEP), reviewed vocational planning, and discussed ways to advocate for health and educational needs at school. This presentation raised awareness of patients who may have been under-utilizing or unaware of school intervention services offered in clinic. </w:t>
            </w:r>
          </w:p>
          <w:p w:rsidR="00E30410" w:rsidRPr="001456FF" w:rsidRDefault="00E30410" w:rsidP="00E30410">
            <w:pPr>
              <w:numPr>
                <w:ilvl w:val="0"/>
                <w:numId w:val="1"/>
              </w:numPr>
              <w:spacing w:line="480" w:lineRule="auto"/>
              <w:ind w:left="341" w:hanging="180"/>
            </w:pPr>
            <w:proofErr w:type="gramStart"/>
            <w:r w:rsidRPr="001456FF">
              <w:t xml:space="preserve">The </w:t>
            </w:r>
            <w:r w:rsidRPr="001456FF">
              <w:rPr>
                <w:i/>
              </w:rPr>
              <w:t>Living with Sickle Cell: Views from an Adult Patient</w:t>
            </w:r>
            <w:r w:rsidRPr="001456FF">
              <w:t xml:space="preserve"> mini-presentation given by a post-transition young adult.</w:t>
            </w:r>
            <w:proofErr w:type="gramEnd"/>
            <w:r w:rsidRPr="001456FF">
              <w:t xml:space="preserve"> This presentation </w:t>
            </w:r>
            <w:proofErr w:type="gramStart"/>
            <w:r w:rsidRPr="001456FF">
              <w:t>was designed</w:t>
            </w:r>
            <w:proofErr w:type="gramEnd"/>
            <w:r w:rsidRPr="001456FF">
              <w:t xml:space="preserve"> to empower AYA with SCD to take a more active role in their healthcare and included information about the healthcare transition process and lessons learned.</w:t>
            </w:r>
          </w:p>
        </w:tc>
      </w:tr>
      <w:tr w:rsidR="00E30410" w:rsidRPr="001456FF" w:rsidTr="00E613D4">
        <w:trPr>
          <w:trHeight w:val="954"/>
        </w:trPr>
        <w:tc>
          <w:tcPr>
            <w:tcW w:w="2155" w:type="dxa"/>
            <w:tcBorders>
              <w:top w:val="nil"/>
              <w:left w:val="nil"/>
              <w:bottom w:val="nil"/>
              <w:right w:val="nil"/>
            </w:tcBorders>
          </w:tcPr>
          <w:p w:rsidR="00E30410" w:rsidRPr="001456FF" w:rsidRDefault="00E30410" w:rsidP="00E613D4">
            <w:pPr>
              <w:spacing w:line="480" w:lineRule="auto"/>
            </w:pPr>
            <w:r w:rsidRPr="001456FF">
              <w:t>Educational games</w:t>
            </w:r>
          </w:p>
        </w:tc>
        <w:tc>
          <w:tcPr>
            <w:tcW w:w="2160" w:type="dxa"/>
            <w:tcBorders>
              <w:top w:val="nil"/>
              <w:left w:val="nil"/>
              <w:bottom w:val="nil"/>
              <w:right w:val="nil"/>
            </w:tcBorders>
          </w:tcPr>
          <w:p w:rsidR="00E30410" w:rsidRPr="001456FF" w:rsidRDefault="00E30410" w:rsidP="00E30410">
            <w:pPr>
              <w:numPr>
                <w:ilvl w:val="0"/>
                <w:numId w:val="2"/>
              </w:numPr>
              <w:spacing w:line="480" w:lineRule="auto"/>
              <w:ind w:left="148" w:hanging="180"/>
            </w:pPr>
            <w:r w:rsidRPr="001456FF">
              <w:t>Self-efficacy</w:t>
            </w:r>
          </w:p>
          <w:p w:rsidR="00E30410" w:rsidRPr="001456FF" w:rsidRDefault="00E30410" w:rsidP="00E30410">
            <w:pPr>
              <w:numPr>
                <w:ilvl w:val="0"/>
                <w:numId w:val="2"/>
              </w:numPr>
              <w:spacing w:line="480" w:lineRule="auto"/>
              <w:ind w:left="148" w:hanging="180"/>
            </w:pPr>
            <w:r w:rsidRPr="001456FF">
              <w:t>Developing discrepancies</w:t>
            </w:r>
          </w:p>
        </w:tc>
        <w:tc>
          <w:tcPr>
            <w:tcW w:w="8640" w:type="dxa"/>
            <w:tcBorders>
              <w:top w:val="nil"/>
              <w:left w:val="nil"/>
              <w:bottom w:val="nil"/>
              <w:right w:val="nil"/>
            </w:tcBorders>
          </w:tcPr>
          <w:p w:rsidR="00E30410" w:rsidRPr="001456FF" w:rsidRDefault="00E30410" w:rsidP="00E30410">
            <w:pPr>
              <w:numPr>
                <w:ilvl w:val="0"/>
                <w:numId w:val="2"/>
              </w:numPr>
              <w:spacing w:line="480" w:lineRule="auto"/>
              <w:ind w:left="341" w:hanging="180"/>
            </w:pPr>
            <w:r w:rsidRPr="001456FF">
              <w:t>Educational activities ranged from team-based games (e.g., SCD Knowledge Bowl), to individual activities (e.g., SCD memory matching game, SCD bingo, SCD word search, SCD word scramble).</w:t>
            </w:r>
          </w:p>
        </w:tc>
      </w:tr>
      <w:tr w:rsidR="00E30410" w:rsidRPr="001456FF" w:rsidTr="00E613D4">
        <w:trPr>
          <w:trHeight w:val="3456"/>
        </w:trPr>
        <w:tc>
          <w:tcPr>
            <w:tcW w:w="2155" w:type="dxa"/>
            <w:tcBorders>
              <w:top w:val="nil"/>
              <w:left w:val="nil"/>
              <w:bottom w:val="nil"/>
              <w:right w:val="nil"/>
            </w:tcBorders>
          </w:tcPr>
          <w:p w:rsidR="00E30410" w:rsidRPr="001456FF" w:rsidRDefault="00E30410" w:rsidP="00E613D4">
            <w:pPr>
              <w:spacing w:line="480" w:lineRule="auto"/>
            </w:pPr>
            <w:r w:rsidRPr="001456FF">
              <w:lastRenderedPageBreak/>
              <w:t>Fun Activity</w:t>
            </w:r>
          </w:p>
        </w:tc>
        <w:tc>
          <w:tcPr>
            <w:tcW w:w="2160" w:type="dxa"/>
            <w:tcBorders>
              <w:top w:val="nil"/>
              <w:left w:val="nil"/>
              <w:bottom w:val="nil"/>
              <w:right w:val="nil"/>
            </w:tcBorders>
          </w:tcPr>
          <w:p w:rsidR="00E30410" w:rsidRPr="001456FF" w:rsidRDefault="00E30410" w:rsidP="00E30410">
            <w:pPr>
              <w:numPr>
                <w:ilvl w:val="0"/>
                <w:numId w:val="2"/>
              </w:numPr>
              <w:spacing w:line="480" w:lineRule="auto"/>
              <w:ind w:left="148" w:hanging="180"/>
            </w:pPr>
            <w:r w:rsidRPr="001456FF">
              <w:t>Rolling with resistance</w:t>
            </w:r>
          </w:p>
          <w:p w:rsidR="00E30410" w:rsidRPr="001456FF" w:rsidRDefault="00E30410" w:rsidP="00E30410">
            <w:pPr>
              <w:numPr>
                <w:ilvl w:val="0"/>
                <w:numId w:val="2"/>
              </w:numPr>
              <w:spacing w:line="480" w:lineRule="auto"/>
              <w:ind w:left="148" w:hanging="180"/>
            </w:pPr>
            <w:r w:rsidRPr="001456FF">
              <w:t>Decreasing ambivalence</w:t>
            </w:r>
          </w:p>
        </w:tc>
        <w:tc>
          <w:tcPr>
            <w:tcW w:w="8640" w:type="dxa"/>
            <w:tcBorders>
              <w:top w:val="nil"/>
              <w:left w:val="nil"/>
              <w:bottom w:val="nil"/>
              <w:right w:val="nil"/>
            </w:tcBorders>
          </w:tcPr>
          <w:p w:rsidR="00E30410" w:rsidRPr="001456FF" w:rsidRDefault="00E30410" w:rsidP="00E30410">
            <w:pPr>
              <w:numPr>
                <w:ilvl w:val="0"/>
                <w:numId w:val="2"/>
              </w:numPr>
              <w:spacing w:line="480" w:lineRule="auto"/>
              <w:ind w:left="341" w:hanging="180"/>
            </w:pPr>
            <w:r w:rsidRPr="001456FF">
              <w:t xml:space="preserve">The SCD Game of Life required participants to move through different stations representing life events (e.g., school, SCD clinic, bank, work, shopping), while practicing daily living and decision-making skills such as budgeting money to make purchases, completing tasks at work to “earn a wage”, making healthy food choices at a café, and identifying questions to ask during a doctor’s appointment. </w:t>
            </w:r>
          </w:p>
          <w:p w:rsidR="00E30410" w:rsidRPr="001456FF" w:rsidRDefault="00E30410" w:rsidP="00E30410">
            <w:pPr>
              <w:numPr>
                <w:ilvl w:val="0"/>
                <w:numId w:val="2"/>
              </w:numPr>
              <w:spacing w:line="480" w:lineRule="auto"/>
              <w:ind w:left="341" w:hanging="180"/>
            </w:pPr>
            <w:r w:rsidRPr="001456FF">
              <w:t xml:space="preserve">The SCD Knowledge Bowl was a team-based game, adapted from the television gameshow, Jeopardy. Five SCD-related categories (SCD Knowledge, Iron Overload, Hydroxyurea, </w:t>
            </w:r>
            <w:proofErr w:type="spellStart"/>
            <w:r w:rsidRPr="001456FF">
              <w:t>Exjade</w:t>
            </w:r>
            <w:proofErr w:type="spellEnd"/>
            <w:r w:rsidRPr="001456FF">
              <w:t>, Blood Transfusion) were displayed on the projector screen, each with corresponding questions (e.g., How do you get sickle cell disease?; What is Hydroxyurea?; Name one major organ affected by iron overload). AYA elected a spokesperson for their team and worked together to select a question, provide an answer, and earn points.</w:t>
            </w:r>
          </w:p>
        </w:tc>
      </w:tr>
      <w:tr w:rsidR="00E30410" w:rsidRPr="001456FF" w:rsidTr="00E613D4">
        <w:tc>
          <w:tcPr>
            <w:tcW w:w="2155" w:type="dxa"/>
            <w:tcBorders>
              <w:top w:val="nil"/>
              <w:left w:val="nil"/>
              <w:bottom w:val="nil"/>
              <w:right w:val="nil"/>
            </w:tcBorders>
          </w:tcPr>
          <w:p w:rsidR="00E30410" w:rsidRPr="001456FF" w:rsidRDefault="00E30410" w:rsidP="00E613D4">
            <w:pPr>
              <w:spacing w:line="480" w:lineRule="auto"/>
            </w:pPr>
            <w:r w:rsidRPr="001456FF">
              <w:t>Research education</w:t>
            </w:r>
          </w:p>
        </w:tc>
        <w:tc>
          <w:tcPr>
            <w:tcW w:w="2160" w:type="dxa"/>
            <w:tcBorders>
              <w:top w:val="nil"/>
              <w:left w:val="nil"/>
              <w:bottom w:val="nil"/>
              <w:right w:val="nil"/>
            </w:tcBorders>
          </w:tcPr>
          <w:p w:rsidR="00E30410" w:rsidRPr="001456FF" w:rsidRDefault="00E30410" w:rsidP="00E30410">
            <w:pPr>
              <w:numPr>
                <w:ilvl w:val="0"/>
                <w:numId w:val="3"/>
              </w:numPr>
              <w:spacing w:line="480" w:lineRule="auto"/>
              <w:ind w:left="148" w:hanging="180"/>
            </w:pPr>
            <w:r w:rsidRPr="001456FF">
              <w:t>Self-efficacy (increasing knowledge)</w:t>
            </w:r>
          </w:p>
        </w:tc>
        <w:tc>
          <w:tcPr>
            <w:tcW w:w="8640" w:type="dxa"/>
            <w:tcBorders>
              <w:top w:val="nil"/>
              <w:left w:val="nil"/>
              <w:bottom w:val="nil"/>
              <w:right w:val="nil"/>
            </w:tcBorders>
          </w:tcPr>
          <w:p w:rsidR="00E30410" w:rsidRPr="001456FF" w:rsidRDefault="00E30410" w:rsidP="00E30410">
            <w:pPr>
              <w:numPr>
                <w:ilvl w:val="0"/>
                <w:numId w:val="3"/>
              </w:numPr>
              <w:spacing w:line="480" w:lineRule="auto"/>
              <w:ind w:left="341" w:hanging="270"/>
            </w:pPr>
            <w:r w:rsidRPr="001456FF">
              <w:t>Research faculty and staff gave presentations/discussed on gene therapy, clinical trials, and potential benefits and risks of research participation</w:t>
            </w:r>
          </w:p>
        </w:tc>
      </w:tr>
      <w:tr w:rsidR="00E30410" w:rsidRPr="001456FF" w:rsidTr="00E613D4">
        <w:trPr>
          <w:trHeight w:val="2070"/>
        </w:trPr>
        <w:tc>
          <w:tcPr>
            <w:tcW w:w="2155" w:type="dxa"/>
            <w:tcBorders>
              <w:top w:val="nil"/>
              <w:left w:val="nil"/>
              <w:bottom w:val="nil"/>
              <w:right w:val="nil"/>
            </w:tcBorders>
          </w:tcPr>
          <w:p w:rsidR="00E30410" w:rsidRPr="001456FF" w:rsidRDefault="00E30410" w:rsidP="00E613D4">
            <w:pPr>
              <w:spacing w:line="480" w:lineRule="auto"/>
            </w:pPr>
            <w:r w:rsidRPr="001456FF">
              <w:t xml:space="preserve">Research participation </w:t>
            </w:r>
            <w:r w:rsidRPr="001456FF">
              <w:rPr>
                <w:vertAlign w:val="superscript"/>
              </w:rPr>
              <w:t>a</w:t>
            </w:r>
          </w:p>
        </w:tc>
        <w:tc>
          <w:tcPr>
            <w:tcW w:w="2160" w:type="dxa"/>
            <w:tcBorders>
              <w:top w:val="nil"/>
              <w:left w:val="nil"/>
              <w:bottom w:val="nil"/>
              <w:right w:val="nil"/>
            </w:tcBorders>
          </w:tcPr>
          <w:p w:rsidR="00E30410" w:rsidRPr="001456FF" w:rsidRDefault="00E30410" w:rsidP="00E30410">
            <w:pPr>
              <w:numPr>
                <w:ilvl w:val="0"/>
                <w:numId w:val="3"/>
              </w:numPr>
              <w:spacing w:line="480" w:lineRule="auto"/>
              <w:ind w:left="148" w:hanging="180"/>
            </w:pPr>
            <w:r w:rsidRPr="001456FF">
              <w:t>Self-efficacy</w:t>
            </w:r>
          </w:p>
          <w:p w:rsidR="00E30410" w:rsidRPr="001456FF" w:rsidRDefault="00E30410" w:rsidP="00E30410">
            <w:pPr>
              <w:numPr>
                <w:ilvl w:val="0"/>
                <w:numId w:val="3"/>
              </w:numPr>
              <w:spacing w:line="480" w:lineRule="auto"/>
              <w:ind w:left="148" w:hanging="180"/>
            </w:pPr>
            <w:r w:rsidRPr="001456FF">
              <w:t>Rolling with resistance</w:t>
            </w:r>
          </w:p>
        </w:tc>
        <w:tc>
          <w:tcPr>
            <w:tcW w:w="8640" w:type="dxa"/>
            <w:tcBorders>
              <w:top w:val="nil"/>
              <w:left w:val="nil"/>
              <w:bottom w:val="nil"/>
              <w:right w:val="nil"/>
            </w:tcBorders>
          </w:tcPr>
          <w:p w:rsidR="00E30410" w:rsidRPr="001456FF" w:rsidRDefault="00E30410" w:rsidP="00E30410">
            <w:pPr>
              <w:numPr>
                <w:ilvl w:val="0"/>
                <w:numId w:val="3"/>
              </w:numPr>
              <w:spacing w:line="480" w:lineRule="auto"/>
              <w:ind w:left="342" w:hanging="180"/>
            </w:pPr>
            <w:r w:rsidRPr="001456FF">
              <w:t>Participants ages 8-18 could participate in a study investigating better ways to measure health-related quality of life in children with chronic pain.</w:t>
            </w:r>
          </w:p>
          <w:p w:rsidR="00E30410" w:rsidRPr="001456FF" w:rsidRDefault="00E30410" w:rsidP="00E30410">
            <w:pPr>
              <w:numPr>
                <w:ilvl w:val="0"/>
                <w:numId w:val="3"/>
              </w:numPr>
              <w:spacing w:line="480" w:lineRule="auto"/>
              <w:ind w:left="342" w:hanging="180"/>
            </w:pPr>
            <w:r w:rsidRPr="001456FF">
              <w:t xml:space="preserve">Participants of any age and their siblings could participate in a study that involved having their blood drawn. The goal of the study was to develop a repository of blood samples for future SCD studies.  </w:t>
            </w:r>
          </w:p>
          <w:p w:rsidR="00E30410" w:rsidRPr="001456FF" w:rsidRDefault="00E30410" w:rsidP="00E30410">
            <w:pPr>
              <w:numPr>
                <w:ilvl w:val="0"/>
                <w:numId w:val="3"/>
              </w:numPr>
              <w:spacing w:line="480" w:lineRule="auto"/>
              <w:ind w:left="342" w:hanging="180"/>
            </w:pPr>
            <w:r w:rsidRPr="001456FF">
              <w:t>Participants ages 16-24 could participate in a study to understand SCD self-management and health-related quality of life.</w:t>
            </w:r>
          </w:p>
        </w:tc>
      </w:tr>
      <w:tr w:rsidR="00E30410" w:rsidRPr="001456FF" w:rsidTr="00E613D4">
        <w:tc>
          <w:tcPr>
            <w:tcW w:w="2155" w:type="dxa"/>
            <w:tcBorders>
              <w:top w:val="nil"/>
              <w:left w:val="nil"/>
              <w:right w:val="nil"/>
            </w:tcBorders>
          </w:tcPr>
          <w:p w:rsidR="00E30410" w:rsidRPr="001456FF" w:rsidRDefault="00E30410" w:rsidP="00E613D4">
            <w:pPr>
              <w:spacing w:line="480" w:lineRule="auto"/>
            </w:pPr>
            <w:r w:rsidRPr="001456FF">
              <w:t>Patient recognition</w:t>
            </w:r>
          </w:p>
        </w:tc>
        <w:tc>
          <w:tcPr>
            <w:tcW w:w="2160" w:type="dxa"/>
            <w:tcBorders>
              <w:top w:val="nil"/>
              <w:left w:val="nil"/>
              <w:right w:val="nil"/>
            </w:tcBorders>
          </w:tcPr>
          <w:p w:rsidR="00E30410" w:rsidRPr="001456FF" w:rsidRDefault="00E30410" w:rsidP="00E30410">
            <w:pPr>
              <w:numPr>
                <w:ilvl w:val="0"/>
                <w:numId w:val="4"/>
              </w:numPr>
              <w:spacing w:line="480" w:lineRule="auto"/>
              <w:ind w:left="148" w:hanging="180"/>
            </w:pPr>
            <w:r w:rsidRPr="001456FF">
              <w:t>Self-efficacy</w:t>
            </w:r>
          </w:p>
          <w:p w:rsidR="00E30410" w:rsidRPr="001456FF" w:rsidRDefault="00E30410" w:rsidP="00E30410">
            <w:pPr>
              <w:numPr>
                <w:ilvl w:val="0"/>
                <w:numId w:val="4"/>
              </w:numPr>
              <w:spacing w:line="480" w:lineRule="auto"/>
              <w:ind w:left="148" w:hanging="180"/>
            </w:pPr>
            <w:r w:rsidRPr="001456FF">
              <w:t>Decreasing ambivalence</w:t>
            </w:r>
          </w:p>
        </w:tc>
        <w:tc>
          <w:tcPr>
            <w:tcW w:w="8640" w:type="dxa"/>
            <w:tcBorders>
              <w:top w:val="nil"/>
              <w:left w:val="nil"/>
              <w:right w:val="nil"/>
            </w:tcBorders>
          </w:tcPr>
          <w:p w:rsidR="00E30410" w:rsidRPr="001456FF" w:rsidRDefault="00E30410" w:rsidP="00E30410">
            <w:pPr>
              <w:numPr>
                <w:ilvl w:val="0"/>
                <w:numId w:val="4"/>
              </w:numPr>
              <w:spacing w:line="480" w:lineRule="auto"/>
              <w:ind w:left="327" w:hanging="180"/>
            </w:pPr>
            <w:r w:rsidRPr="001456FF">
              <w:t>Transitioning patients were congratulated in-person by pediatric and adult hematology staff.</w:t>
            </w:r>
          </w:p>
        </w:tc>
      </w:tr>
    </w:tbl>
    <w:p w:rsidR="00E30410" w:rsidRPr="001456FF" w:rsidRDefault="00E30410" w:rsidP="00E30410">
      <w:pPr>
        <w:spacing w:after="160" w:line="480" w:lineRule="auto"/>
        <w:rPr>
          <w:rFonts w:eastAsiaTheme="minorHAnsi"/>
        </w:rPr>
      </w:pPr>
      <w:proofErr w:type="gramStart"/>
      <w:r w:rsidRPr="001456FF">
        <w:rPr>
          <w:rFonts w:eastAsiaTheme="minorHAnsi"/>
          <w:vertAlign w:val="superscript"/>
        </w:rPr>
        <w:t>a</w:t>
      </w:r>
      <w:proofErr w:type="gramEnd"/>
      <w:r w:rsidRPr="001456FF">
        <w:rPr>
          <w:rFonts w:eastAsiaTheme="minorHAnsi"/>
          <w:vertAlign w:val="superscript"/>
        </w:rPr>
        <w:t xml:space="preserve"> </w:t>
      </w:r>
      <w:r w:rsidRPr="001456FF">
        <w:rPr>
          <w:rFonts w:eastAsiaTheme="minorHAnsi"/>
        </w:rPr>
        <w:t>Participants could choose to participate in one study, more than one, or no studies.</w:t>
      </w:r>
    </w:p>
    <w:p w:rsidR="00E30410" w:rsidRPr="001456FF" w:rsidRDefault="00E30410" w:rsidP="00E30410">
      <w:pPr>
        <w:spacing w:after="160" w:line="480" w:lineRule="auto"/>
        <w:rPr>
          <w:rFonts w:eastAsiaTheme="minorHAnsi"/>
        </w:rPr>
      </w:pPr>
    </w:p>
    <w:p w:rsidR="00CA1D8C" w:rsidRDefault="00C3543D"/>
    <w:sectPr w:rsidR="00CA1D8C" w:rsidSect="0015061F">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C4928"/>
    <w:multiLevelType w:val="hybridMultilevel"/>
    <w:tmpl w:val="CDE8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55713"/>
    <w:multiLevelType w:val="hybridMultilevel"/>
    <w:tmpl w:val="4706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07503"/>
    <w:multiLevelType w:val="hybridMultilevel"/>
    <w:tmpl w:val="4B48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C687F"/>
    <w:multiLevelType w:val="hybridMultilevel"/>
    <w:tmpl w:val="D8B2B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10"/>
    <w:rsid w:val="00BD1200"/>
    <w:rsid w:val="00C3543D"/>
    <w:rsid w:val="00E30410"/>
    <w:rsid w:val="00E72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EB005-2DBC-47DC-89A9-58F30F3E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4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30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30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Cincinnati Children's Hospital</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Strong, Heather</dc:creator>
  <cp:keywords/>
  <dc:description/>
  <cp:lastModifiedBy>Crosby, Lori</cp:lastModifiedBy>
  <cp:revision>2</cp:revision>
  <dcterms:created xsi:type="dcterms:W3CDTF">2020-01-31T03:02:00Z</dcterms:created>
  <dcterms:modified xsi:type="dcterms:W3CDTF">2020-01-31T03:02:00Z</dcterms:modified>
</cp:coreProperties>
</file>