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17337" w14:textId="0F6D6C5A" w:rsidR="001B46B2" w:rsidRPr="000A7386" w:rsidRDefault="00DF1E30" w:rsidP="001B46B2">
      <w:pPr>
        <w:spacing w:line="480" w:lineRule="auto"/>
      </w:pPr>
      <w:r w:rsidRPr="000A7386">
        <w:t>These supplementary materials correspond to the following source:</w:t>
      </w:r>
    </w:p>
    <w:p w14:paraId="00FCB570" w14:textId="473F96DC" w:rsidR="000A7386" w:rsidRPr="000A7386" w:rsidRDefault="000A7386" w:rsidP="000A7386">
      <w:pPr>
        <w:spacing w:line="480" w:lineRule="auto"/>
        <w:jc w:val="center"/>
        <w:rPr>
          <w:b/>
          <w:bCs/>
        </w:rPr>
      </w:pPr>
      <w:r w:rsidRPr="000A7386">
        <w:rPr>
          <w:b/>
          <w:bCs/>
        </w:rPr>
        <w:t>Ethnic-Racial Discrimination, Identity, and Out</w:t>
      </w:r>
      <w:r>
        <w:rPr>
          <w:b/>
          <w:bCs/>
        </w:rPr>
        <w:t>-G</w:t>
      </w:r>
      <w:r w:rsidRPr="000A7386">
        <w:rPr>
          <w:b/>
          <w:bCs/>
        </w:rPr>
        <w:t xml:space="preserve">roup Contact in Context: </w:t>
      </w:r>
    </w:p>
    <w:p w14:paraId="79C92868" w14:textId="77777777" w:rsidR="000A7386" w:rsidRPr="000A7386" w:rsidRDefault="000A7386" w:rsidP="000A7386">
      <w:pPr>
        <w:spacing w:line="480" w:lineRule="auto"/>
        <w:jc w:val="center"/>
        <w:rPr>
          <w:b/>
          <w:bCs/>
        </w:rPr>
      </w:pPr>
      <w:r w:rsidRPr="000A7386">
        <w:rPr>
          <w:b/>
          <w:bCs/>
        </w:rPr>
        <w:t>A Systematic Review of Daily Process Studies</w:t>
      </w:r>
    </w:p>
    <w:p w14:paraId="352009C1" w14:textId="2188C225" w:rsidR="000A7386" w:rsidRPr="000A7386" w:rsidRDefault="000A7386" w:rsidP="000A7386">
      <w:pPr>
        <w:spacing w:line="480" w:lineRule="auto"/>
        <w:jc w:val="center"/>
        <w:rPr>
          <w:bCs/>
          <w:vertAlign w:val="superscript"/>
        </w:rPr>
      </w:pPr>
      <w:r w:rsidRPr="000A7386">
        <w:rPr>
          <w:bCs/>
        </w:rPr>
        <w:t xml:space="preserve">Michael R. </w:t>
      </w:r>
      <w:proofErr w:type="spellStart"/>
      <w:r w:rsidRPr="000A7386">
        <w:rPr>
          <w:bCs/>
        </w:rPr>
        <w:t>Sladek</w:t>
      </w:r>
      <w:r w:rsidRPr="000A7386">
        <w:rPr>
          <w:bCs/>
          <w:vertAlign w:val="superscript"/>
        </w:rPr>
        <w:t>a</w:t>
      </w:r>
      <w:proofErr w:type="spellEnd"/>
      <w:r w:rsidRPr="000A7386">
        <w:rPr>
          <w:bCs/>
        </w:rPr>
        <w:t>, Stefanie Martinez-</w:t>
      </w:r>
      <w:proofErr w:type="spellStart"/>
      <w:r w:rsidRPr="000A7386">
        <w:rPr>
          <w:bCs/>
        </w:rPr>
        <w:t>Fuentes</w:t>
      </w:r>
      <w:r w:rsidRPr="000A7386">
        <w:rPr>
          <w:bCs/>
          <w:vertAlign w:val="superscript"/>
        </w:rPr>
        <w:t>b</w:t>
      </w:r>
      <w:proofErr w:type="spellEnd"/>
      <w:r w:rsidRPr="000A7386">
        <w:rPr>
          <w:bCs/>
        </w:rPr>
        <w:t xml:space="preserve">, Kristia A. </w:t>
      </w:r>
      <w:proofErr w:type="spellStart"/>
      <w:r w:rsidRPr="000A7386">
        <w:rPr>
          <w:bCs/>
        </w:rPr>
        <w:t>Wantchekon</w:t>
      </w:r>
      <w:r w:rsidRPr="000A7386">
        <w:rPr>
          <w:bCs/>
          <w:vertAlign w:val="superscript"/>
        </w:rPr>
        <w:t>c</w:t>
      </w:r>
      <w:proofErr w:type="spellEnd"/>
      <w:r w:rsidRPr="000A7386">
        <w:rPr>
          <w:bCs/>
        </w:rPr>
        <w:t xml:space="preserve">, Gladys </w:t>
      </w:r>
      <w:proofErr w:type="spellStart"/>
      <w:r w:rsidRPr="000A7386">
        <w:rPr>
          <w:bCs/>
        </w:rPr>
        <w:t>Aguilar</w:t>
      </w:r>
      <w:r w:rsidRPr="000A7386">
        <w:rPr>
          <w:bCs/>
          <w:vertAlign w:val="superscript"/>
        </w:rPr>
        <w:t>d</w:t>
      </w:r>
      <w:proofErr w:type="spellEnd"/>
      <w:r w:rsidRPr="000A7386">
        <w:rPr>
          <w:bCs/>
        </w:rPr>
        <w:t>, &amp; Adriana J. Umaña-Taylor</w:t>
      </w:r>
      <w:r w:rsidRPr="000A7386">
        <w:rPr>
          <w:bCs/>
          <w:vertAlign w:val="superscript"/>
        </w:rPr>
        <w:t>e</w:t>
      </w:r>
    </w:p>
    <w:p w14:paraId="29230CC1" w14:textId="77777777" w:rsidR="000A7386" w:rsidRPr="000A7386" w:rsidRDefault="000A7386" w:rsidP="000A7386">
      <w:pPr>
        <w:spacing w:line="480" w:lineRule="auto"/>
        <w:rPr>
          <w:bCs/>
        </w:rPr>
      </w:pPr>
      <w:proofErr w:type="spellStart"/>
      <w:r w:rsidRPr="000A7386">
        <w:rPr>
          <w:bCs/>
          <w:vertAlign w:val="superscript"/>
        </w:rPr>
        <w:t>a</w:t>
      </w:r>
      <w:r w:rsidRPr="000A7386">
        <w:rPr>
          <w:bCs/>
        </w:rPr>
        <w:t>The</w:t>
      </w:r>
      <w:proofErr w:type="spellEnd"/>
      <w:r w:rsidRPr="000A7386">
        <w:rPr>
          <w:bCs/>
        </w:rPr>
        <w:t xml:space="preserve"> University of Oklahoma, Department of Psychology</w:t>
      </w:r>
    </w:p>
    <w:p w14:paraId="40AD0135" w14:textId="77777777" w:rsidR="000A7386" w:rsidRPr="000A7386" w:rsidRDefault="000A7386" w:rsidP="000A7386">
      <w:pPr>
        <w:spacing w:line="480" w:lineRule="auto"/>
        <w:rPr>
          <w:bCs/>
        </w:rPr>
      </w:pPr>
      <w:proofErr w:type="spellStart"/>
      <w:r w:rsidRPr="000A7386">
        <w:rPr>
          <w:bCs/>
          <w:vertAlign w:val="superscript"/>
        </w:rPr>
        <w:t>b</w:t>
      </w:r>
      <w:r w:rsidRPr="000A7386">
        <w:rPr>
          <w:bCs/>
        </w:rPr>
        <w:t>Arizona</w:t>
      </w:r>
      <w:proofErr w:type="spellEnd"/>
      <w:r w:rsidRPr="000A7386">
        <w:rPr>
          <w:bCs/>
        </w:rPr>
        <w:t xml:space="preserve"> State University, T. Denny Sanford School of Social and Family Dynamics</w:t>
      </w:r>
    </w:p>
    <w:p w14:paraId="481437D4" w14:textId="77777777" w:rsidR="000A7386" w:rsidRPr="000A7386" w:rsidRDefault="000A7386" w:rsidP="000A7386">
      <w:pPr>
        <w:spacing w:line="480" w:lineRule="auto"/>
      </w:pPr>
      <w:proofErr w:type="spellStart"/>
      <w:r w:rsidRPr="000A7386">
        <w:rPr>
          <w:bCs/>
          <w:vertAlign w:val="superscript"/>
        </w:rPr>
        <w:t>c</w:t>
      </w:r>
      <w:r w:rsidRPr="000A7386">
        <w:rPr>
          <w:bCs/>
        </w:rPr>
        <w:t>Georgetown</w:t>
      </w:r>
      <w:proofErr w:type="spellEnd"/>
      <w:r w:rsidRPr="000A7386">
        <w:rPr>
          <w:bCs/>
        </w:rPr>
        <w:t xml:space="preserve"> University, Department of Psychology</w:t>
      </w:r>
    </w:p>
    <w:p w14:paraId="4AAE973B" w14:textId="77777777" w:rsidR="000A7386" w:rsidRPr="000A7386" w:rsidRDefault="000A7386" w:rsidP="000A7386">
      <w:pPr>
        <w:spacing w:line="480" w:lineRule="auto"/>
        <w:rPr>
          <w:bCs/>
        </w:rPr>
      </w:pPr>
      <w:proofErr w:type="spellStart"/>
      <w:r w:rsidRPr="000A7386">
        <w:rPr>
          <w:bCs/>
          <w:vertAlign w:val="superscript"/>
        </w:rPr>
        <w:t>d</w:t>
      </w:r>
      <w:r w:rsidRPr="000A7386">
        <w:rPr>
          <w:bCs/>
        </w:rPr>
        <w:t>Stanford</w:t>
      </w:r>
      <w:proofErr w:type="spellEnd"/>
      <w:r w:rsidRPr="000A7386">
        <w:rPr>
          <w:bCs/>
        </w:rPr>
        <w:t xml:space="preserve"> University, Stanford Graduate School of Education</w:t>
      </w:r>
    </w:p>
    <w:p w14:paraId="26EC9CC2" w14:textId="77777777" w:rsidR="000A7386" w:rsidRPr="000A7386" w:rsidRDefault="000A7386" w:rsidP="000A7386">
      <w:pPr>
        <w:spacing w:line="480" w:lineRule="auto"/>
        <w:rPr>
          <w:bCs/>
          <w:vertAlign w:val="superscript"/>
        </w:rPr>
      </w:pPr>
      <w:proofErr w:type="spellStart"/>
      <w:r w:rsidRPr="000A7386">
        <w:rPr>
          <w:bCs/>
          <w:vertAlign w:val="superscript"/>
        </w:rPr>
        <w:t>e</w:t>
      </w:r>
      <w:r w:rsidRPr="000A7386">
        <w:t>Harvard</w:t>
      </w:r>
      <w:proofErr w:type="spellEnd"/>
      <w:r w:rsidRPr="000A7386">
        <w:t xml:space="preserve"> University, Harvard Graduate School of Education</w:t>
      </w:r>
    </w:p>
    <w:p w14:paraId="2F03E821" w14:textId="1D5DE591" w:rsidR="006E05A7" w:rsidRPr="00DF1E30" w:rsidRDefault="006E05A7" w:rsidP="00B01D91">
      <w:pPr>
        <w:spacing w:line="480" w:lineRule="auto"/>
        <w:jc w:val="center"/>
        <w:rPr>
          <w:b/>
          <w:bCs/>
        </w:rPr>
      </w:pPr>
      <w:r w:rsidRPr="00DF1E30">
        <w:rPr>
          <w:b/>
          <w:bCs/>
        </w:rPr>
        <w:t>Overview of Daily Process Studies in the Review</w:t>
      </w:r>
    </w:p>
    <w:p w14:paraId="6745E71B" w14:textId="44B9D140" w:rsidR="00F3434B" w:rsidRPr="00DF1E30" w:rsidRDefault="00F3434B" w:rsidP="001E2341">
      <w:pPr>
        <w:spacing w:line="480" w:lineRule="auto"/>
      </w:pPr>
      <w:r w:rsidRPr="00DF1E30">
        <w:tab/>
        <w:t>Below are summaries of s</w:t>
      </w:r>
      <w:r w:rsidR="007510E7" w:rsidRPr="00DF1E30">
        <w:t xml:space="preserve">tudies included in this systematic review that did not fall under the relatively more studied </w:t>
      </w:r>
      <w:r w:rsidR="00DB3B68" w:rsidRPr="00DF1E30">
        <w:t>content areas</w:t>
      </w:r>
      <w:r w:rsidR="00452E5B" w:rsidRPr="00DF1E30">
        <w:t xml:space="preserve"> that are summarized</w:t>
      </w:r>
      <w:r w:rsidR="00DB3B68" w:rsidRPr="00DF1E30">
        <w:t xml:space="preserve"> in the </w:t>
      </w:r>
      <w:r w:rsidR="00721363" w:rsidRPr="00DF1E30">
        <w:t xml:space="preserve">primary </w:t>
      </w:r>
      <w:r w:rsidR="00DB3B68" w:rsidRPr="00DF1E30">
        <w:t>Results sectio</w:t>
      </w:r>
      <w:r w:rsidR="0019658C" w:rsidRPr="00DF1E30">
        <w:t>ns</w:t>
      </w:r>
      <w:r w:rsidR="00DB3B68" w:rsidRPr="00DF1E30">
        <w:t>.</w:t>
      </w:r>
      <w:r w:rsidR="00BB49E6" w:rsidRPr="00DF1E30">
        <w:t xml:space="preserve"> For these studies summarized here, no more than </w:t>
      </w:r>
      <w:r w:rsidR="00594463" w:rsidRPr="00DF1E30">
        <w:t xml:space="preserve">four </w:t>
      </w:r>
      <w:r w:rsidR="00BB49E6" w:rsidRPr="00DF1E30">
        <w:t xml:space="preserve">studies were conducted </w:t>
      </w:r>
      <w:r w:rsidR="008F74F5" w:rsidRPr="00DF1E30">
        <w:t>that assessed similar constructs</w:t>
      </w:r>
      <w:r w:rsidR="00594463" w:rsidRPr="00DF1E30">
        <w:t xml:space="preserve"> with</w:t>
      </w:r>
      <w:r w:rsidR="00A158FB" w:rsidRPr="00DF1E30">
        <w:t xml:space="preserve">in the same developmental </w:t>
      </w:r>
      <w:r w:rsidR="006C2142" w:rsidRPr="00DF1E30">
        <w:t>period</w:t>
      </w:r>
      <w:r w:rsidR="00452E5B" w:rsidRPr="00DF1E30">
        <w:t>.</w:t>
      </w:r>
      <w:r w:rsidR="00DB3B68" w:rsidRPr="00DF1E30">
        <w:t xml:space="preserve"> All of these studies </w:t>
      </w:r>
      <w:r w:rsidR="009F1101" w:rsidRPr="00DF1E30">
        <w:t xml:space="preserve">are included in Tables 2-4 and contributed to conclusions and recommendations of the review. </w:t>
      </w:r>
      <w:r w:rsidR="00BE7813" w:rsidRPr="00DF1E30">
        <w:t>Of 52 ERD studies, 38 collected consecutive daily diaries with the most common response schedules of 14 days (</w:t>
      </w:r>
      <w:r w:rsidR="00BE7813" w:rsidRPr="00DF1E30">
        <w:rPr>
          <w:i/>
          <w:iCs/>
        </w:rPr>
        <w:t>n</w:t>
      </w:r>
      <w:r w:rsidR="00BE7813" w:rsidRPr="00DF1E30">
        <w:t xml:space="preserve"> = 21 studies) and 20-21 days (</w:t>
      </w:r>
      <w:r w:rsidR="00BE7813" w:rsidRPr="00DF1E30">
        <w:rPr>
          <w:i/>
          <w:iCs/>
        </w:rPr>
        <w:t>n</w:t>
      </w:r>
      <w:r w:rsidR="00BE7813" w:rsidRPr="00DF1E30">
        <w:t xml:space="preserve"> = 10; range: 7-58 days), 8 studies utilized ESM or EMA with each study using a different response interval (range: 3 times to every 30 min per day), and </w:t>
      </w:r>
      <w:r w:rsidR="00F62C2B" w:rsidRPr="00DF1E30">
        <w:t>four</w:t>
      </w:r>
      <w:r w:rsidR="00BE7813" w:rsidRPr="00DF1E30">
        <w:t xml:space="preserve"> utilized another type of daily process design (e.g., 3 times per week for 3 weeks). Of 33 ERI studies, 18 collected consecutive daily diaries with the most common response schedules of 14-15 days (</w:t>
      </w:r>
      <w:r w:rsidR="00BE7813" w:rsidRPr="00DF1E30">
        <w:rPr>
          <w:i/>
          <w:iCs/>
        </w:rPr>
        <w:t>n</w:t>
      </w:r>
      <w:r w:rsidR="00BE7813" w:rsidRPr="00DF1E30">
        <w:t xml:space="preserve"> = 6 studies) and 21-22 days (</w:t>
      </w:r>
      <w:r w:rsidR="00BE7813" w:rsidRPr="00DF1E30">
        <w:rPr>
          <w:i/>
          <w:iCs/>
        </w:rPr>
        <w:t>n</w:t>
      </w:r>
      <w:r w:rsidR="00BE7813" w:rsidRPr="00DF1E30">
        <w:t xml:space="preserve"> = 6; range: 4-22 days), 13 studies utilized ESM or EMA with the most common schedule of 5 times per day (</w:t>
      </w:r>
      <w:r w:rsidR="00BE7813" w:rsidRPr="00DF1E30">
        <w:rPr>
          <w:i/>
          <w:iCs/>
        </w:rPr>
        <w:t>n</w:t>
      </w:r>
      <w:r w:rsidR="00BE7813" w:rsidRPr="00DF1E30">
        <w:t xml:space="preserve"> = 6; range: 3-7 times daily), and </w:t>
      </w:r>
      <w:r w:rsidR="00745274" w:rsidRPr="00DF1E30">
        <w:t>two</w:t>
      </w:r>
      <w:r w:rsidR="00BE7813" w:rsidRPr="00DF1E30">
        <w:t xml:space="preserve"> </w:t>
      </w:r>
      <w:r w:rsidR="00BE7813" w:rsidRPr="00DF1E30">
        <w:lastRenderedPageBreak/>
        <w:t xml:space="preserve">utilized another daily process design (e.g., </w:t>
      </w:r>
      <w:r w:rsidR="00060587" w:rsidRPr="00DF1E30">
        <w:t>1 time per day for 4 days total across 2 months</w:t>
      </w:r>
      <w:r w:rsidR="00BE7813" w:rsidRPr="00DF1E30">
        <w:t>). Of 22 EROC studies, 10 collected consecutive daily diaries with the most common response schedule of 21 days (</w:t>
      </w:r>
      <w:r w:rsidR="00BE7813" w:rsidRPr="00DF1E30">
        <w:rPr>
          <w:i/>
          <w:iCs/>
        </w:rPr>
        <w:t>n</w:t>
      </w:r>
      <w:r w:rsidR="00BE7813" w:rsidRPr="00DF1E30">
        <w:t xml:space="preserve"> = 3; range: 5-30 days), 8 studies utilized ESM with the most common schedules of 2 (</w:t>
      </w:r>
      <w:r w:rsidR="00BE7813" w:rsidRPr="00DF1E30">
        <w:rPr>
          <w:i/>
          <w:iCs/>
        </w:rPr>
        <w:t>n</w:t>
      </w:r>
      <w:r w:rsidR="00BE7813" w:rsidRPr="00DF1E30">
        <w:t xml:space="preserve"> = 3) and 5 (</w:t>
      </w:r>
      <w:r w:rsidR="00BE7813" w:rsidRPr="00DF1E30">
        <w:rPr>
          <w:i/>
          <w:iCs/>
        </w:rPr>
        <w:t>n</w:t>
      </w:r>
      <w:r w:rsidR="00BE7813" w:rsidRPr="00DF1E30">
        <w:t xml:space="preserve"> = 3) times per day (range: 2-7 times daily), and </w:t>
      </w:r>
      <w:r w:rsidR="00F62C2B" w:rsidRPr="00DF1E30">
        <w:t>four</w:t>
      </w:r>
      <w:r w:rsidR="00BE7813" w:rsidRPr="00DF1E30">
        <w:t xml:space="preserve"> utilized another daily process design (e.g., 3-5 times per week for 3 weeks).</w:t>
      </w:r>
    </w:p>
    <w:p w14:paraId="1E0FCED8" w14:textId="6D4D655B" w:rsidR="001E2341" w:rsidRPr="00DF1E30" w:rsidRDefault="001E2341" w:rsidP="001E2341">
      <w:pPr>
        <w:spacing w:line="480" w:lineRule="auto"/>
        <w:rPr>
          <w:b/>
          <w:bCs/>
          <w:i/>
          <w:iCs/>
        </w:rPr>
      </w:pPr>
      <w:r w:rsidRPr="00DF1E30">
        <w:rPr>
          <w:b/>
          <w:bCs/>
          <w:i/>
          <w:iCs/>
        </w:rPr>
        <w:t xml:space="preserve">Ethnic-Racial Discrimination </w:t>
      </w:r>
      <w:r w:rsidR="00095A8C" w:rsidRPr="00DF1E30">
        <w:rPr>
          <w:b/>
          <w:bCs/>
          <w:i/>
          <w:iCs/>
        </w:rPr>
        <w:t xml:space="preserve">(ERD) </w:t>
      </w:r>
      <w:r w:rsidRPr="00DF1E30">
        <w:rPr>
          <w:b/>
          <w:bCs/>
          <w:i/>
          <w:iCs/>
        </w:rPr>
        <w:t>and Other Outcomes</w:t>
      </w:r>
    </w:p>
    <w:p w14:paraId="504020A2" w14:textId="7935592D" w:rsidR="00216B34" w:rsidRPr="00DF1E30" w:rsidRDefault="003E163A" w:rsidP="00847223">
      <w:pPr>
        <w:spacing w:line="480" w:lineRule="auto"/>
        <w:ind w:firstLine="720"/>
      </w:pPr>
      <w:r w:rsidRPr="00DF1E30">
        <w:t>In total, t</w:t>
      </w:r>
      <w:r w:rsidR="006B7B7C" w:rsidRPr="00DF1E30">
        <w:t xml:space="preserve">here were </w:t>
      </w:r>
      <w:r w:rsidR="0071240C" w:rsidRPr="00DF1E30">
        <w:t>21</w:t>
      </w:r>
      <w:r w:rsidR="00DF686D" w:rsidRPr="00DF1E30">
        <w:t xml:space="preserve"> </w:t>
      </w:r>
      <w:r w:rsidR="006B7B7C" w:rsidRPr="00DF1E30">
        <w:t>studies in which ERD was examined in relation to other outcomes not reflected i</w:t>
      </w:r>
      <w:r w:rsidR="001D62A8" w:rsidRPr="00DF1E30">
        <w:t>n the prior sections of the review</w:t>
      </w:r>
      <w:r w:rsidR="00870A4C" w:rsidRPr="00DF1E30">
        <w:t xml:space="preserve">. </w:t>
      </w:r>
      <w:r w:rsidR="00863650" w:rsidRPr="00DF1E30">
        <w:t>Four</w:t>
      </w:r>
      <w:r w:rsidR="00606AF3" w:rsidRPr="00DF1E30">
        <w:t xml:space="preserve"> daily </w:t>
      </w:r>
      <w:r w:rsidR="00D362FB" w:rsidRPr="00DF1E30">
        <w:t>diary</w:t>
      </w:r>
      <w:r w:rsidR="001E2341" w:rsidRPr="00DF1E30">
        <w:t xml:space="preserve"> studies</w:t>
      </w:r>
      <w:r w:rsidR="00EA2841" w:rsidRPr="00DF1E30">
        <w:t xml:space="preserve"> with adolescents </w:t>
      </w:r>
      <w:r w:rsidR="005159E2" w:rsidRPr="00DF1E30">
        <w:t xml:space="preserve">(Sladek et al., 2020; Xie et al., 2024; Yip et al., 2020, 2022) </w:t>
      </w:r>
      <w:r w:rsidR="00EA2841" w:rsidRPr="00DF1E30">
        <w:t xml:space="preserve">and four </w:t>
      </w:r>
      <w:r w:rsidR="005159E2" w:rsidRPr="00DF1E30">
        <w:t xml:space="preserve">studies with college students </w:t>
      </w:r>
      <w:r w:rsidR="00202850" w:rsidRPr="00DF1E30">
        <w:t xml:space="preserve">using daily diaries </w:t>
      </w:r>
      <w:r w:rsidR="005159E2" w:rsidRPr="00DF1E30">
        <w:t xml:space="preserve">(Fuller-Rowell et al., 2021; Ong et al., 2017) </w:t>
      </w:r>
      <w:r w:rsidR="00202850" w:rsidRPr="00DF1E30">
        <w:t xml:space="preserve">and weekly diaries (Davenport et al., 2021, 2023) </w:t>
      </w:r>
      <w:r w:rsidR="001E2341" w:rsidRPr="00DF1E30">
        <w:t>examined whether ERD predicts within-person differences in sleep</w:t>
      </w:r>
      <w:r w:rsidR="00EC0D65" w:rsidRPr="00DF1E30">
        <w:t>.</w:t>
      </w:r>
      <w:r w:rsidR="00A21483" w:rsidRPr="00DF1E30">
        <w:t xml:space="preserve"> </w:t>
      </w:r>
      <w:r w:rsidR="005159E2" w:rsidRPr="00DF1E30">
        <w:t>For example, i</w:t>
      </w:r>
      <w:r w:rsidR="001E2341" w:rsidRPr="00DF1E30">
        <w:t>n a study of Asian, Black, and Latinx adolescents, experiencing ERD during the day predicted longer sleep onset latency (i.e., more time to fall asleep), sleeping less at night, and reports of daytime dysfunction; contributing to understanding of resilience factors, these within-person day-to-day associations were attenuated for youth with higher ERI commitment (Yip et al., 2020</w:t>
      </w:r>
      <w:r w:rsidR="00EC0D65" w:rsidRPr="00DF1E30">
        <w:t xml:space="preserve">; </w:t>
      </w:r>
      <w:r w:rsidR="003D5A2B" w:rsidRPr="00DF1E30">
        <w:t xml:space="preserve">for additional analyses with this sample </w:t>
      </w:r>
      <w:r w:rsidR="00EC0D65" w:rsidRPr="00DF1E30">
        <w:t xml:space="preserve">see also </w:t>
      </w:r>
      <w:r w:rsidR="003D5A2B" w:rsidRPr="00DF1E30">
        <w:t>Xie et al., 2024; Yip et al., 2022</w:t>
      </w:r>
      <w:r w:rsidR="001E2341" w:rsidRPr="00DF1E30">
        <w:t>).</w:t>
      </w:r>
      <w:r w:rsidR="009158E0" w:rsidRPr="00DF1E30">
        <w:t xml:space="preserve"> A study with Latino adolescents also found that </w:t>
      </w:r>
      <w:r w:rsidR="00751A56" w:rsidRPr="00DF1E30">
        <w:t xml:space="preserve">more frequent daily experiences of bicultural stress, including daily ERD, predicted </w:t>
      </w:r>
      <w:r w:rsidR="00CB59C8" w:rsidRPr="00DF1E30">
        <w:t xml:space="preserve">more time to fall asleep </w:t>
      </w:r>
      <w:r w:rsidR="00C64AA3" w:rsidRPr="00DF1E30">
        <w:t>and sleeping less that</w:t>
      </w:r>
      <w:r w:rsidR="00CB59C8" w:rsidRPr="00DF1E30">
        <w:t xml:space="preserve"> night</w:t>
      </w:r>
      <w:r w:rsidR="002F2031" w:rsidRPr="00DF1E30">
        <w:t xml:space="preserve"> (as measured with </w:t>
      </w:r>
      <w:proofErr w:type="spellStart"/>
      <w:r w:rsidR="002F2031" w:rsidRPr="00DF1E30">
        <w:t>wristbased</w:t>
      </w:r>
      <w:proofErr w:type="spellEnd"/>
      <w:r w:rsidR="002F2031" w:rsidRPr="00DF1E30">
        <w:t xml:space="preserve"> </w:t>
      </w:r>
      <w:proofErr w:type="spellStart"/>
      <w:r w:rsidR="002F2031" w:rsidRPr="00DF1E30">
        <w:t>actigraphs</w:t>
      </w:r>
      <w:proofErr w:type="spellEnd"/>
      <w:r w:rsidR="002F2031" w:rsidRPr="00DF1E30">
        <w:t>)</w:t>
      </w:r>
      <w:r w:rsidR="00C64AA3" w:rsidRPr="00DF1E30">
        <w:t xml:space="preserve">; these day-to-day associations were contextualized by gender and </w:t>
      </w:r>
      <w:r w:rsidR="00CB3466" w:rsidRPr="00DF1E30">
        <w:t xml:space="preserve">ethnic-racial diversity of the school context, with stronger associations for male-identifying youth and </w:t>
      </w:r>
      <w:r w:rsidR="00B304C5" w:rsidRPr="00DF1E30">
        <w:t xml:space="preserve">youth attending </w:t>
      </w:r>
      <w:r w:rsidR="00CB3466" w:rsidRPr="00DF1E30">
        <w:t>more highly segregated</w:t>
      </w:r>
      <w:r w:rsidR="003C1180" w:rsidRPr="00DF1E30">
        <w:t xml:space="preserve"> schools with a higher proportion of Latino students</w:t>
      </w:r>
      <w:r w:rsidR="00875D68" w:rsidRPr="00DF1E30">
        <w:t xml:space="preserve"> (Sladek et al., 2020</w:t>
      </w:r>
      <w:r w:rsidR="00CC487C" w:rsidRPr="00DF1E30">
        <w:t>b</w:t>
      </w:r>
      <w:r w:rsidR="00875D68" w:rsidRPr="00DF1E30">
        <w:t>).</w:t>
      </w:r>
      <w:r w:rsidR="001E2341" w:rsidRPr="00DF1E30">
        <w:rPr>
          <w:b/>
          <w:bCs/>
          <w:i/>
          <w:iCs/>
        </w:rPr>
        <w:t xml:space="preserve"> </w:t>
      </w:r>
    </w:p>
    <w:p w14:paraId="4F2C55DE" w14:textId="032C297C" w:rsidR="00720B73" w:rsidRPr="00DF1E30" w:rsidRDefault="001E2341" w:rsidP="001E2341">
      <w:pPr>
        <w:spacing w:line="480" w:lineRule="auto"/>
        <w:ind w:firstLine="720"/>
      </w:pPr>
      <w:r w:rsidRPr="00DF1E30">
        <w:lastRenderedPageBreak/>
        <w:t xml:space="preserve">Similar support for the link between daily ERD and sleep disturbance has emerged in studies of college students, with additional evidence for individual differences in the extent to which discrimination leads to sleep problems. Among Asian American students, days with more racial microaggressions were followed by nights of poorer sleep quality, and the association was exacerbated among those higher on stigma consciousness (i.e., how much one expects to be stereotyped by others; Ong et al., 2017). Among African American students, particularly for those higher on a dimension of internalized racism termed “miseducation” that includes the tendency to associate negative stereotypes like laziness and criminality with one’s group, days of more discrimination were followed by nights of poorer sleep quality (Fuller-Rowell et al., 2021). </w:t>
      </w:r>
    </w:p>
    <w:p w14:paraId="76FC0E16" w14:textId="609ED38E" w:rsidR="001E2341" w:rsidRPr="00DF1E30" w:rsidRDefault="00A21483" w:rsidP="001E2341">
      <w:pPr>
        <w:spacing w:line="480" w:lineRule="auto"/>
        <w:ind w:firstLine="720"/>
      </w:pPr>
      <w:r w:rsidRPr="00DF1E30">
        <w:t xml:space="preserve">Four </w:t>
      </w:r>
      <w:r w:rsidR="001A3291" w:rsidRPr="00DF1E30">
        <w:t xml:space="preserve">EMA </w:t>
      </w:r>
      <w:r w:rsidRPr="00DF1E30">
        <w:t>studies examined ERD in relation to health-relevant biomarkers (e.g., diurnal cortisol patterns, salivary alpha-amylase, physical activity</w:t>
      </w:r>
      <w:r w:rsidR="001A3291" w:rsidRPr="00DF1E30">
        <w:t xml:space="preserve">; </w:t>
      </w:r>
      <w:r w:rsidRPr="00DF1E30">
        <w:t>Nam et al., 2021, 2022; Seaton &amp; Zeiders, 2021</w:t>
      </w:r>
      <w:r w:rsidR="001A3291" w:rsidRPr="00DF1E30">
        <w:t>; Zeiders et al., 2018</w:t>
      </w:r>
      <w:r w:rsidRPr="00DF1E30">
        <w:t xml:space="preserve">). </w:t>
      </w:r>
      <w:r w:rsidR="008740F3" w:rsidRPr="00DF1E30">
        <w:t>E</w:t>
      </w:r>
      <w:r w:rsidR="001E2341" w:rsidRPr="00DF1E30">
        <w:t xml:space="preserve">xperiencing more ethnic-racial microaggressions across 1 week predicted increases in overall diurnal cortisol output (i.e., area under the curve; AUC) the following week among Black and Latino </w:t>
      </w:r>
      <w:r w:rsidR="008740F3" w:rsidRPr="00DF1E30">
        <w:t xml:space="preserve">college </w:t>
      </w:r>
      <w:r w:rsidR="001E2341" w:rsidRPr="00DF1E30">
        <w:t>students (Zeiders et al., 2018</w:t>
      </w:r>
      <w:r w:rsidR="0012165E" w:rsidRPr="00DF1E30">
        <w:t>); furthermore,</w:t>
      </w:r>
      <w:r w:rsidR="001E2341" w:rsidRPr="00DF1E30">
        <w:t xml:space="preserve"> experiencing racial discrimination predicted increases in cortisol levels at bedtime and overall cortisol output the following day among Black </w:t>
      </w:r>
      <w:r w:rsidR="008740F3" w:rsidRPr="00DF1E30">
        <w:t xml:space="preserve">college </w:t>
      </w:r>
      <w:r w:rsidR="001E2341" w:rsidRPr="00DF1E30">
        <w:t>students (Seaton &amp; Zeiders, 2021)</w:t>
      </w:r>
      <w:r w:rsidR="00BA2006" w:rsidRPr="00DF1E30">
        <w:t xml:space="preserve"> and increases in </w:t>
      </w:r>
      <w:r w:rsidR="007D3D06" w:rsidRPr="00DF1E30">
        <w:t xml:space="preserve">the cortisol awakening response (i.e., </w:t>
      </w:r>
      <w:r w:rsidR="008D21B4" w:rsidRPr="00DF1E30">
        <w:t>aspect of diurnal cortisol rhythm characterized by a pronounced increase approximately 30 minutes after waking)</w:t>
      </w:r>
      <w:r w:rsidR="005C5ECA" w:rsidRPr="00DF1E30">
        <w:t xml:space="preserve"> among Black adults (Nam et al., 2022)</w:t>
      </w:r>
      <w:r w:rsidR="001E2341" w:rsidRPr="00DF1E30">
        <w:t xml:space="preserve">. These diurnal cortisol patterns indicate higher stress responsivity of the hypothalamic-pituitary-adrenal (HPA) axis that may lead to a physiological burden known as allostatic load in which the body’s stress response systems are overtaxed through chronic activation over time. </w:t>
      </w:r>
      <w:r w:rsidR="00D724CC" w:rsidRPr="00DF1E30">
        <w:t xml:space="preserve">In related studies of other health-relevant biomarkers, sedentary time (as opposed to physical activity) assessed with </w:t>
      </w:r>
      <w:r w:rsidR="003B1AB6" w:rsidRPr="00DF1E30">
        <w:t>accelerometer devices</w:t>
      </w:r>
      <w:r w:rsidR="00D724CC" w:rsidRPr="00DF1E30">
        <w:t xml:space="preserve"> was also significantly higher on days when Black </w:t>
      </w:r>
      <w:r w:rsidR="00D724CC" w:rsidRPr="00DF1E30">
        <w:lastRenderedPageBreak/>
        <w:t>adults reported experiencing ERD (Nam et al., 2021)</w:t>
      </w:r>
      <w:r w:rsidR="00034EBC" w:rsidRPr="00DF1E30">
        <w:t xml:space="preserve">; notably, </w:t>
      </w:r>
      <w:r w:rsidR="003B1AB6" w:rsidRPr="00DF1E30">
        <w:t>daily ERD was not associated with salivary alpha-amylase – a marker of sympathetic adrenal medullary (SAM) system activity (i.e., “fight-or-flight” response; Nam et al., 2022).</w:t>
      </w:r>
    </w:p>
    <w:p w14:paraId="3EB563B2" w14:textId="0B2C7160" w:rsidR="001E2341" w:rsidRPr="00DF1E30" w:rsidRDefault="001E2341" w:rsidP="001E2341">
      <w:pPr>
        <w:spacing w:line="480" w:lineRule="auto"/>
        <w:rPr>
          <w:b/>
          <w:bCs/>
          <w:i/>
          <w:iCs/>
        </w:rPr>
      </w:pPr>
      <w:r w:rsidRPr="00DF1E30">
        <w:tab/>
        <w:t xml:space="preserve">In summary, emerging evidence from these </w:t>
      </w:r>
      <w:r w:rsidR="00606AF3" w:rsidRPr="00DF1E30">
        <w:t xml:space="preserve">daily process </w:t>
      </w:r>
      <w:r w:rsidRPr="00DF1E30">
        <w:t xml:space="preserve">studies suggests that ERD negatively impacts sleep quality and quantity and activates HPA axis stress responsivity in daily life. Individual differences also point to variability by ERI and race-related attitudes in the extent to which ERD contributes to acute differences in these health-related outcomes. With </w:t>
      </w:r>
      <w:r w:rsidR="00CD60AD" w:rsidRPr="00DF1E30">
        <w:t xml:space="preserve">the exception of </w:t>
      </w:r>
      <w:r w:rsidR="005159E2" w:rsidRPr="00DF1E30">
        <w:t>two adolescent samples</w:t>
      </w:r>
      <w:r w:rsidR="00CD60AD" w:rsidRPr="00DF1E30">
        <w:t xml:space="preserve"> </w:t>
      </w:r>
      <w:r w:rsidRPr="00DF1E30">
        <w:t>(</w:t>
      </w:r>
      <w:r w:rsidR="00EA4627" w:rsidRPr="00DF1E30">
        <w:t xml:space="preserve">e.g., </w:t>
      </w:r>
      <w:r w:rsidR="005159E2" w:rsidRPr="00DF1E30">
        <w:t xml:space="preserve">Sladek et al., </w:t>
      </w:r>
      <w:r w:rsidR="004457E1" w:rsidRPr="00DF1E30">
        <w:t>2020</w:t>
      </w:r>
      <w:r w:rsidR="00653BCA" w:rsidRPr="00DF1E30">
        <w:t>b</w:t>
      </w:r>
      <w:r w:rsidR="004457E1" w:rsidRPr="00DF1E30">
        <w:t xml:space="preserve">; </w:t>
      </w:r>
      <w:r w:rsidRPr="00DF1E30">
        <w:t>Yip et al., 2020), these studies have focused on college students. Thus, future studies are needed to investigate these associations among adolescents and adults outside the college context, as well as to broaden attention to protective factors that reduce ERD risk for poor sleep and heightened stress reactivity. D</w:t>
      </w:r>
      <w:r w:rsidR="00606AF3" w:rsidRPr="00DF1E30">
        <w:t>aily process</w:t>
      </w:r>
      <w:r w:rsidRPr="00DF1E30">
        <w:t xml:space="preserve"> approaches can be particularly useful in studies incorporating biomarkers by centering individuals’ everyday experiences in context and bringing this research out of laboratories into the real world. </w:t>
      </w:r>
    </w:p>
    <w:p w14:paraId="568EB5D1" w14:textId="5020A1AD" w:rsidR="001E2341" w:rsidRPr="00DF1E30" w:rsidRDefault="00C1533D" w:rsidP="001E2341">
      <w:pPr>
        <w:spacing w:line="480" w:lineRule="auto"/>
        <w:ind w:firstLine="720"/>
      </w:pPr>
      <w:r w:rsidRPr="00DF1E30">
        <w:t>Ten</w:t>
      </w:r>
      <w:r w:rsidR="00DF686D" w:rsidRPr="00DF1E30">
        <w:t xml:space="preserve"> </w:t>
      </w:r>
      <w:r w:rsidR="001E2341" w:rsidRPr="00DF1E30">
        <w:t xml:space="preserve">studies examined daily ERD in relation to other outcomes that were not captured in the sections above, including </w:t>
      </w:r>
      <w:r w:rsidR="00E06CB8" w:rsidRPr="00DF1E30">
        <w:t xml:space="preserve">studies of adolescents with </w:t>
      </w:r>
      <w:r w:rsidR="00F61B50" w:rsidRPr="00DF1E30">
        <w:t xml:space="preserve">a focus on </w:t>
      </w:r>
      <w:r w:rsidR="00A70AB3" w:rsidRPr="00DF1E30">
        <w:t>psychometric</w:t>
      </w:r>
      <w:r w:rsidR="00E06CB8" w:rsidRPr="00DF1E30">
        <w:t xml:space="preserve"> properties</w:t>
      </w:r>
      <w:r w:rsidR="00A70AB3" w:rsidRPr="00DF1E30">
        <w:t xml:space="preserve"> of daily ERD measures (Feng et al., 2021) and </w:t>
      </w:r>
      <w:r w:rsidR="00E06CB8" w:rsidRPr="00DF1E30">
        <w:t xml:space="preserve">associations between ERD and </w:t>
      </w:r>
      <w:r w:rsidR="001E2341" w:rsidRPr="00DF1E30">
        <w:t xml:space="preserve">school grade point average (Huynh &amp; </w:t>
      </w:r>
      <w:proofErr w:type="spellStart"/>
      <w:r w:rsidR="001E2341" w:rsidRPr="00DF1E30">
        <w:t>Fuligni</w:t>
      </w:r>
      <w:proofErr w:type="spellEnd"/>
      <w:r w:rsidR="001E2341" w:rsidRPr="00DF1E30">
        <w:t xml:space="preserve">, 2010), daily classroom engagement (Richardson, 2015), </w:t>
      </w:r>
      <w:r w:rsidR="00E06CB8" w:rsidRPr="00DF1E30">
        <w:t xml:space="preserve">and </w:t>
      </w:r>
      <w:r w:rsidR="001E2341" w:rsidRPr="00DF1E30">
        <w:t xml:space="preserve">time spent with family (Kiang &amp; </w:t>
      </w:r>
      <w:proofErr w:type="spellStart"/>
      <w:r w:rsidR="001E2341" w:rsidRPr="00DF1E30">
        <w:t>Witkow</w:t>
      </w:r>
      <w:proofErr w:type="spellEnd"/>
      <w:r w:rsidR="001E2341" w:rsidRPr="00DF1E30">
        <w:t>, 2017)</w:t>
      </w:r>
      <w:r w:rsidR="00E06CB8" w:rsidRPr="00DF1E30">
        <w:t xml:space="preserve">. </w:t>
      </w:r>
      <w:r w:rsidR="001E2341" w:rsidRPr="00DF1E30">
        <w:t xml:space="preserve">In one of few intervention studies in this review, Sherman et al. (2013) found that participating in a school-based values affirmation intervention (compared to control group with similar activities but without attention to values affirmation) disrupted the day-to-day link between Latino American adolescents’ daily identity threat (i.e., being worried that people will make race-based judgments) and daily sense of academic fit (i.e., </w:t>
      </w:r>
      <w:r w:rsidR="001E2341" w:rsidRPr="00DF1E30">
        <w:lastRenderedPageBreak/>
        <w:t xml:space="preserve">feeling a sense of belonging and efficacy to succeed in school). In other words, daily threats to adolescents’ ERI were associated with a lower sense of academic fit, but a values affirmation intervention as part of their school curriculum provided a buffer that attenuated this relation. </w:t>
      </w:r>
      <w:r w:rsidR="003A249F" w:rsidRPr="00DF1E30">
        <w:t xml:space="preserve">Studies with college students have also examined ERD in relation to substance use </w:t>
      </w:r>
      <w:r w:rsidR="00B626A2" w:rsidRPr="00DF1E30">
        <w:t xml:space="preserve">using daily diaries </w:t>
      </w:r>
      <w:r w:rsidR="003A249F" w:rsidRPr="00DF1E30">
        <w:t>(Greenfield, 2015</w:t>
      </w:r>
      <w:r w:rsidR="00B626A2" w:rsidRPr="00DF1E30">
        <w:t>) and EMA (</w:t>
      </w:r>
      <w:r w:rsidR="003A249F" w:rsidRPr="00DF1E30">
        <w:t xml:space="preserve">Hunter et al., 2022) and </w:t>
      </w:r>
      <w:r w:rsidR="00395D2B" w:rsidRPr="00DF1E30">
        <w:t xml:space="preserve">in relation to </w:t>
      </w:r>
      <w:r w:rsidR="003A249F" w:rsidRPr="00DF1E30">
        <w:t>maladaptive eating behaviors (e.g., overeating, loss of control</w:t>
      </w:r>
      <w:r w:rsidR="00B626A2" w:rsidRPr="00DF1E30">
        <w:t>) using EMA (</w:t>
      </w:r>
      <w:r w:rsidR="003A249F" w:rsidRPr="00DF1E30">
        <w:t>K. L. Brown et al., 2022)</w:t>
      </w:r>
      <w:r w:rsidR="00B626A2" w:rsidRPr="00DF1E30">
        <w:t xml:space="preserve">. Other </w:t>
      </w:r>
      <w:r w:rsidR="00BC135B" w:rsidRPr="00DF1E30">
        <w:t xml:space="preserve">daily diary studies have examined ERD as </w:t>
      </w:r>
      <w:r w:rsidR="008740F3" w:rsidRPr="00DF1E30">
        <w:t xml:space="preserve">a moderator of relations between daily </w:t>
      </w:r>
      <w:r w:rsidR="00207C55" w:rsidRPr="00DF1E30">
        <w:t>agreeableness and mainstream cultural orientation (Wu et al., 2023)</w:t>
      </w:r>
      <w:r w:rsidR="00D903DC" w:rsidRPr="00DF1E30">
        <w:t xml:space="preserve"> and between </w:t>
      </w:r>
      <w:r w:rsidR="00F219EB" w:rsidRPr="00DF1E30">
        <w:t>daily self-compassion and COVID-19 protective behaviors</w:t>
      </w:r>
      <w:r w:rsidR="00685B56" w:rsidRPr="00DF1E30">
        <w:t xml:space="preserve"> (Zhang et al., 2022)</w:t>
      </w:r>
      <w:r w:rsidR="003A249F" w:rsidRPr="00DF1E30">
        <w:t xml:space="preserve">. </w:t>
      </w:r>
      <w:r w:rsidR="001E2341" w:rsidRPr="00DF1E30">
        <w:t xml:space="preserve">Given that few </w:t>
      </w:r>
      <w:r w:rsidR="00872873" w:rsidRPr="00DF1E30">
        <w:t xml:space="preserve">daily process </w:t>
      </w:r>
      <w:r w:rsidR="001E2341" w:rsidRPr="00DF1E30">
        <w:t xml:space="preserve">studies have focused on </w:t>
      </w:r>
      <w:r w:rsidR="00207C55" w:rsidRPr="00DF1E30">
        <w:t>these outcome domains</w:t>
      </w:r>
      <w:r w:rsidR="00FA2C0C" w:rsidRPr="00DF1E30">
        <w:t xml:space="preserve">, </w:t>
      </w:r>
      <w:r w:rsidR="001E2341" w:rsidRPr="00DF1E30">
        <w:t xml:space="preserve">additional research is needed in these areas before firm conclusions may be drawn. </w:t>
      </w:r>
    </w:p>
    <w:p w14:paraId="0CC59B35" w14:textId="75E48A3A" w:rsidR="00D457EA" w:rsidRPr="00DF1E30" w:rsidRDefault="00D457EA" w:rsidP="00D457EA">
      <w:pPr>
        <w:spacing w:line="480" w:lineRule="auto"/>
        <w:rPr>
          <w:b/>
          <w:bCs/>
          <w:i/>
          <w:iCs/>
        </w:rPr>
      </w:pPr>
      <w:r w:rsidRPr="00DF1E30">
        <w:rPr>
          <w:b/>
          <w:bCs/>
          <w:i/>
          <w:iCs/>
        </w:rPr>
        <w:t>Ethnic-Racial Identity</w:t>
      </w:r>
      <w:r w:rsidR="00DA2B23" w:rsidRPr="00DF1E30">
        <w:rPr>
          <w:b/>
          <w:bCs/>
          <w:i/>
          <w:iCs/>
        </w:rPr>
        <w:t xml:space="preserve"> (ERI)</w:t>
      </w:r>
      <w:r w:rsidRPr="00DF1E30">
        <w:rPr>
          <w:b/>
          <w:bCs/>
          <w:i/>
          <w:iCs/>
        </w:rPr>
        <w:t xml:space="preserve"> – Other Constructs</w:t>
      </w:r>
    </w:p>
    <w:p w14:paraId="5073BDB8" w14:textId="3FEC62CA" w:rsidR="00D457EA" w:rsidRPr="00DF1E30" w:rsidRDefault="00D457EA" w:rsidP="00D457EA">
      <w:pPr>
        <w:spacing w:line="480" w:lineRule="auto"/>
        <w:ind w:firstLine="720"/>
      </w:pPr>
      <w:r w:rsidRPr="00DF1E30">
        <w:t xml:space="preserve">Four studies assessed ERI-related constructs that did not fall into the categories referenced in prior sections of the review, including cultural identification and ethnic/racial disidentification (Dane et al., 2020; </w:t>
      </w:r>
      <w:proofErr w:type="spellStart"/>
      <w:r w:rsidRPr="00DF1E30">
        <w:t>Perunovic</w:t>
      </w:r>
      <w:proofErr w:type="spellEnd"/>
      <w:r w:rsidRPr="00DF1E30">
        <w:t xml:space="preserve"> et al., 2007, 2011; Yip, 2016). For example, two </w:t>
      </w:r>
      <w:r w:rsidR="00C47646" w:rsidRPr="00DF1E30">
        <w:t xml:space="preserve">ESM </w:t>
      </w:r>
      <w:r w:rsidRPr="00DF1E30">
        <w:t>studies examined the interplay between cultural identification and emotion among Canadian college students by collecting three momentary diary reports a day for 10 days, finding that interrelations among positive and negative affect and short-term extrinsic motivation varied as a function of individuals identifying with a Western culture (i.e., Canadian) or Asian culture (i.e., Chinese) across different everyday situations (</w:t>
      </w:r>
      <w:proofErr w:type="spellStart"/>
      <w:r w:rsidRPr="00DF1E30">
        <w:t>Perunovic</w:t>
      </w:r>
      <w:proofErr w:type="spellEnd"/>
      <w:r w:rsidRPr="00DF1E30">
        <w:t xml:space="preserve"> et al., 2007, 2011). Another study of </w:t>
      </w:r>
      <w:proofErr w:type="spellStart"/>
      <w:r w:rsidRPr="00DF1E30">
        <w:t>ethnoracially</w:t>
      </w:r>
      <w:proofErr w:type="spellEnd"/>
      <w:r w:rsidRPr="00DF1E30">
        <w:t xml:space="preserve"> diverse college students of color (in the U.S.) used daily </w:t>
      </w:r>
      <w:r w:rsidR="00606AF3" w:rsidRPr="00DF1E30">
        <w:t>diaries</w:t>
      </w:r>
      <w:r w:rsidRPr="00DF1E30">
        <w:t xml:space="preserve"> to assess ethnic/racial disidentification, or psychologically distancing from one’s ERI when this identity is threatened to preserve a positive sense of self (Yip, 2016). Findings indicated that </w:t>
      </w:r>
      <w:r w:rsidRPr="00DF1E30">
        <w:lastRenderedPageBreak/>
        <w:t xml:space="preserve">disidentification was higher on days when students reported being more negatively affected by group stereotypes, which also corresponded with higher negative and lower positive mood, specifically for students who reported generally higher ERI centrality and private regard (assessed using standard survey measures). Due to the few </w:t>
      </w:r>
      <w:r w:rsidR="00606AF3" w:rsidRPr="00DF1E30">
        <w:t xml:space="preserve">daily process </w:t>
      </w:r>
      <w:r w:rsidRPr="00DF1E30">
        <w:t>studies that have assessed these varying ERI constructs, more research is needed to draw firm conclusions from these preliminary findings.</w:t>
      </w:r>
    </w:p>
    <w:p w14:paraId="61E605A7" w14:textId="6781C51D" w:rsidR="00D457EA" w:rsidRPr="00DF1E30" w:rsidRDefault="003F1EEF" w:rsidP="00D457EA">
      <w:pPr>
        <w:spacing w:line="480" w:lineRule="auto"/>
      </w:pPr>
      <w:r w:rsidRPr="00DF1E30">
        <w:rPr>
          <w:b/>
          <w:bCs/>
          <w:i/>
          <w:iCs/>
        </w:rPr>
        <w:t xml:space="preserve">Ethnic-Racial Outgroup Contact </w:t>
      </w:r>
      <w:r w:rsidR="00DA2B23" w:rsidRPr="00DF1E30">
        <w:rPr>
          <w:b/>
          <w:bCs/>
          <w:i/>
          <w:iCs/>
        </w:rPr>
        <w:t xml:space="preserve">(EROC) </w:t>
      </w:r>
      <w:r w:rsidRPr="00DF1E30">
        <w:rPr>
          <w:b/>
          <w:bCs/>
          <w:i/>
          <w:iCs/>
        </w:rPr>
        <w:t>Among Adolescents</w:t>
      </w:r>
    </w:p>
    <w:p w14:paraId="5A7BF9FA" w14:textId="1C41BE8B" w:rsidR="003F1EEF" w:rsidRPr="00DF1E30" w:rsidRDefault="003F1EEF" w:rsidP="003F1EEF">
      <w:pPr>
        <w:spacing w:line="480" w:lineRule="auto"/>
      </w:pPr>
      <w:r w:rsidRPr="00DF1E30">
        <w:tab/>
        <w:t>Of three EROC studies with adolescents, two studies examined the extent to which outgroup contact in daily situations was associated with mood-related measures and whether this association varied by the presence of outgroup friends and majority/minorit</w:t>
      </w:r>
      <w:r w:rsidR="00C37C41" w:rsidRPr="00DF1E30">
        <w:t>ized</w:t>
      </w:r>
      <w:r w:rsidRPr="00DF1E30">
        <w:t xml:space="preserve"> group status (Shelton et al., 2014; Van Acker et al., 2014). </w:t>
      </w:r>
      <w:r w:rsidR="002365B7" w:rsidRPr="00DF1E30">
        <w:t>In an ESM study,</w:t>
      </w:r>
      <w:r w:rsidRPr="00DF1E30">
        <w:t xml:space="preserve"> Shelton et al. (2014) found that, for ethnic-racial minorit</w:t>
      </w:r>
      <w:r w:rsidR="00C37C41" w:rsidRPr="00DF1E30">
        <w:t>ized</w:t>
      </w:r>
      <w:r w:rsidRPr="00DF1E30">
        <w:t xml:space="preserve"> youth, interacting with White individuals in situations throughout the day was associated with feeling misunderstood, but this association was attenuated by the presence of White friends in the interactions. For White youth, interacting with ethnic-racial minorit</w:t>
      </w:r>
      <w:r w:rsidR="00E96FD0" w:rsidRPr="00DF1E30">
        <w:t>ized</w:t>
      </w:r>
      <w:r w:rsidRPr="00DF1E30">
        <w:t xml:space="preserve"> group individuals was also associated with feeling misunderstood, but the association did not differ by the presence of minorit</w:t>
      </w:r>
      <w:r w:rsidR="00945BF3" w:rsidRPr="00DF1E30">
        <w:t>ized</w:t>
      </w:r>
      <w:r w:rsidRPr="00DF1E30">
        <w:t xml:space="preserve"> group friends. Another study adopted a novel approach to incorporate diaries into an intervention design. In a study of U.S. American, Israeli, and Palestinian youth participating in a U.S.-based program designed to foster intergroup contact, adolescents assigned to the coexistence/recategorization condition (i.e., promoting common in-group identity among different groups) endorsed higher intergroup closeness across 2 weeks of </w:t>
      </w:r>
      <w:r w:rsidR="008B2043" w:rsidRPr="00DF1E30">
        <w:t>up to 26 diaries</w:t>
      </w:r>
      <w:r w:rsidRPr="00DF1E30">
        <w:t xml:space="preserve">, compared to adolescents in the mutual differentiation condition (i.e., promoting a contact setting that replicates conflict, emphasizing power and status differences between groups; Hammack et al., 2014). </w:t>
      </w:r>
    </w:p>
    <w:p w14:paraId="6131DC23" w14:textId="72FEB7C7" w:rsidR="003F1EEF" w:rsidRPr="00DF1E30" w:rsidRDefault="003F1EEF" w:rsidP="003F1EEF">
      <w:pPr>
        <w:spacing w:line="480" w:lineRule="auto"/>
        <w:ind w:firstLine="720"/>
      </w:pPr>
      <w:r w:rsidRPr="00DF1E30">
        <w:lastRenderedPageBreak/>
        <w:t xml:space="preserve">Thus, </w:t>
      </w:r>
      <w:r w:rsidR="00606AF3" w:rsidRPr="00DF1E30">
        <w:t xml:space="preserve">daily process </w:t>
      </w:r>
      <w:r w:rsidRPr="00DF1E30">
        <w:t>studies have shown preliminary evidence for the variability in adolescents’ feelings associated with EROC in their daily lives as a function of the presence of friends and majority/minorit</w:t>
      </w:r>
      <w:r w:rsidR="00F80B7C" w:rsidRPr="00DF1E30">
        <w:t>ized</w:t>
      </w:r>
      <w:r w:rsidRPr="00DF1E30">
        <w:t xml:space="preserve"> group status of the social actors involved. Moreover, there is intriguing evidence, albeit from a single study, that providing structured opportunities for outgroup contact in alignment with a coexistence ideology (</w:t>
      </w:r>
      <w:r w:rsidR="008A2DE7" w:rsidRPr="00DF1E30">
        <w:t>rather than</w:t>
      </w:r>
      <w:r w:rsidRPr="00DF1E30">
        <w:t xml:space="preserve"> differentiation) resulted in feelings of closeness with outgroup peers. </w:t>
      </w:r>
      <w:r w:rsidR="00606AF3" w:rsidRPr="00DF1E30">
        <w:t xml:space="preserve">Daily process </w:t>
      </w:r>
      <w:r w:rsidRPr="00DF1E30">
        <w:t xml:space="preserve">methods are particularly suited to assess the nature, correlates, and outcomes of EROC due to collecting responses soon after these social interactions occur. EROC </w:t>
      </w:r>
      <w:r w:rsidR="00872873" w:rsidRPr="00DF1E30">
        <w:t xml:space="preserve">measures </w:t>
      </w:r>
      <w:r w:rsidRPr="00DF1E30">
        <w:t xml:space="preserve">may also be useful outcomes for interventions designed to promote positive interracial contact experiences. As these intergroup interactions occur within other proximal contexts of youth development (e.g., peer groups, school and neighborhood settings), more </w:t>
      </w:r>
      <w:r w:rsidR="00606AF3" w:rsidRPr="00DF1E30">
        <w:t xml:space="preserve">daily process </w:t>
      </w:r>
      <w:r w:rsidRPr="00DF1E30">
        <w:t xml:space="preserve">research is needed in settings that vary with respect to ethnic-racial composition to better understand the range of opportunities that youth have to engage in EROC and how this variability may contribute to antecedents and consequences of EROC. </w:t>
      </w:r>
    </w:p>
    <w:p w14:paraId="20157511" w14:textId="4BE37DB3" w:rsidR="00780665" w:rsidRPr="00DF1E30" w:rsidRDefault="00780665" w:rsidP="00780665">
      <w:pPr>
        <w:spacing w:line="480" w:lineRule="auto"/>
      </w:pPr>
      <w:r w:rsidRPr="00DF1E30">
        <w:rPr>
          <w:b/>
          <w:bCs/>
          <w:i/>
          <w:iCs/>
        </w:rPr>
        <w:t>Ethnic-Racial Outgroup Contact (EROC) Among Adults</w:t>
      </w:r>
    </w:p>
    <w:p w14:paraId="60980B88" w14:textId="77AA7484" w:rsidR="00A45ADA" w:rsidRDefault="00A45ADA" w:rsidP="00A45ADA">
      <w:pPr>
        <w:spacing w:line="480" w:lineRule="auto"/>
        <w:ind w:firstLine="720"/>
      </w:pPr>
      <w:r w:rsidRPr="00DF1E30">
        <w:t xml:space="preserve">There were five EROC studies with adult samples outside of a university setting. Two of these were peer-reviewed studies </w:t>
      </w:r>
      <w:r w:rsidR="00DE338A" w:rsidRPr="00DF1E30">
        <w:t xml:space="preserve">using </w:t>
      </w:r>
      <w:r w:rsidR="00B3459A" w:rsidRPr="00DF1E30">
        <w:t xml:space="preserve">ESM </w:t>
      </w:r>
      <w:r w:rsidRPr="00DF1E30">
        <w:t>(Cook et al., 2012</w:t>
      </w:r>
      <w:r w:rsidR="00B3459A" w:rsidRPr="00DF1E30">
        <w:t>) and daily diaries (</w:t>
      </w:r>
      <w:r w:rsidRPr="00DF1E30">
        <w:t xml:space="preserve">Prati et al., 2022), and three were dissertations </w:t>
      </w:r>
      <w:r w:rsidR="000C1EBA" w:rsidRPr="00DF1E30">
        <w:t xml:space="preserve">using daily diaries </w:t>
      </w:r>
      <w:r w:rsidRPr="00DF1E30">
        <w:t>(Berry, 2017; Tan, 2013)</w:t>
      </w:r>
      <w:r w:rsidR="000C1EBA" w:rsidRPr="00DF1E30">
        <w:t xml:space="preserve"> and both ESM and daily diaries in the same study (Sharples, 2018)</w:t>
      </w:r>
      <w:r w:rsidRPr="00DF1E30">
        <w:t xml:space="preserve">. In a study of </w:t>
      </w:r>
      <w:proofErr w:type="spellStart"/>
      <w:r w:rsidRPr="00DF1E30">
        <w:t>ethnoracially</w:t>
      </w:r>
      <w:proofErr w:type="spellEnd"/>
      <w:r w:rsidRPr="00DF1E30">
        <w:t xml:space="preserve"> diverse adults in Canada reporting on social interactions up to 4 times daily across 5 days, participants reported more anxiety when interacting with outgroup members compared to ingroup members, on average (Sharples, 2018). When analyzing associations separately for adults of color, greater closeness to White adults and less anxiety about interacting with White people predicted more </w:t>
      </w:r>
      <w:r w:rsidRPr="00DF1E30">
        <w:lastRenderedPageBreak/>
        <w:t>positive attitudes toward White people. For White adults, more direct contact with adults of color predicted greater closeness to people of color, and this greater closeness in turn predicted more positive attitudes toward people of color. In contrast to this study and those with college student samples, Cook et al. (2012) found that Black and White adults did not report feeling more discomfort when interacting with outgroup compared to ingroup members, controlling for how many daily interaction partners were considered friends. The limited number of daily process studies with adult samples makes it difficult to draw firm conclusions about specific insights gained from this methodology for the study of EROC. Moving forward, it will be important for researchers to continue attending to majority/minorit</w:t>
      </w:r>
      <w:r w:rsidR="00780665" w:rsidRPr="00DF1E30">
        <w:t>ized</w:t>
      </w:r>
      <w:r w:rsidRPr="00DF1E30">
        <w:t xml:space="preserve"> group status differences in the everyday processes of EROC and associated daily emotions.</w:t>
      </w:r>
      <w:r>
        <w:t xml:space="preserve"> </w:t>
      </w:r>
    </w:p>
    <w:p w14:paraId="659606D4" w14:textId="77777777" w:rsidR="006F5EBE" w:rsidRDefault="006F5EBE"/>
    <w:sectPr w:rsidR="006F5EB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E27C1" w14:textId="77777777" w:rsidR="00CF69FE" w:rsidRDefault="00CF69FE" w:rsidP="00870A4C">
      <w:r>
        <w:separator/>
      </w:r>
    </w:p>
  </w:endnote>
  <w:endnote w:type="continuationSeparator" w:id="0">
    <w:p w14:paraId="3AA58E3B" w14:textId="77777777" w:rsidR="00CF69FE" w:rsidRDefault="00CF69FE" w:rsidP="00870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8B97D" w14:textId="77777777" w:rsidR="00CF69FE" w:rsidRDefault="00CF69FE" w:rsidP="00870A4C">
      <w:r>
        <w:separator/>
      </w:r>
    </w:p>
  </w:footnote>
  <w:footnote w:type="continuationSeparator" w:id="0">
    <w:p w14:paraId="784D90ED" w14:textId="77777777" w:rsidR="00CF69FE" w:rsidRDefault="00CF69FE" w:rsidP="00870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EC27A" w14:textId="615B1C17" w:rsidR="00870A4C" w:rsidRDefault="00870A4C" w:rsidP="00870A4C">
    <w:pPr>
      <w:pStyle w:val="Header"/>
    </w:pPr>
    <w:r>
      <w:t xml:space="preserve">ETHNIC-RACIAL EXPERIENCES IDENTITY SYSTEMATIC REVIEW </w:t>
    </w:r>
    <w:r>
      <w:tab/>
    </w:r>
    <w:sdt>
      <w:sdtPr>
        <w:id w:val="-173067395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24C529E" w14:textId="6D88DEAE" w:rsidR="00870A4C" w:rsidRDefault="00870A4C">
    <w:pPr>
      <w:pStyle w:val="Header"/>
    </w:pPr>
    <w:r>
      <w:t>SUPPLEMENTARY MATERIALS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A5"/>
    <w:rsid w:val="000011E2"/>
    <w:rsid w:val="000017A3"/>
    <w:rsid w:val="000021CC"/>
    <w:rsid w:val="00007241"/>
    <w:rsid w:val="00021A7D"/>
    <w:rsid w:val="00021CFC"/>
    <w:rsid w:val="00034EBC"/>
    <w:rsid w:val="00050BCB"/>
    <w:rsid w:val="00060587"/>
    <w:rsid w:val="00062E6D"/>
    <w:rsid w:val="000926BE"/>
    <w:rsid w:val="00095A8C"/>
    <w:rsid w:val="000A7386"/>
    <w:rsid w:val="000B3015"/>
    <w:rsid w:val="000B6900"/>
    <w:rsid w:val="000C1EBA"/>
    <w:rsid w:val="00104C4A"/>
    <w:rsid w:val="00114DE2"/>
    <w:rsid w:val="0012165E"/>
    <w:rsid w:val="00127F08"/>
    <w:rsid w:val="0019658C"/>
    <w:rsid w:val="001A17A1"/>
    <w:rsid w:val="001A3291"/>
    <w:rsid w:val="001B46B2"/>
    <w:rsid w:val="001D62A8"/>
    <w:rsid w:val="001E2341"/>
    <w:rsid w:val="001E3122"/>
    <w:rsid w:val="00202850"/>
    <w:rsid w:val="00207C55"/>
    <w:rsid w:val="00216B34"/>
    <w:rsid w:val="002365B7"/>
    <w:rsid w:val="00236A22"/>
    <w:rsid w:val="002526B8"/>
    <w:rsid w:val="00265020"/>
    <w:rsid w:val="00272A27"/>
    <w:rsid w:val="002F2031"/>
    <w:rsid w:val="00304BA2"/>
    <w:rsid w:val="003411EA"/>
    <w:rsid w:val="00382A19"/>
    <w:rsid w:val="00384295"/>
    <w:rsid w:val="00395D2B"/>
    <w:rsid w:val="003A249F"/>
    <w:rsid w:val="003B1AB6"/>
    <w:rsid w:val="003C1180"/>
    <w:rsid w:val="003D033F"/>
    <w:rsid w:val="003D5A2B"/>
    <w:rsid w:val="003E116F"/>
    <w:rsid w:val="003E163A"/>
    <w:rsid w:val="003F1EEF"/>
    <w:rsid w:val="00427D85"/>
    <w:rsid w:val="004457E1"/>
    <w:rsid w:val="00452E5B"/>
    <w:rsid w:val="00463495"/>
    <w:rsid w:val="00470F47"/>
    <w:rsid w:val="004931E2"/>
    <w:rsid w:val="004C79E1"/>
    <w:rsid w:val="00502345"/>
    <w:rsid w:val="00512CB8"/>
    <w:rsid w:val="005159E2"/>
    <w:rsid w:val="005178D2"/>
    <w:rsid w:val="005442D4"/>
    <w:rsid w:val="00587F15"/>
    <w:rsid w:val="00594463"/>
    <w:rsid w:val="005C5ECA"/>
    <w:rsid w:val="005D7922"/>
    <w:rsid w:val="005E7E8D"/>
    <w:rsid w:val="00606AF3"/>
    <w:rsid w:val="00633150"/>
    <w:rsid w:val="00653BCA"/>
    <w:rsid w:val="00665336"/>
    <w:rsid w:val="00685B56"/>
    <w:rsid w:val="006B7B7C"/>
    <w:rsid w:val="006C2142"/>
    <w:rsid w:val="006E05A7"/>
    <w:rsid w:val="006F5EBE"/>
    <w:rsid w:val="0071240C"/>
    <w:rsid w:val="00720B73"/>
    <w:rsid w:val="00721363"/>
    <w:rsid w:val="007317E1"/>
    <w:rsid w:val="00745274"/>
    <w:rsid w:val="007510E7"/>
    <w:rsid w:val="00751A56"/>
    <w:rsid w:val="00755A47"/>
    <w:rsid w:val="007674A5"/>
    <w:rsid w:val="00780665"/>
    <w:rsid w:val="007D3D06"/>
    <w:rsid w:val="007F0C9A"/>
    <w:rsid w:val="00805AF8"/>
    <w:rsid w:val="00817C7A"/>
    <w:rsid w:val="008335DB"/>
    <w:rsid w:val="00847223"/>
    <w:rsid w:val="00863650"/>
    <w:rsid w:val="00870A4C"/>
    <w:rsid w:val="00872873"/>
    <w:rsid w:val="008740F3"/>
    <w:rsid w:val="00875D68"/>
    <w:rsid w:val="0088201A"/>
    <w:rsid w:val="008A2DE7"/>
    <w:rsid w:val="008B1AC9"/>
    <w:rsid w:val="008B2043"/>
    <w:rsid w:val="008D21B4"/>
    <w:rsid w:val="008E1007"/>
    <w:rsid w:val="008F74F5"/>
    <w:rsid w:val="00905782"/>
    <w:rsid w:val="009158E0"/>
    <w:rsid w:val="0091605F"/>
    <w:rsid w:val="00944C06"/>
    <w:rsid w:val="00945BF3"/>
    <w:rsid w:val="0095215D"/>
    <w:rsid w:val="0096631A"/>
    <w:rsid w:val="009822E4"/>
    <w:rsid w:val="0098765C"/>
    <w:rsid w:val="009A5C39"/>
    <w:rsid w:val="009F1101"/>
    <w:rsid w:val="00A158FB"/>
    <w:rsid w:val="00A21483"/>
    <w:rsid w:val="00A45ADA"/>
    <w:rsid w:val="00A70AB3"/>
    <w:rsid w:val="00A84421"/>
    <w:rsid w:val="00AA155E"/>
    <w:rsid w:val="00B01D91"/>
    <w:rsid w:val="00B03307"/>
    <w:rsid w:val="00B304C5"/>
    <w:rsid w:val="00B3459A"/>
    <w:rsid w:val="00B447AC"/>
    <w:rsid w:val="00B543F4"/>
    <w:rsid w:val="00B626A2"/>
    <w:rsid w:val="00B82B01"/>
    <w:rsid w:val="00B91921"/>
    <w:rsid w:val="00BA2006"/>
    <w:rsid w:val="00BB49E6"/>
    <w:rsid w:val="00BC135B"/>
    <w:rsid w:val="00BE7813"/>
    <w:rsid w:val="00C1533D"/>
    <w:rsid w:val="00C37C41"/>
    <w:rsid w:val="00C47646"/>
    <w:rsid w:val="00C64AA3"/>
    <w:rsid w:val="00CB3466"/>
    <w:rsid w:val="00CB59C8"/>
    <w:rsid w:val="00CC487C"/>
    <w:rsid w:val="00CD172A"/>
    <w:rsid w:val="00CD60AD"/>
    <w:rsid w:val="00CF69FE"/>
    <w:rsid w:val="00D04859"/>
    <w:rsid w:val="00D0570F"/>
    <w:rsid w:val="00D362FB"/>
    <w:rsid w:val="00D457EA"/>
    <w:rsid w:val="00D724CC"/>
    <w:rsid w:val="00D744A9"/>
    <w:rsid w:val="00D903DC"/>
    <w:rsid w:val="00D9054D"/>
    <w:rsid w:val="00DA2B23"/>
    <w:rsid w:val="00DB3B68"/>
    <w:rsid w:val="00DE22FB"/>
    <w:rsid w:val="00DE338A"/>
    <w:rsid w:val="00DF1E30"/>
    <w:rsid w:val="00DF686D"/>
    <w:rsid w:val="00E06CB8"/>
    <w:rsid w:val="00E3175F"/>
    <w:rsid w:val="00E65936"/>
    <w:rsid w:val="00E8116F"/>
    <w:rsid w:val="00E96FD0"/>
    <w:rsid w:val="00EA2841"/>
    <w:rsid w:val="00EA4627"/>
    <w:rsid w:val="00EC0D65"/>
    <w:rsid w:val="00EC3CC6"/>
    <w:rsid w:val="00ED1943"/>
    <w:rsid w:val="00EE664D"/>
    <w:rsid w:val="00EF201B"/>
    <w:rsid w:val="00F219EB"/>
    <w:rsid w:val="00F3434B"/>
    <w:rsid w:val="00F61B50"/>
    <w:rsid w:val="00F62C2B"/>
    <w:rsid w:val="00F80B7C"/>
    <w:rsid w:val="00F91824"/>
    <w:rsid w:val="00FA2C0C"/>
    <w:rsid w:val="00FC4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02B5"/>
  <w15:chartTrackingRefBased/>
  <w15:docId w15:val="{D27740E5-9F8B-4088-A5D6-9FB6C3F9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341"/>
    <w:pPr>
      <w:spacing w:after="0" w:line="240" w:lineRule="auto"/>
    </w:pPr>
    <w:rPr>
      <w:rFonts w:eastAsia="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0A4C"/>
    <w:pPr>
      <w:tabs>
        <w:tab w:val="center" w:pos="4680"/>
        <w:tab w:val="right" w:pos="9360"/>
      </w:tabs>
    </w:pPr>
  </w:style>
  <w:style w:type="character" w:customStyle="1" w:styleId="HeaderChar">
    <w:name w:val="Header Char"/>
    <w:basedOn w:val="DefaultParagraphFont"/>
    <w:link w:val="Header"/>
    <w:uiPriority w:val="99"/>
    <w:rsid w:val="00870A4C"/>
    <w:rPr>
      <w:rFonts w:eastAsia="Times New Roman" w:cs="Times New Roman"/>
      <w:kern w:val="0"/>
      <w:sz w:val="24"/>
      <w:szCs w:val="24"/>
      <w14:ligatures w14:val="none"/>
    </w:rPr>
  </w:style>
  <w:style w:type="paragraph" w:styleId="Footer">
    <w:name w:val="footer"/>
    <w:basedOn w:val="Normal"/>
    <w:link w:val="FooterChar"/>
    <w:uiPriority w:val="99"/>
    <w:unhideWhenUsed/>
    <w:rsid w:val="00870A4C"/>
    <w:pPr>
      <w:tabs>
        <w:tab w:val="center" w:pos="4680"/>
        <w:tab w:val="right" w:pos="9360"/>
      </w:tabs>
    </w:pPr>
  </w:style>
  <w:style w:type="character" w:customStyle="1" w:styleId="FooterChar">
    <w:name w:val="Footer Char"/>
    <w:basedOn w:val="DefaultParagraphFont"/>
    <w:link w:val="Footer"/>
    <w:uiPriority w:val="99"/>
    <w:rsid w:val="00870A4C"/>
    <w:rPr>
      <w:rFonts w:eastAsia="Times New Roman" w:cs="Times New Roman"/>
      <w:kern w:val="0"/>
      <w:sz w:val="24"/>
      <w:szCs w:val="24"/>
      <w14:ligatures w14:val="none"/>
    </w:rPr>
  </w:style>
  <w:style w:type="paragraph" w:styleId="Revision">
    <w:name w:val="Revision"/>
    <w:hidden/>
    <w:uiPriority w:val="99"/>
    <w:semiHidden/>
    <w:rsid w:val="00606AF3"/>
    <w:pPr>
      <w:spacing w:after="0" w:line="240" w:lineRule="auto"/>
    </w:pPr>
    <w:rPr>
      <w:rFonts w:eastAsia="Times New Roman" w:cs="Times New Roman"/>
      <w:kern w:val="0"/>
      <w:sz w:val="24"/>
      <w:szCs w:val="24"/>
      <w14:ligatures w14:val="none"/>
    </w:rPr>
  </w:style>
  <w:style w:type="paragraph" w:styleId="FootnoteText">
    <w:name w:val="footnote text"/>
    <w:basedOn w:val="Normal"/>
    <w:link w:val="FootnoteTextChar"/>
    <w:uiPriority w:val="99"/>
    <w:rsid w:val="00D9054D"/>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9054D"/>
    <w:rPr>
      <w:rFonts w:asciiTheme="minorHAnsi" w:hAnsiTheme="minorHAnsi"/>
      <w:kern w:val="0"/>
      <w:sz w:val="24"/>
      <w:szCs w:val="24"/>
      <w14:ligatures w14:val="none"/>
    </w:rPr>
  </w:style>
  <w:style w:type="character" w:styleId="FootnoteReference">
    <w:name w:val="footnote reference"/>
    <w:basedOn w:val="DefaultParagraphFont"/>
    <w:uiPriority w:val="99"/>
    <w:rsid w:val="00D905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2353714">
      <w:bodyDiv w:val="1"/>
      <w:marLeft w:val="0"/>
      <w:marRight w:val="0"/>
      <w:marTop w:val="0"/>
      <w:marBottom w:val="0"/>
      <w:divBdr>
        <w:top w:val="none" w:sz="0" w:space="0" w:color="auto"/>
        <w:left w:val="none" w:sz="0" w:space="0" w:color="auto"/>
        <w:bottom w:val="none" w:sz="0" w:space="0" w:color="auto"/>
        <w:right w:val="none" w:sz="0" w:space="0" w:color="auto"/>
      </w:divBdr>
    </w:div>
    <w:div w:id="158992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2226</Words>
  <Characters>12692</Characters>
  <Application>Microsoft Office Word</Application>
  <DocSecurity>0</DocSecurity>
  <Lines>105</Lines>
  <Paragraphs>29</Paragraphs>
  <ScaleCrop>false</ScaleCrop>
  <Company/>
  <LinksUpToDate>false</LinksUpToDate>
  <CharactersWithSpaces>14889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Sladek, Mike</dc:creator>
  <cp:keywords/>
  <dc:description/>
  <cp:lastModifiedBy>Hill, John</cp:lastModifiedBy>
  <cp:revision>12</cp:revision>
  <dcterms:created xsi:type="dcterms:W3CDTF">2024-09-02T17:46:00Z</dcterms:created>
  <dcterms:modified xsi:type="dcterms:W3CDTF">2025-01-10T16:38:00Z</dcterms:modified>
</cp:coreProperties>
</file>