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DF2A" w14:textId="77777777" w:rsidR="00107344" w:rsidRDefault="00247C59" w:rsidP="00AE35D2">
      <w:pPr>
        <w:jc w:val="center"/>
        <w:rPr>
          <w:b/>
        </w:rPr>
      </w:pPr>
      <w:r>
        <w:rPr>
          <w:b/>
        </w:rPr>
        <w:t xml:space="preserve">The Effectiveness and Acceptability of Empirically-Supported Treatments in </w:t>
      </w:r>
    </w:p>
    <w:p w14:paraId="07E2873C" w14:textId="560189BB" w:rsidR="00247C59" w:rsidRDefault="00247C59" w:rsidP="00AE35D2">
      <w:pPr>
        <w:jc w:val="center"/>
        <w:rPr>
          <w:b/>
          <w:color w:val="000000"/>
        </w:rPr>
      </w:pPr>
      <w:r>
        <w:rPr>
          <w:b/>
        </w:rPr>
        <w:t xml:space="preserve">Gender Minority Youth Across </w:t>
      </w:r>
      <w:r>
        <w:rPr>
          <w:b/>
          <w:color w:val="000000"/>
        </w:rPr>
        <w:t>Four Randomized Controlled T</w:t>
      </w:r>
      <w:r>
        <w:rPr>
          <w:b/>
        </w:rPr>
        <w:t>rials</w:t>
      </w:r>
    </w:p>
    <w:p w14:paraId="5B2483EA" w14:textId="77777777" w:rsidR="00AE35D2" w:rsidRDefault="00AE35D2" w:rsidP="00D3384C">
      <w:pPr>
        <w:pStyle w:val="Body"/>
        <w:rPr>
          <w:rFonts w:ascii="Times New Roman" w:hAnsi="Times New Roman" w:cs="Times New Roman"/>
          <w:b/>
          <w:bCs/>
          <w:sz w:val="24"/>
          <w:szCs w:val="24"/>
        </w:rPr>
      </w:pPr>
    </w:p>
    <w:p w14:paraId="22E59BC6" w14:textId="77777777" w:rsidR="00247C59" w:rsidRDefault="00247C59" w:rsidP="00AE35D2">
      <w:pPr>
        <w:pStyle w:val="Body"/>
        <w:jc w:val="center"/>
        <w:rPr>
          <w:rFonts w:ascii="Times New Roman" w:hAnsi="Times New Roman" w:cs="Times New Roman"/>
          <w:b/>
          <w:bCs/>
          <w:sz w:val="24"/>
          <w:szCs w:val="24"/>
        </w:rPr>
      </w:pPr>
      <w:r>
        <w:rPr>
          <w:rFonts w:ascii="Times New Roman" w:hAnsi="Times New Roman" w:cs="Times New Roman"/>
          <w:b/>
          <w:bCs/>
          <w:sz w:val="24"/>
          <w:szCs w:val="24"/>
        </w:rPr>
        <w:t>Online Supplemental Materials</w:t>
      </w:r>
    </w:p>
    <w:p w14:paraId="5D95C6C1" w14:textId="77777777" w:rsidR="00AE35D2" w:rsidRDefault="00AE35D2" w:rsidP="00AE35D2">
      <w:pPr>
        <w:pStyle w:val="Body"/>
        <w:jc w:val="center"/>
        <w:rPr>
          <w:rFonts w:ascii="Times New Roman" w:hAnsi="Times New Roman" w:cs="Times New Roman"/>
          <w:b/>
          <w:bCs/>
          <w:sz w:val="24"/>
          <w:szCs w:val="24"/>
        </w:rPr>
      </w:pPr>
    </w:p>
    <w:tbl>
      <w:tblPr>
        <w:tblStyle w:val="TableGrid"/>
        <w:tblW w:w="9360" w:type="dxa"/>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5"/>
        <w:gridCol w:w="7835"/>
      </w:tblGrid>
      <w:tr w:rsidR="0008071E" w14:paraId="18CBEC7E" w14:textId="77777777" w:rsidTr="009F32FF">
        <w:trPr>
          <w:trHeight w:hRule="exact" w:val="288"/>
        </w:trPr>
        <w:tc>
          <w:tcPr>
            <w:tcW w:w="1525" w:type="dxa"/>
          </w:tcPr>
          <w:p w14:paraId="6BE4F49A" w14:textId="531D4926"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r w:rsidR="009F32FF" w:rsidRPr="009F32FF">
              <w:rPr>
                <w:rFonts w:ascii="Times New Roman" w:hAnsi="Times New Roman" w:cs="Times New Roman"/>
                <w:b/>
                <w:bCs/>
                <w:sz w:val="24"/>
                <w:szCs w:val="24"/>
              </w:rPr>
              <w:t>Table S1</w:t>
            </w:r>
          </w:p>
        </w:tc>
        <w:tc>
          <w:tcPr>
            <w:tcW w:w="7835" w:type="dxa"/>
          </w:tcPr>
          <w:p w14:paraId="49889BC0" w14:textId="32C6F3FE" w:rsidR="0008071E" w:rsidRPr="009F32FF" w:rsidRDefault="009F32FF"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F32FF">
              <w:rPr>
                <w:rFonts w:ascii="Times New Roman" w:hAnsi="Times New Roman" w:cs="Times New Roman"/>
                <w:b/>
                <w:sz w:val="24"/>
                <w:szCs w:val="24"/>
              </w:rPr>
              <w:t>RCT-specific Demographics and Treatment Condition Allocation</w:t>
            </w:r>
          </w:p>
        </w:tc>
      </w:tr>
      <w:tr w:rsidR="009F32FF" w14:paraId="3E887A29" w14:textId="77777777" w:rsidTr="009F32FF">
        <w:trPr>
          <w:trHeight w:hRule="exact" w:val="288"/>
        </w:trPr>
        <w:tc>
          <w:tcPr>
            <w:tcW w:w="1525" w:type="dxa"/>
          </w:tcPr>
          <w:p w14:paraId="29C2051D" w14:textId="7B7FAB77" w:rsidR="009F32FF" w:rsidRPr="009F32FF" w:rsidRDefault="009F32FF"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4036">
              <w:rPr>
                <w:rFonts w:ascii="Times New Roman" w:hAnsi="Times New Roman" w:cs="Times New Roman"/>
                <w:b/>
                <w:bCs/>
                <w:sz w:val="24"/>
                <w:szCs w:val="24"/>
              </w:rPr>
              <w:t>Part I</w:t>
            </w:r>
          </w:p>
        </w:tc>
        <w:tc>
          <w:tcPr>
            <w:tcW w:w="7835" w:type="dxa"/>
          </w:tcPr>
          <w:p w14:paraId="134AFAE9" w14:textId="3DEE9F60" w:rsidR="009F32FF" w:rsidRDefault="009F32FF"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F32FF">
              <w:rPr>
                <w:rFonts w:ascii="Times New Roman" w:hAnsi="Times New Roman" w:cs="Times New Roman"/>
                <w:b/>
                <w:bCs/>
                <w:sz w:val="24"/>
                <w:szCs w:val="24"/>
              </w:rPr>
              <w:t>Method, Validity, and Reliability of GM Classification</w:t>
            </w:r>
          </w:p>
        </w:tc>
      </w:tr>
      <w:tr w:rsidR="0008071E" w14:paraId="02AB16E0" w14:textId="77777777" w:rsidTr="009F32FF">
        <w:trPr>
          <w:trHeight w:hRule="exact" w:val="288"/>
        </w:trPr>
        <w:tc>
          <w:tcPr>
            <w:tcW w:w="1525" w:type="dxa"/>
          </w:tcPr>
          <w:p w14:paraId="623C6C26" w14:textId="6052DE6A"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b/>
                <w:bCs/>
                <w:sz w:val="24"/>
                <w:szCs w:val="24"/>
              </w:rPr>
            </w:pPr>
            <w:r w:rsidRPr="009F32FF">
              <w:rPr>
                <w:rFonts w:ascii="Times New Roman" w:hAnsi="Times New Roman" w:cs="Times New Roman"/>
                <w:sz w:val="24"/>
                <w:szCs w:val="24"/>
              </w:rPr>
              <w:t xml:space="preserve"> </w:t>
            </w:r>
            <w:r w:rsidR="009F32FF" w:rsidRPr="009F32FF">
              <w:rPr>
                <w:rFonts w:ascii="Times New Roman" w:hAnsi="Times New Roman" w:cs="Times New Roman"/>
                <w:b/>
                <w:bCs/>
                <w:sz w:val="24"/>
                <w:szCs w:val="24"/>
              </w:rPr>
              <w:t>Table S2</w:t>
            </w:r>
          </w:p>
        </w:tc>
        <w:tc>
          <w:tcPr>
            <w:tcW w:w="7835" w:type="dxa"/>
          </w:tcPr>
          <w:p w14:paraId="430DC77E" w14:textId="21170A54" w:rsidR="0008071E" w:rsidRPr="009F32FF" w:rsidRDefault="009F32FF"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F32FF">
              <w:rPr>
                <w:rFonts w:ascii="Times New Roman" w:hAnsi="Times New Roman" w:cs="Times New Roman"/>
                <w:b/>
                <w:sz w:val="24"/>
                <w:szCs w:val="24"/>
              </w:rPr>
              <w:t>GM-Classification Variable Correlations Over Time</w:t>
            </w:r>
            <w:r w:rsidR="0008071E" w:rsidRPr="009F32FF">
              <w:rPr>
                <w:rFonts w:ascii="Times New Roman" w:hAnsi="Times New Roman" w:cs="Times New Roman"/>
                <w:sz w:val="24"/>
                <w:szCs w:val="24"/>
              </w:rPr>
              <w:t xml:space="preserve"> </w:t>
            </w:r>
          </w:p>
        </w:tc>
      </w:tr>
      <w:tr w:rsidR="0008071E" w14:paraId="1989C71E" w14:textId="77777777" w:rsidTr="009F32FF">
        <w:trPr>
          <w:trHeight w:hRule="exact" w:val="288"/>
        </w:trPr>
        <w:tc>
          <w:tcPr>
            <w:tcW w:w="1525" w:type="dxa"/>
          </w:tcPr>
          <w:p w14:paraId="78994AA4" w14:textId="18CC0329"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r w:rsidR="009F32FF" w:rsidRPr="009F32FF">
              <w:rPr>
                <w:rFonts w:ascii="Times New Roman" w:hAnsi="Times New Roman" w:cs="Times New Roman"/>
                <w:b/>
                <w:bCs/>
                <w:sz w:val="24"/>
                <w:szCs w:val="24"/>
              </w:rPr>
              <w:t>Table S3</w:t>
            </w:r>
          </w:p>
        </w:tc>
        <w:tc>
          <w:tcPr>
            <w:tcW w:w="7835" w:type="dxa"/>
          </w:tcPr>
          <w:p w14:paraId="4B2802C0" w14:textId="1795E253" w:rsidR="009F32FF" w:rsidRPr="0056129A" w:rsidRDefault="0008071E" w:rsidP="009F32FF">
            <w:pPr>
              <w:rPr>
                <w:b/>
                <w:bCs/>
              </w:rPr>
            </w:pPr>
            <w:r w:rsidRPr="009F32FF">
              <w:t xml:space="preserve"> </w:t>
            </w:r>
            <w:r w:rsidR="009F32FF" w:rsidRPr="0056129A">
              <w:rPr>
                <w:b/>
                <w:bCs/>
              </w:rPr>
              <w:t xml:space="preserve">Correlations </w:t>
            </w:r>
            <w:r w:rsidR="009F32FF">
              <w:rPr>
                <w:b/>
                <w:bCs/>
              </w:rPr>
              <w:t>in</w:t>
            </w:r>
            <w:r w:rsidR="009F32FF" w:rsidRPr="0056129A">
              <w:rPr>
                <w:b/>
                <w:bCs/>
              </w:rPr>
              <w:t xml:space="preserve"> Acceptability and Symptom </w:t>
            </w:r>
            <w:r w:rsidR="009F32FF">
              <w:rPr>
                <w:b/>
                <w:bCs/>
              </w:rPr>
              <w:t>Improvement</w:t>
            </w:r>
          </w:p>
          <w:p w14:paraId="2BD1696C"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p>
          <w:p w14:paraId="1BC617BF"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p>
        </w:tc>
      </w:tr>
      <w:tr w:rsidR="0008071E" w14:paraId="35544A13" w14:textId="77777777" w:rsidTr="009F32FF">
        <w:trPr>
          <w:trHeight w:hRule="exact" w:val="288"/>
        </w:trPr>
        <w:tc>
          <w:tcPr>
            <w:tcW w:w="1525" w:type="dxa"/>
          </w:tcPr>
          <w:p w14:paraId="55A87D60" w14:textId="12BBE66B"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r w:rsidR="009F32FF" w:rsidRPr="009F32FF">
              <w:rPr>
                <w:rFonts w:ascii="Times New Roman" w:hAnsi="Times New Roman" w:cs="Times New Roman"/>
                <w:b/>
                <w:bCs/>
                <w:sz w:val="24"/>
                <w:szCs w:val="24"/>
              </w:rPr>
              <w:t>Table S4</w:t>
            </w:r>
          </w:p>
        </w:tc>
        <w:tc>
          <w:tcPr>
            <w:tcW w:w="7835" w:type="dxa"/>
          </w:tcPr>
          <w:p w14:paraId="3BDE9D8C" w14:textId="67F1B78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r w:rsidR="007737E6" w:rsidRPr="007737E6">
              <w:rPr>
                <w:rFonts w:ascii="Times New Roman" w:hAnsi="Times New Roman" w:cs="Times New Roman"/>
                <w:b/>
                <w:bCs/>
                <w:sz w:val="24"/>
                <w:szCs w:val="24"/>
              </w:rPr>
              <w:t xml:space="preserve">Treatment </w:t>
            </w:r>
            <w:r w:rsidR="009F32FF" w:rsidRPr="009F32FF">
              <w:rPr>
                <w:rFonts w:ascii="Times New Roman" w:hAnsi="Times New Roman" w:cs="Times New Roman"/>
                <w:b/>
                <w:bCs/>
                <w:sz w:val="24"/>
                <w:szCs w:val="24"/>
              </w:rPr>
              <w:t>Satisfaction by GM Classification</w:t>
            </w:r>
          </w:p>
          <w:p w14:paraId="664EDD3F"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p>
          <w:p w14:paraId="7A8AAE79"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p>
        </w:tc>
      </w:tr>
      <w:tr w:rsidR="00010034" w14:paraId="5C85B78F" w14:textId="77777777" w:rsidTr="009F32FF">
        <w:trPr>
          <w:trHeight w:hRule="exact" w:val="288"/>
        </w:trPr>
        <w:tc>
          <w:tcPr>
            <w:tcW w:w="1525" w:type="dxa"/>
          </w:tcPr>
          <w:p w14:paraId="6E229647" w14:textId="4B537409" w:rsidR="00010034" w:rsidRPr="008C7462" w:rsidRDefault="00010034"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764036">
              <w:rPr>
                <w:rFonts w:ascii="Times New Roman" w:hAnsi="Times New Roman" w:cs="Times New Roman"/>
                <w:b/>
                <w:bCs/>
                <w:sz w:val="24"/>
                <w:szCs w:val="24"/>
              </w:rPr>
              <w:t>Part II</w:t>
            </w:r>
          </w:p>
        </w:tc>
        <w:tc>
          <w:tcPr>
            <w:tcW w:w="7835" w:type="dxa"/>
          </w:tcPr>
          <w:p w14:paraId="3FEC04EC" w14:textId="337AC804" w:rsidR="00010034" w:rsidRPr="008C7462" w:rsidRDefault="00010034"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Treatment Duration</w:t>
            </w:r>
            <w:r w:rsidR="0081389C">
              <w:rPr>
                <w:rFonts w:ascii="Times New Roman" w:hAnsi="Times New Roman" w:cs="Times New Roman"/>
                <w:b/>
                <w:bCs/>
                <w:sz w:val="24"/>
                <w:szCs w:val="24"/>
              </w:rPr>
              <w:t xml:space="preserve"> as an Indicator of Acceptability</w:t>
            </w:r>
          </w:p>
        </w:tc>
      </w:tr>
      <w:tr w:rsidR="00A71D14" w14:paraId="1135C342" w14:textId="77777777" w:rsidTr="009F32FF">
        <w:trPr>
          <w:trHeight w:hRule="exact" w:val="288"/>
        </w:trPr>
        <w:tc>
          <w:tcPr>
            <w:tcW w:w="1525" w:type="dxa"/>
          </w:tcPr>
          <w:p w14:paraId="7CC2AFB0" w14:textId="4E24F558" w:rsidR="00A71D14" w:rsidRDefault="00A71D14" w:rsidP="00A71D1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7462">
              <w:rPr>
                <w:rFonts w:ascii="Times New Roman" w:hAnsi="Times New Roman" w:cs="Times New Roman"/>
                <w:b/>
                <w:bCs/>
                <w:sz w:val="24"/>
                <w:szCs w:val="24"/>
              </w:rPr>
              <w:t>Table S5</w:t>
            </w:r>
          </w:p>
        </w:tc>
        <w:tc>
          <w:tcPr>
            <w:tcW w:w="7835" w:type="dxa"/>
          </w:tcPr>
          <w:p w14:paraId="53DAEFFE" w14:textId="7AE51A17" w:rsidR="00A71D14" w:rsidRDefault="00A71D14" w:rsidP="00A71D1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Treatment Duration by GM Classification</w:t>
            </w:r>
          </w:p>
        </w:tc>
      </w:tr>
      <w:tr w:rsidR="000E6CEC" w14:paraId="247364B1" w14:textId="77777777" w:rsidTr="009F32FF">
        <w:trPr>
          <w:trHeight w:hRule="exact" w:val="288"/>
        </w:trPr>
        <w:tc>
          <w:tcPr>
            <w:tcW w:w="1525" w:type="dxa"/>
          </w:tcPr>
          <w:p w14:paraId="65EE1C9F" w14:textId="67D44588" w:rsidR="000E6CEC" w:rsidRPr="0081389C" w:rsidRDefault="000E6CEC"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b/>
                <w:bCs/>
                <w:sz w:val="24"/>
                <w:szCs w:val="24"/>
              </w:rPr>
            </w:pPr>
            <w:r w:rsidRPr="000E6CEC">
              <w:rPr>
                <w:rFonts w:ascii="Times New Roman" w:hAnsi="Times New Roman" w:cs="Times New Roman"/>
                <w:sz w:val="24"/>
                <w:szCs w:val="24"/>
              </w:rPr>
              <w:t xml:space="preserve"> </w:t>
            </w:r>
            <w:r w:rsidRPr="0081389C">
              <w:rPr>
                <w:rFonts w:ascii="Times New Roman" w:hAnsi="Times New Roman" w:cs="Times New Roman"/>
                <w:b/>
                <w:bCs/>
                <w:sz w:val="24"/>
                <w:szCs w:val="24"/>
              </w:rPr>
              <w:t>Table S6</w:t>
            </w:r>
          </w:p>
        </w:tc>
        <w:tc>
          <w:tcPr>
            <w:tcW w:w="7835" w:type="dxa"/>
          </w:tcPr>
          <w:p w14:paraId="2E71DD1A" w14:textId="1D0F8CA2" w:rsidR="000E6CEC" w:rsidRPr="000E6CEC" w:rsidRDefault="000E6CEC" w:rsidP="000E6CEC">
            <w:pPr>
              <w:rPr>
                <w:b/>
                <w:bCs/>
              </w:rPr>
            </w:pPr>
            <w:r w:rsidRPr="000E6CEC">
              <w:rPr>
                <w:b/>
                <w:bCs/>
              </w:rPr>
              <w:t xml:space="preserve"> </w:t>
            </w:r>
            <w:r w:rsidR="00703E3F">
              <w:rPr>
                <w:b/>
                <w:bCs/>
              </w:rPr>
              <w:t>Symptom Severity and Improvement in CG Youth by Birth-assigned Sex</w:t>
            </w:r>
          </w:p>
          <w:p w14:paraId="7ACCF8D8" w14:textId="77777777" w:rsidR="000E6CEC" w:rsidRPr="000E6CEC" w:rsidRDefault="000E6CEC"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p>
        </w:tc>
      </w:tr>
      <w:tr w:rsidR="000E6CEC" w14:paraId="3F9E13FE" w14:textId="77777777" w:rsidTr="009F32FF">
        <w:trPr>
          <w:trHeight w:hRule="exact" w:val="288"/>
        </w:trPr>
        <w:tc>
          <w:tcPr>
            <w:tcW w:w="1525" w:type="dxa"/>
          </w:tcPr>
          <w:p w14:paraId="77A42655" w14:textId="02076532" w:rsidR="000E6CEC" w:rsidRPr="0081389C" w:rsidRDefault="000E6CEC"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b/>
                <w:bCs/>
                <w:sz w:val="24"/>
                <w:szCs w:val="24"/>
              </w:rPr>
            </w:pPr>
            <w:r w:rsidRPr="000E6CEC">
              <w:rPr>
                <w:rFonts w:ascii="Times New Roman" w:hAnsi="Times New Roman" w:cs="Times New Roman"/>
                <w:sz w:val="24"/>
                <w:szCs w:val="24"/>
              </w:rPr>
              <w:t xml:space="preserve"> </w:t>
            </w:r>
            <w:r w:rsidRPr="0081389C">
              <w:rPr>
                <w:rFonts w:ascii="Times New Roman" w:hAnsi="Times New Roman" w:cs="Times New Roman"/>
                <w:b/>
                <w:bCs/>
                <w:sz w:val="24"/>
                <w:szCs w:val="24"/>
              </w:rPr>
              <w:t>Table S7</w:t>
            </w:r>
          </w:p>
        </w:tc>
        <w:tc>
          <w:tcPr>
            <w:tcW w:w="7835" w:type="dxa"/>
          </w:tcPr>
          <w:p w14:paraId="3CFA367C" w14:textId="77777777" w:rsidR="00703E3F" w:rsidRDefault="000E6CEC" w:rsidP="00703E3F">
            <w:pPr>
              <w:rPr>
                <w:b/>
                <w:bCs/>
              </w:rPr>
            </w:pPr>
            <w:r w:rsidRPr="000E6CEC">
              <w:t xml:space="preserve"> </w:t>
            </w:r>
            <w:r w:rsidR="00703E3F">
              <w:rPr>
                <w:b/>
                <w:bCs/>
              </w:rPr>
              <w:t>Symptom Severity and Improvement in GM Youth by Birth-assigned Sex</w:t>
            </w:r>
          </w:p>
          <w:p w14:paraId="6F5F8C81" w14:textId="660911FB" w:rsidR="000E6CEC" w:rsidRPr="000E6CEC" w:rsidRDefault="000E6CEC"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p>
        </w:tc>
      </w:tr>
      <w:tr w:rsidR="0008071E" w14:paraId="4DBFBA86" w14:textId="77777777" w:rsidTr="009F32FF">
        <w:trPr>
          <w:trHeight w:hRule="exact" w:val="288"/>
        </w:trPr>
        <w:tc>
          <w:tcPr>
            <w:tcW w:w="1525" w:type="dxa"/>
          </w:tcPr>
          <w:p w14:paraId="7DAA86F3" w14:textId="65E14842"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r w:rsidR="00764036">
              <w:rPr>
                <w:rFonts w:ascii="Times New Roman" w:hAnsi="Times New Roman" w:cs="Times New Roman"/>
                <w:b/>
                <w:bCs/>
                <w:sz w:val="24"/>
                <w:szCs w:val="24"/>
              </w:rPr>
              <w:t>Part III</w:t>
            </w:r>
          </w:p>
        </w:tc>
        <w:tc>
          <w:tcPr>
            <w:tcW w:w="7835" w:type="dxa"/>
          </w:tcPr>
          <w:p w14:paraId="1ABF6F9B" w14:textId="4FAE60A9" w:rsidR="009F32FF" w:rsidRPr="009F32FF" w:rsidRDefault="0008071E" w:rsidP="009F32FF">
            <w:pPr>
              <w:rPr>
                <w:b/>
                <w:bCs/>
              </w:rPr>
            </w:pPr>
            <w:r w:rsidRPr="009F32FF">
              <w:t xml:space="preserve"> </w:t>
            </w:r>
            <w:r w:rsidR="009F32FF" w:rsidRPr="009F32FF">
              <w:rPr>
                <w:b/>
                <w:bCs/>
              </w:rPr>
              <w:t>Examining Higher-Level Models of Symptom Improvement</w:t>
            </w:r>
          </w:p>
          <w:p w14:paraId="1208267F"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p>
          <w:p w14:paraId="5DB98052"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p>
          <w:p w14:paraId="307CADBF"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p>
          <w:p w14:paraId="3A2237B4" w14:textId="77777777" w:rsidR="0008071E" w:rsidRPr="009F32FF" w:rsidRDefault="0008071E" w:rsidP="009F32FF">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sz w:val="24"/>
                <w:szCs w:val="24"/>
              </w:rPr>
            </w:pPr>
            <w:r w:rsidRPr="009F32FF">
              <w:rPr>
                <w:rFonts w:ascii="Times New Roman" w:hAnsi="Times New Roman" w:cs="Times New Roman"/>
                <w:sz w:val="24"/>
                <w:szCs w:val="24"/>
              </w:rPr>
              <w:t xml:space="preserve"> </w:t>
            </w:r>
          </w:p>
        </w:tc>
      </w:tr>
    </w:tbl>
    <w:p w14:paraId="4F63811E" w14:textId="77777777" w:rsidR="00AE35D2" w:rsidRDefault="00AE35D2" w:rsidP="00AE35D2">
      <w:pPr>
        <w:pStyle w:val="Body"/>
        <w:jc w:val="center"/>
        <w:rPr>
          <w:rFonts w:ascii="Times New Roman" w:hAnsi="Times New Roman" w:cs="Times New Roman"/>
          <w:b/>
          <w:bCs/>
          <w:sz w:val="24"/>
          <w:szCs w:val="24"/>
        </w:rPr>
      </w:pPr>
    </w:p>
    <w:p w14:paraId="375D3EF4" w14:textId="77777777" w:rsidR="00247C59" w:rsidRDefault="00247C59" w:rsidP="00AE35D2">
      <w:pPr>
        <w:pStyle w:val="Body"/>
        <w:spacing w:line="480" w:lineRule="auto"/>
        <w:rPr>
          <w:rFonts w:ascii="Times New Roman" w:hAnsi="Times New Roman" w:cs="Times New Roman"/>
          <w:b/>
          <w:bCs/>
          <w:sz w:val="24"/>
          <w:szCs w:val="24"/>
        </w:rPr>
      </w:pPr>
    </w:p>
    <w:p w14:paraId="0F44F56E" w14:textId="77777777" w:rsidR="00247C59" w:rsidRDefault="00247C59" w:rsidP="00247C59">
      <w:pPr>
        <w:pStyle w:val="Body"/>
        <w:spacing w:line="480" w:lineRule="auto"/>
        <w:jc w:val="center"/>
        <w:rPr>
          <w:rFonts w:ascii="Times New Roman" w:hAnsi="Times New Roman" w:cs="Times New Roman"/>
          <w:b/>
          <w:bCs/>
          <w:sz w:val="24"/>
          <w:szCs w:val="24"/>
        </w:rPr>
      </w:pPr>
    </w:p>
    <w:p w14:paraId="638827D1" w14:textId="77777777" w:rsidR="00247C59" w:rsidRDefault="00247C59" w:rsidP="00247C59">
      <w:pPr>
        <w:pStyle w:val="Body"/>
        <w:spacing w:line="480" w:lineRule="auto"/>
        <w:jc w:val="center"/>
        <w:rPr>
          <w:rFonts w:ascii="Times New Roman" w:hAnsi="Times New Roman" w:cs="Times New Roman"/>
          <w:b/>
          <w:bCs/>
          <w:sz w:val="24"/>
          <w:szCs w:val="24"/>
        </w:rPr>
      </w:pPr>
    </w:p>
    <w:p w14:paraId="796C793B" w14:textId="77777777" w:rsidR="00247C59" w:rsidRDefault="00247C59" w:rsidP="00247C59">
      <w:pPr>
        <w:pStyle w:val="Body"/>
        <w:spacing w:line="480" w:lineRule="auto"/>
        <w:jc w:val="center"/>
        <w:rPr>
          <w:rFonts w:ascii="Times New Roman" w:hAnsi="Times New Roman" w:cs="Times New Roman"/>
          <w:b/>
          <w:bCs/>
          <w:sz w:val="24"/>
          <w:szCs w:val="24"/>
        </w:rPr>
      </w:pPr>
    </w:p>
    <w:p w14:paraId="5173B362" w14:textId="77777777" w:rsidR="00247C59" w:rsidRDefault="00247C59" w:rsidP="00247C59">
      <w:pPr>
        <w:pStyle w:val="Body"/>
        <w:spacing w:line="480" w:lineRule="auto"/>
        <w:jc w:val="center"/>
        <w:rPr>
          <w:rFonts w:ascii="Times New Roman" w:hAnsi="Times New Roman" w:cs="Times New Roman"/>
          <w:b/>
          <w:bCs/>
          <w:sz w:val="24"/>
          <w:szCs w:val="24"/>
        </w:rPr>
      </w:pPr>
    </w:p>
    <w:p w14:paraId="5EB5A69E" w14:textId="77777777" w:rsidR="00247C59" w:rsidRDefault="00247C59" w:rsidP="00247C59">
      <w:pPr>
        <w:pStyle w:val="Body"/>
        <w:spacing w:line="480" w:lineRule="auto"/>
        <w:jc w:val="center"/>
        <w:rPr>
          <w:rFonts w:ascii="Times New Roman" w:hAnsi="Times New Roman" w:cs="Times New Roman"/>
          <w:b/>
          <w:bCs/>
          <w:sz w:val="24"/>
          <w:szCs w:val="24"/>
        </w:rPr>
      </w:pPr>
    </w:p>
    <w:p w14:paraId="79C5EA70" w14:textId="77777777" w:rsidR="00247C59" w:rsidRDefault="00247C59" w:rsidP="00247C59">
      <w:pPr>
        <w:pStyle w:val="Body"/>
        <w:spacing w:line="480" w:lineRule="auto"/>
        <w:jc w:val="center"/>
        <w:rPr>
          <w:rFonts w:ascii="Times New Roman" w:hAnsi="Times New Roman" w:cs="Times New Roman"/>
          <w:b/>
          <w:bCs/>
          <w:sz w:val="24"/>
          <w:szCs w:val="24"/>
        </w:rPr>
      </w:pPr>
    </w:p>
    <w:p w14:paraId="38BFD23C" w14:textId="77777777" w:rsidR="00247C59" w:rsidRDefault="00247C59" w:rsidP="00247C59">
      <w:pPr>
        <w:pStyle w:val="Body"/>
        <w:spacing w:line="480" w:lineRule="auto"/>
        <w:jc w:val="center"/>
        <w:rPr>
          <w:rFonts w:ascii="Times New Roman" w:hAnsi="Times New Roman" w:cs="Times New Roman"/>
          <w:b/>
          <w:bCs/>
          <w:sz w:val="24"/>
          <w:szCs w:val="24"/>
        </w:rPr>
      </w:pPr>
    </w:p>
    <w:p w14:paraId="31F111E7" w14:textId="77777777" w:rsidR="00247C59" w:rsidRDefault="00247C59" w:rsidP="00247C59">
      <w:pPr>
        <w:pStyle w:val="Body"/>
        <w:spacing w:line="480" w:lineRule="auto"/>
        <w:jc w:val="center"/>
        <w:rPr>
          <w:rFonts w:ascii="Times New Roman" w:hAnsi="Times New Roman" w:cs="Times New Roman"/>
          <w:b/>
          <w:bCs/>
          <w:sz w:val="24"/>
          <w:szCs w:val="24"/>
        </w:rPr>
      </w:pPr>
    </w:p>
    <w:p w14:paraId="0848970D" w14:textId="77777777" w:rsidR="00247C59" w:rsidRDefault="00247C59" w:rsidP="00247C59">
      <w:pPr>
        <w:pStyle w:val="Body"/>
        <w:spacing w:line="480" w:lineRule="auto"/>
        <w:jc w:val="center"/>
        <w:rPr>
          <w:rFonts w:ascii="Times New Roman" w:hAnsi="Times New Roman" w:cs="Times New Roman"/>
          <w:b/>
          <w:bCs/>
          <w:sz w:val="24"/>
          <w:szCs w:val="24"/>
        </w:rPr>
      </w:pPr>
    </w:p>
    <w:p w14:paraId="63D76FD0" w14:textId="77777777" w:rsidR="00247C59" w:rsidRDefault="00247C59" w:rsidP="00247C59">
      <w:pPr>
        <w:pStyle w:val="Body"/>
        <w:spacing w:line="480" w:lineRule="auto"/>
        <w:jc w:val="center"/>
        <w:rPr>
          <w:rFonts w:ascii="Times New Roman" w:hAnsi="Times New Roman" w:cs="Times New Roman"/>
          <w:b/>
          <w:bCs/>
          <w:sz w:val="24"/>
          <w:szCs w:val="24"/>
        </w:rPr>
      </w:pPr>
    </w:p>
    <w:p w14:paraId="5AE97134" w14:textId="77777777" w:rsidR="00247C59" w:rsidRDefault="00247C59" w:rsidP="00247C59">
      <w:pPr>
        <w:pStyle w:val="Body"/>
        <w:spacing w:line="480" w:lineRule="auto"/>
        <w:jc w:val="center"/>
        <w:rPr>
          <w:rFonts w:ascii="Times New Roman" w:hAnsi="Times New Roman" w:cs="Times New Roman"/>
          <w:b/>
          <w:bCs/>
          <w:sz w:val="24"/>
          <w:szCs w:val="24"/>
        </w:rPr>
      </w:pPr>
    </w:p>
    <w:p w14:paraId="48A8AE48" w14:textId="77777777" w:rsidR="00247C59" w:rsidRDefault="00247C59" w:rsidP="00247C59">
      <w:pPr>
        <w:pStyle w:val="Body"/>
        <w:spacing w:line="480" w:lineRule="auto"/>
        <w:jc w:val="center"/>
        <w:rPr>
          <w:rFonts w:ascii="Times New Roman" w:hAnsi="Times New Roman" w:cs="Times New Roman"/>
          <w:b/>
          <w:bCs/>
          <w:sz w:val="24"/>
          <w:szCs w:val="24"/>
        </w:rPr>
      </w:pPr>
    </w:p>
    <w:p w14:paraId="0A32EA8F" w14:textId="77777777" w:rsidR="00247C59" w:rsidRDefault="00247C59" w:rsidP="00247C59">
      <w:pPr>
        <w:pStyle w:val="Body"/>
        <w:spacing w:line="480" w:lineRule="auto"/>
        <w:jc w:val="center"/>
        <w:rPr>
          <w:rFonts w:ascii="Times New Roman" w:hAnsi="Times New Roman" w:cs="Times New Roman"/>
          <w:b/>
          <w:bCs/>
          <w:sz w:val="24"/>
          <w:szCs w:val="24"/>
        </w:rPr>
      </w:pPr>
    </w:p>
    <w:p w14:paraId="62E36373" w14:textId="77777777" w:rsidR="00E51B37" w:rsidRDefault="00E51B37" w:rsidP="00A71D14">
      <w:pPr>
        <w:pStyle w:val="Body"/>
        <w:spacing w:line="480" w:lineRule="auto"/>
        <w:rPr>
          <w:rFonts w:ascii="Times New Roman" w:hAnsi="Times New Roman" w:cs="Times New Roman"/>
          <w:b/>
          <w:bCs/>
          <w:sz w:val="24"/>
          <w:szCs w:val="24"/>
        </w:rPr>
      </w:pPr>
    </w:p>
    <w:p w14:paraId="49C7CD6E" w14:textId="4ABBFDA2" w:rsidR="00247C59" w:rsidRPr="0056129A" w:rsidRDefault="00DE63FD" w:rsidP="0056129A">
      <w:pPr>
        <w:pStyle w:val="Body"/>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Supplementary </w:t>
      </w:r>
      <w:r w:rsidR="00247C59" w:rsidRPr="0056129A">
        <w:rPr>
          <w:rFonts w:ascii="Times New Roman" w:hAnsi="Times New Roman" w:cs="Times New Roman"/>
          <w:b/>
          <w:bCs/>
          <w:sz w:val="24"/>
          <w:szCs w:val="24"/>
        </w:rPr>
        <w:t>Table S1</w:t>
      </w:r>
      <w:r w:rsidR="0056129A" w:rsidRPr="0056129A">
        <w:rPr>
          <w:rFonts w:ascii="Times New Roman" w:hAnsi="Times New Roman" w:cs="Times New Roman"/>
          <w:b/>
          <w:bCs/>
          <w:sz w:val="24"/>
          <w:szCs w:val="24"/>
        </w:rPr>
        <w:t xml:space="preserve">. </w:t>
      </w:r>
      <w:r w:rsidR="00247C59" w:rsidRPr="0056129A">
        <w:rPr>
          <w:rFonts w:ascii="Times New Roman" w:hAnsi="Times New Roman" w:cs="Times New Roman"/>
          <w:b/>
          <w:sz w:val="24"/>
          <w:szCs w:val="24"/>
        </w:rPr>
        <w:t>RCT-specific Demographics and Treatment Condition Allocation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00"/>
        <w:gridCol w:w="1530"/>
        <w:gridCol w:w="1530"/>
        <w:gridCol w:w="1710"/>
        <w:gridCol w:w="1710"/>
        <w:gridCol w:w="1080"/>
      </w:tblGrid>
      <w:tr w:rsidR="00247C59" w14:paraId="16EB652D" w14:textId="77777777" w:rsidTr="00247C59">
        <w:trPr>
          <w:trHeight w:hRule="exact" w:val="288"/>
        </w:trPr>
        <w:tc>
          <w:tcPr>
            <w:tcW w:w="1800" w:type="dxa"/>
            <w:vMerge w:val="restart"/>
            <w:tcBorders>
              <w:top w:val="single" w:sz="4" w:space="0" w:color="auto"/>
              <w:bottom w:val="single" w:sz="4" w:space="0" w:color="auto"/>
            </w:tcBorders>
          </w:tcPr>
          <w:p w14:paraId="1120CC68" w14:textId="6E74C2EB" w:rsidR="00247C59" w:rsidRDefault="0081389C"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rPr>
            </w:pPr>
            <w:r>
              <w:rPr>
                <w:rFonts w:ascii="Times New Roman" w:hAnsi="Times New Roman"/>
                <w:sz w:val="24"/>
                <w:szCs w:val="24"/>
              </w:rPr>
              <w:t>Pretreatment</w:t>
            </w:r>
            <w:r w:rsidR="002D5915">
              <w:rPr>
                <w:rFonts w:ascii="Times New Roman" w:hAnsi="Times New Roman"/>
                <w:sz w:val="24"/>
                <w:szCs w:val="24"/>
              </w:rPr>
              <w:t xml:space="preserve"> </w:t>
            </w:r>
            <w:r w:rsidR="00247C59">
              <w:rPr>
                <w:rFonts w:ascii="Times New Roman" w:hAnsi="Times New Roman"/>
                <w:sz w:val="24"/>
                <w:szCs w:val="24"/>
              </w:rPr>
              <w:t xml:space="preserve">  </w:t>
            </w:r>
            <w:r w:rsidR="00247C59">
              <w:rPr>
                <w:rFonts w:ascii="Times New Roman" w:hAnsi="Times New Roman"/>
                <w:sz w:val="24"/>
                <w:szCs w:val="24"/>
              </w:rPr>
              <w:br/>
              <w:t>characteristics</w:t>
            </w:r>
          </w:p>
          <w:p w14:paraId="324E6449" w14:textId="77777777"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530" w:type="dxa"/>
            <w:vMerge w:val="restart"/>
            <w:tcBorders>
              <w:top w:val="single" w:sz="4" w:space="0" w:color="auto"/>
              <w:bottom w:val="single" w:sz="4" w:space="0" w:color="auto"/>
            </w:tcBorders>
          </w:tcPr>
          <w:p w14:paraId="046A0855"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proofErr w:type="spellStart"/>
            <w:r>
              <w:rPr>
                <w:rFonts w:ascii="Times New Roman" w:hAnsi="Times New Roman"/>
                <w:sz w:val="24"/>
                <w:szCs w:val="24"/>
              </w:rPr>
              <w:t>Chorpita</w:t>
            </w:r>
            <w:proofErr w:type="spellEnd"/>
            <w:r>
              <w:rPr>
                <w:rFonts w:ascii="Times New Roman" w:hAnsi="Times New Roman"/>
                <w:sz w:val="24"/>
                <w:szCs w:val="24"/>
              </w:rPr>
              <w:t xml:space="preserve"> et al.,</w:t>
            </w:r>
          </w:p>
          <w:p w14:paraId="72CE671D" w14:textId="77777777"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2013</w:t>
            </w:r>
            <w:r>
              <w:rPr>
                <w:rFonts w:ascii="Times New Roman" w:hAnsi="Times New Roman"/>
                <w:sz w:val="24"/>
                <w:szCs w:val="24"/>
              </w:rPr>
              <w:br/>
              <w:t>(</w:t>
            </w:r>
            <w:r w:rsidRPr="003F66AF">
              <w:rPr>
                <w:rFonts w:ascii="Times New Roman" w:hAnsi="Times New Roman"/>
                <w:i/>
                <w:iCs/>
                <w:sz w:val="24"/>
                <w:szCs w:val="24"/>
              </w:rPr>
              <w:t>N</w:t>
            </w:r>
            <w:r>
              <w:rPr>
                <w:rFonts w:ascii="Times New Roman" w:hAnsi="Times New Roman"/>
                <w:sz w:val="24"/>
                <w:szCs w:val="24"/>
              </w:rPr>
              <w:t xml:space="preserve"> = 174)</w:t>
            </w:r>
          </w:p>
        </w:tc>
        <w:tc>
          <w:tcPr>
            <w:tcW w:w="1530" w:type="dxa"/>
            <w:vMerge w:val="restart"/>
            <w:tcBorders>
              <w:top w:val="single" w:sz="4" w:space="0" w:color="auto"/>
              <w:bottom w:val="single" w:sz="4" w:space="0" w:color="auto"/>
            </w:tcBorders>
          </w:tcPr>
          <w:p w14:paraId="7356B340"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 xml:space="preserve">Weisz et al., </w:t>
            </w:r>
            <w:r>
              <w:rPr>
                <w:rFonts w:ascii="Times New Roman" w:hAnsi="Times New Roman"/>
                <w:sz w:val="24"/>
                <w:szCs w:val="24"/>
              </w:rPr>
              <w:br/>
              <w:t>2019</w:t>
            </w:r>
          </w:p>
          <w:p w14:paraId="602797DB"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N</w:t>
            </w:r>
            <w:r>
              <w:rPr>
                <w:rFonts w:ascii="Times New Roman" w:hAnsi="Times New Roman"/>
                <w:sz w:val="24"/>
                <w:szCs w:val="24"/>
              </w:rPr>
              <w:t xml:space="preserve"> = 156)</w:t>
            </w:r>
          </w:p>
        </w:tc>
        <w:tc>
          <w:tcPr>
            <w:tcW w:w="1710" w:type="dxa"/>
            <w:vMerge w:val="restart"/>
            <w:tcBorders>
              <w:top w:val="single" w:sz="4" w:space="0" w:color="auto"/>
              <w:bottom w:val="single" w:sz="4" w:space="0" w:color="auto"/>
            </w:tcBorders>
          </w:tcPr>
          <w:p w14:paraId="69F9A544"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 xml:space="preserve">Weisz, </w:t>
            </w:r>
            <w:proofErr w:type="spellStart"/>
            <w:r>
              <w:rPr>
                <w:rFonts w:ascii="Times New Roman" w:hAnsi="Times New Roman"/>
                <w:sz w:val="24"/>
                <w:szCs w:val="24"/>
              </w:rPr>
              <w:t>Ugueto</w:t>
            </w:r>
            <w:proofErr w:type="spellEnd"/>
          </w:p>
          <w:p w14:paraId="29461372" w14:textId="77777777" w:rsidR="00247C59" w:rsidRPr="00C2476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et al., 2018</w:t>
            </w:r>
          </w:p>
          <w:p w14:paraId="0064CBEB"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N</w:t>
            </w:r>
            <w:r>
              <w:rPr>
                <w:rFonts w:ascii="Times New Roman" w:hAnsi="Times New Roman"/>
                <w:sz w:val="24"/>
                <w:szCs w:val="24"/>
              </w:rPr>
              <w:t xml:space="preserve"> = 168)</w:t>
            </w:r>
          </w:p>
        </w:tc>
        <w:tc>
          <w:tcPr>
            <w:tcW w:w="1710" w:type="dxa"/>
            <w:vMerge w:val="restart"/>
            <w:tcBorders>
              <w:top w:val="single" w:sz="4" w:space="0" w:color="auto"/>
              <w:bottom w:val="single" w:sz="4" w:space="0" w:color="auto"/>
              <w:right w:val="single" w:sz="4" w:space="0" w:color="auto"/>
            </w:tcBorders>
          </w:tcPr>
          <w:p w14:paraId="35EF9F22"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iCs/>
                <w:sz w:val="24"/>
                <w:szCs w:val="24"/>
              </w:rPr>
            </w:pPr>
            <w:r>
              <w:rPr>
                <w:rFonts w:ascii="Times New Roman" w:hAnsi="Times New Roman"/>
                <w:iCs/>
                <w:sz w:val="24"/>
                <w:szCs w:val="24"/>
              </w:rPr>
              <w:t>Weisz, Santucci</w:t>
            </w:r>
          </w:p>
          <w:p w14:paraId="44B8AE00" w14:textId="77777777" w:rsidR="00247C59" w:rsidRPr="00534CF0"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iCs/>
                <w:sz w:val="24"/>
                <w:szCs w:val="24"/>
              </w:rPr>
            </w:pPr>
            <w:r>
              <w:rPr>
                <w:rFonts w:ascii="Times New Roman" w:hAnsi="Times New Roman"/>
                <w:iCs/>
                <w:sz w:val="24"/>
                <w:szCs w:val="24"/>
              </w:rPr>
              <w:t>et al., 2018</w:t>
            </w:r>
          </w:p>
          <w:p w14:paraId="7BF80545"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iCs/>
                <w:sz w:val="24"/>
                <w:szCs w:val="24"/>
              </w:rPr>
              <w:t>(</w:t>
            </w:r>
            <w:r w:rsidRPr="004A594E">
              <w:rPr>
                <w:rFonts w:ascii="Times New Roman" w:hAnsi="Times New Roman"/>
                <w:i/>
                <w:sz w:val="24"/>
                <w:szCs w:val="24"/>
              </w:rPr>
              <w:t>N</w:t>
            </w:r>
            <w:r>
              <w:rPr>
                <w:rFonts w:ascii="Times New Roman" w:hAnsi="Times New Roman"/>
                <w:iCs/>
                <w:sz w:val="24"/>
                <w:szCs w:val="24"/>
              </w:rPr>
              <w:t xml:space="preserve"> = 200)</w:t>
            </w:r>
          </w:p>
        </w:tc>
        <w:tc>
          <w:tcPr>
            <w:tcW w:w="1080" w:type="dxa"/>
            <w:vMerge w:val="restart"/>
            <w:tcBorders>
              <w:top w:val="single" w:sz="4" w:space="0" w:color="auto"/>
              <w:left w:val="single" w:sz="4" w:space="0" w:color="auto"/>
              <w:bottom w:val="single" w:sz="4" w:space="0" w:color="auto"/>
            </w:tcBorders>
          </w:tcPr>
          <w:p w14:paraId="74EF2F02" w14:textId="777777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iCs/>
                <w:sz w:val="24"/>
                <w:szCs w:val="24"/>
              </w:rPr>
              <w:t>Pooled sample</w:t>
            </w:r>
          </w:p>
        </w:tc>
      </w:tr>
      <w:tr w:rsidR="00247C59" w14:paraId="7783D6E7" w14:textId="77777777" w:rsidTr="00247C59">
        <w:trPr>
          <w:trHeight w:hRule="exact" w:val="288"/>
        </w:trPr>
        <w:tc>
          <w:tcPr>
            <w:tcW w:w="1800" w:type="dxa"/>
            <w:vMerge/>
            <w:tcBorders>
              <w:bottom w:val="single" w:sz="4" w:space="0" w:color="auto"/>
            </w:tcBorders>
          </w:tcPr>
          <w:p w14:paraId="5F953627"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530" w:type="dxa"/>
            <w:vMerge/>
            <w:tcBorders>
              <w:bottom w:val="single" w:sz="4" w:space="0" w:color="auto"/>
            </w:tcBorders>
          </w:tcPr>
          <w:p w14:paraId="7A4B68F4" w14:textId="77777777" w:rsidR="00247C59" w:rsidRPr="0035031D"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530" w:type="dxa"/>
            <w:vMerge/>
            <w:tcBorders>
              <w:bottom w:val="single" w:sz="4" w:space="0" w:color="auto"/>
            </w:tcBorders>
          </w:tcPr>
          <w:p w14:paraId="3A066355"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710" w:type="dxa"/>
            <w:vMerge/>
            <w:tcBorders>
              <w:bottom w:val="single" w:sz="4" w:space="0" w:color="auto"/>
            </w:tcBorders>
          </w:tcPr>
          <w:p w14:paraId="221D961D"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710" w:type="dxa"/>
            <w:vMerge/>
            <w:tcBorders>
              <w:bottom w:val="single" w:sz="4" w:space="0" w:color="auto"/>
              <w:right w:val="single" w:sz="4" w:space="0" w:color="auto"/>
            </w:tcBorders>
          </w:tcPr>
          <w:p w14:paraId="64148F07"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080" w:type="dxa"/>
            <w:vMerge/>
            <w:tcBorders>
              <w:left w:val="single" w:sz="4" w:space="0" w:color="auto"/>
              <w:bottom w:val="single" w:sz="4" w:space="0" w:color="auto"/>
            </w:tcBorders>
          </w:tcPr>
          <w:p w14:paraId="03BFFE1A" w14:textId="777777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r>
      <w:tr w:rsidR="00247C59" w14:paraId="046546E7" w14:textId="77777777" w:rsidTr="00247C59">
        <w:trPr>
          <w:trHeight w:hRule="exact" w:val="288"/>
        </w:trPr>
        <w:tc>
          <w:tcPr>
            <w:tcW w:w="1800" w:type="dxa"/>
            <w:vMerge/>
            <w:tcBorders>
              <w:bottom w:val="single" w:sz="4" w:space="0" w:color="auto"/>
            </w:tcBorders>
          </w:tcPr>
          <w:p w14:paraId="17D8433F"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530" w:type="dxa"/>
            <w:vMerge/>
            <w:tcBorders>
              <w:bottom w:val="single" w:sz="4" w:space="0" w:color="auto"/>
            </w:tcBorders>
          </w:tcPr>
          <w:p w14:paraId="5E988DF1" w14:textId="77777777" w:rsidR="00247C59" w:rsidRPr="0035031D"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530" w:type="dxa"/>
            <w:vMerge/>
            <w:tcBorders>
              <w:bottom w:val="single" w:sz="4" w:space="0" w:color="auto"/>
            </w:tcBorders>
          </w:tcPr>
          <w:p w14:paraId="1D8A5063"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710" w:type="dxa"/>
            <w:vMerge/>
            <w:tcBorders>
              <w:bottom w:val="single" w:sz="4" w:space="0" w:color="auto"/>
            </w:tcBorders>
          </w:tcPr>
          <w:p w14:paraId="5E3AA6C7"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710" w:type="dxa"/>
            <w:vMerge/>
            <w:tcBorders>
              <w:bottom w:val="single" w:sz="4" w:space="0" w:color="auto"/>
              <w:right w:val="single" w:sz="4" w:space="0" w:color="auto"/>
            </w:tcBorders>
          </w:tcPr>
          <w:p w14:paraId="0B1CFEB5"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080" w:type="dxa"/>
            <w:vMerge/>
            <w:tcBorders>
              <w:left w:val="single" w:sz="4" w:space="0" w:color="auto"/>
              <w:bottom w:val="single" w:sz="4" w:space="0" w:color="auto"/>
            </w:tcBorders>
          </w:tcPr>
          <w:p w14:paraId="72641422" w14:textId="777777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r>
      <w:tr w:rsidR="00247C59" w14:paraId="3F9430CA" w14:textId="77777777" w:rsidTr="00247C59">
        <w:trPr>
          <w:trHeight w:hRule="exact" w:val="288"/>
        </w:trPr>
        <w:tc>
          <w:tcPr>
            <w:tcW w:w="1800" w:type="dxa"/>
            <w:tcBorders>
              <w:top w:val="single" w:sz="4" w:space="0" w:color="auto"/>
            </w:tcBorders>
          </w:tcPr>
          <w:p w14:paraId="3C5DCAC9"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Condition</w:t>
            </w:r>
          </w:p>
        </w:tc>
        <w:tc>
          <w:tcPr>
            <w:tcW w:w="1530" w:type="dxa"/>
            <w:tcBorders>
              <w:top w:val="single" w:sz="4" w:space="0" w:color="auto"/>
            </w:tcBorders>
          </w:tcPr>
          <w:p w14:paraId="753943B4" w14:textId="77777777" w:rsidR="00247C59" w:rsidRPr="0035031D"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530" w:type="dxa"/>
            <w:tcBorders>
              <w:top w:val="single" w:sz="4" w:space="0" w:color="auto"/>
            </w:tcBorders>
          </w:tcPr>
          <w:p w14:paraId="30E7438F"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710" w:type="dxa"/>
            <w:tcBorders>
              <w:top w:val="single" w:sz="4" w:space="0" w:color="auto"/>
            </w:tcBorders>
          </w:tcPr>
          <w:p w14:paraId="33177F78"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710" w:type="dxa"/>
            <w:tcBorders>
              <w:top w:val="single" w:sz="4" w:space="0" w:color="auto"/>
              <w:right w:val="single" w:sz="4" w:space="0" w:color="auto"/>
            </w:tcBorders>
          </w:tcPr>
          <w:p w14:paraId="2781F31D"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080" w:type="dxa"/>
            <w:tcBorders>
              <w:top w:val="single" w:sz="4" w:space="0" w:color="auto"/>
              <w:left w:val="single" w:sz="4" w:space="0" w:color="auto"/>
            </w:tcBorders>
          </w:tcPr>
          <w:p w14:paraId="3F58752E" w14:textId="777777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r>
      <w:tr w:rsidR="00247C59" w14:paraId="2796D18E" w14:textId="77777777" w:rsidTr="00247C59">
        <w:trPr>
          <w:trHeight w:hRule="exact" w:val="288"/>
        </w:trPr>
        <w:tc>
          <w:tcPr>
            <w:tcW w:w="1800" w:type="dxa"/>
          </w:tcPr>
          <w:p w14:paraId="33208F5F" w14:textId="7651E38F"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Usual </w:t>
            </w:r>
            <w:proofErr w:type="spellStart"/>
            <w:r>
              <w:rPr>
                <w:rFonts w:ascii="Times New Roman" w:hAnsi="Times New Roman"/>
                <w:sz w:val="24"/>
                <w:szCs w:val="24"/>
              </w:rPr>
              <w:t>care</w:t>
            </w:r>
            <w:r w:rsidRPr="003F66AF">
              <w:rPr>
                <w:rFonts w:ascii="Times New Roman" w:hAnsi="Times New Roman"/>
                <w:sz w:val="24"/>
                <w:szCs w:val="24"/>
                <w:vertAlign w:val="superscript"/>
              </w:rPr>
              <w:t>a</w:t>
            </w:r>
            <w:proofErr w:type="spellEnd"/>
          </w:p>
        </w:tc>
        <w:tc>
          <w:tcPr>
            <w:tcW w:w="1530" w:type="dxa"/>
          </w:tcPr>
          <w:p w14:paraId="03290F20" w14:textId="76B029D1"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004A3">
              <w:rPr>
                <w:rFonts w:ascii="Times New Roman" w:hAnsi="Times New Roman"/>
                <w:i/>
                <w:iCs/>
                <w:sz w:val="24"/>
                <w:szCs w:val="24"/>
              </w:rPr>
              <w:t>n</w:t>
            </w:r>
            <w:r>
              <w:rPr>
                <w:rFonts w:ascii="Times New Roman" w:hAnsi="Times New Roman"/>
                <w:sz w:val="24"/>
                <w:szCs w:val="24"/>
              </w:rPr>
              <w:t xml:space="preserve"> = 53[0]</w:t>
            </w:r>
          </w:p>
        </w:tc>
        <w:tc>
          <w:tcPr>
            <w:tcW w:w="1530" w:type="dxa"/>
          </w:tcPr>
          <w:p w14:paraId="5935E968" w14:textId="5E06C6DC"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35031D">
              <w:rPr>
                <w:rFonts w:ascii="Times New Roman" w:hAnsi="Times New Roman"/>
                <w:i/>
                <w:iCs/>
                <w:sz w:val="24"/>
                <w:szCs w:val="24"/>
              </w:rPr>
              <w:t>n</w:t>
            </w:r>
            <w:r>
              <w:rPr>
                <w:rFonts w:ascii="Times New Roman" w:hAnsi="Times New Roman"/>
                <w:sz w:val="24"/>
                <w:szCs w:val="24"/>
              </w:rPr>
              <w:t xml:space="preserve"> = 79[0]</w:t>
            </w:r>
          </w:p>
        </w:tc>
        <w:tc>
          <w:tcPr>
            <w:tcW w:w="1710" w:type="dxa"/>
          </w:tcPr>
          <w:p w14:paraId="04483020"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710" w:type="dxa"/>
            <w:tcBorders>
              <w:right w:val="single" w:sz="4" w:space="0" w:color="auto"/>
            </w:tcBorders>
          </w:tcPr>
          <w:p w14:paraId="606AF0F9"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080" w:type="dxa"/>
            <w:tcBorders>
              <w:left w:val="single" w:sz="4" w:space="0" w:color="auto"/>
            </w:tcBorders>
          </w:tcPr>
          <w:p w14:paraId="01AB66E3" w14:textId="777777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r>
      <w:tr w:rsidR="00247C59" w14:paraId="7703B888" w14:textId="77777777" w:rsidTr="00247C59">
        <w:trPr>
          <w:trHeight w:hRule="exact" w:val="288"/>
        </w:trPr>
        <w:tc>
          <w:tcPr>
            <w:tcW w:w="1800" w:type="dxa"/>
          </w:tcPr>
          <w:p w14:paraId="5FF20C2E"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Standard </w:t>
            </w:r>
            <w:proofErr w:type="spellStart"/>
            <w:r>
              <w:rPr>
                <w:rFonts w:ascii="Times New Roman" w:hAnsi="Times New Roman"/>
                <w:sz w:val="24"/>
                <w:szCs w:val="24"/>
              </w:rPr>
              <w:t>EST</w:t>
            </w:r>
            <w:r w:rsidRPr="003F66AF">
              <w:rPr>
                <w:rFonts w:ascii="Times New Roman" w:hAnsi="Times New Roman"/>
                <w:sz w:val="24"/>
                <w:szCs w:val="24"/>
                <w:vertAlign w:val="superscript"/>
              </w:rPr>
              <w:t>b</w:t>
            </w:r>
            <w:proofErr w:type="spellEnd"/>
          </w:p>
        </w:tc>
        <w:tc>
          <w:tcPr>
            <w:tcW w:w="1530" w:type="dxa"/>
          </w:tcPr>
          <w:p w14:paraId="63CA1827" w14:textId="1A92CCBE"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004A3">
              <w:rPr>
                <w:rFonts w:ascii="Times New Roman" w:hAnsi="Times New Roman"/>
                <w:i/>
                <w:iCs/>
                <w:sz w:val="24"/>
                <w:szCs w:val="24"/>
              </w:rPr>
              <w:t>n</w:t>
            </w:r>
            <w:r>
              <w:rPr>
                <w:rFonts w:ascii="Times New Roman" w:hAnsi="Times New Roman"/>
                <w:sz w:val="24"/>
                <w:szCs w:val="24"/>
              </w:rPr>
              <w:t xml:space="preserve"> = 59[56]</w:t>
            </w:r>
          </w:p>
        </w:tc>
        <w:tc>
          <w:tcPr>
            <w:tcW w:w="1530" w:type="dxa"/>
          </w:tcPr>
          <w:p w14:paraId="5B0D6908"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710" w:type="dxa"/>
          </w:tcPr>
          <w:p w14:paraId="2C834215" w14:textId="77777777" w:rsidR="00247C59" w:rsidRPr="00973920"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710" w:type="dxa"/>
            <w:tcBorders>
              <w:right w:val="single" w:sz="4" w:space="0" w:color="auto"/>
            </w:tcBorders>
          </w:tcPr>
          <w:p w14:paraId="428AE1DE"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080" w:type="dxa"/>
            <w:tcBorders>
              <w:left w:val="single" w:sz="4" w:space="0" w:color="auto"/>
            </w:tcBorders>
          </w:tcPr>
          <w:p w14:paraId="6507CB00" w14:textId="69AF3023"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91EF4">
              <w:rPr>
                <w:rFonts w:ascii="Times New Roman" w:hAnsi="Times New Roman"/>
                <w:sz w:val="24"/>
                <w:szCs w:val="24"/>
              </w:rPr>
              <w:t>56</w:t>
            </w:r>
          </w:p>
        </w:tc>
      </w:tr>
      <w:tr w:rsidR="00247C59" w14:paraId="51797750" w14:textId="77777777" w:rsidTr="00247C59">
        <w:trPr>
          <w:trHeight w:hRule="exact" w:val="288"/>
        </w:trPr>
        <w:tc>
          <w:tcPr>
            <w:tcW w:w="1800" w:type="dxa"/>
          </w:tcPr>
          <w:p w14:paraId="64CB2B12" w14:textId="77777777"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Modular </w:t>
            </w:r>
            <w:proofErr w:type="spellStart"/>
            <w:r>
              <w:rPr>
                <w:rFonts w:ascii="Times New Roman" w:hAnsi="Times New Roman"/>
                <w:sz w:val="24"/>
                <w:szCs w:val="24"/>
              </w:rPr>
              <w:t>EST</w:t>
            </w:r>
            <w:r w:rsidRPr="003F66AF">
              <w:rPr>
                <w:rFonts w:ascii="Times New Roman" w:hAnsi="Times New Roman"/>
                <w:sz w:val="24"/>
                <w:szCs w:val="24"/>
                <w:vertAlign w:val="superscript"/>
              </w:rPr>
              <w:t>c</w:t>
            </w:r>
            <w:proofErr w:type="spellEnd"/>
            <w:r>
              <w:rPr>
                <w:rFonts w:ascii="Times New Roman" w:hAnsi="Times New Roman"/>
                <w:sz w:val="24"/>
                <w:szCs w:val="24"/>
              </w:rPr>
              <w:t xml:space="preserve">      </w:t>
            </w:r>
          </w:p>
        </w:tc>
        <w:tc>
          <w:tcPr>
            <w:tcW w:w="1530" w:type="dxa"/>
          </w:tcPr>
          <w:p w14:paraId="61404082" w14:textId="221E4F6B"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004A3">
              <w:rPr>
                <w:rFonts w:ascii="Times New Roman" w:hAnsi="Times New Roman"/>
                <w:i/>
                <w:iCs/>
                <w:sz w:val="24"/>
                <w:szCs w:val="24"/>
              </w:rPr>
              <w:t>n</w:t>
            </w:r>
            <w:r>
              <w:rPr>
                <w:rFonts w:ascii="Times New Roman" w:hAnsi="Times New Roman"/>
                <w:sz w:val="24"/>
                <w:szCs w:val="24"/>
              </w:rPr>
              <w:t xml:space="preserve"> = 62[55]</w:t>
            </w:r>
          </w:p>
        </w:tc>
        <w:tc>
          <w:tcPr>
            <w:tcW w:w="1530" w:type="dxa"/>
          </w:tcPr>
          <w:p w14:paraId="78F79570" w14:textId="4507BF76"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35031D">
              <w:rPr>
                <w:rFonts w:ascii="Times New Roman" w:hAnsi="Times New Roman"/>
                <w:i/>
                <w:iCs/>
                <w:sz w:val="24"/>
                <w:szCs w:val="24"/>
              </w:rPr>
              <w:t>n</w:t>
            </w:r>
            <w:r>
              <w:rPr>
                <w:rFonts w:ascii="Times New Roman" w:hAnsi="Times New Roman"/>
                <w:sz w:val="24"/>
                <w:szCs w:val="24"/>
              </w:rPr>
              <w:t xml:space="preserve"> = 77[73]</w:t>
            </w:r>
          </w:p>
        </w:tc>
        <w:tc>
          <w:tcPr>
            <w:tcW w:w="1710" w:type="dxa"/>
          </w:tcPr>
          <w:p w14:paraId="4D2CDE33" w14:textId="67F48CFD" w:rsidR="00247C59"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004A3">
              <w:rPr>
                <w:rFonts w:ascii="Times New Roman" w:hAnsi="Times New Roman"/>
                <w:i/>
                <w:iCs/>
                <w:sz w:val="24"/>
                <w:szCs w:val="24"/>
              </w:rPr>
              <w:t>n</w:t>
            </w:r>
            <w:r>
              <w:rPr>
                <w:rFonts w:ascii="Times New Roman" w:hAnsi="Times New Roman"/>
                <w:sz w:val="24"/>
                <w:szCs w:val="24"/>
              </w:rPr>
              <w:t xml:space="preserve"> = 168[73]</w:t>
            </w:r>
          </w:p>
        </w:tc>
        <w:tc>
          <w:tcPr>
            <w:tcW w:w="1710" w:type="dxa"/>
            <w:tcBorders>
              <w:right w:val="single" w:sz="4" w:space="0" w:color="auto"/>
            </w:tcBorders>
          </w:tcPr>
          <w:p w14:paraId="4D5535C0" w14:textId="24C84BE9" w:rsidR="00247C59" w:rsidRPr="003E0A70"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4A594E">
              <w:rPr>
                <w:rFonts w:ascii="Times New Roman" w:hAnsi="Times New Roman"/>
                <w:i/>
                <w:iCs/>
                <w:sz w:val="24"/>
                <w:szCs w:val="24"/>
              </w:rPr>
              <w:t>n</w:t>
            </w:r>
            <w:r>
              <w:rPr>
                <w:rFonts w:ascii="Times New Roman" w:hAnsi="Times New Roman"/>
                <w:sz w:val="24"/>
                <w:szCs w:val="24"/>
              </w:rPr>
              <w:t xml:space="preserve"> = 200[175]</w:t>
            </w:r>
          </w:p>
        </w:tc>
        <w:tc>
          <w:tcPr>
            <w:tcW w:w="1080" w:type="dxa"/>
            <w:tcBorders>
              <w:left w:val="single" w:sz="4" w:space="0" w:color="auto"/>
            </w:tcBorders>
          </w:tcPr>
          <w:p w14:paraId="58FBDDD1" w14:textId="00D6AE19"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91EF4">
              <w:rPr>
                <w:rFonts w:ascii="Times New Roman" w:hAnsi="Times New Roman"/>
                <w:sz w:val="24"/>
                <w:szCs w:val="24"/>
              </w:rPr>
              <w:t>376</w:t>
            </w:r>
          </w:p>
        </w:tc>
      </w:tr>
      <w:tr w:rsidR="00247C59" w14:paraId="420434DF" w14:textId="77777777" w:rsidTr="00247C59">
        <w:trPr>
          <w:trHeight w:hRule="exact" w:val="288"/>
        </w:trPr>
        <w:tc>
          <w:tcPr>
            <w:tcW w:w="1800" w:type="dxa"/>
          </w:tcPr>
          <w:p w14:paraId="3BE3107A"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Mean age</w:t>
            </w:r>
          </w:p>
        </w:tc>
        <w:tc>
          <w:tcPr>
            <w:tcW w:w="1530" w:type="dxa"/>
          </w:tcPr>
          <w:p w14:paraId="10FBFF0D" w14:textId="7FD97DA8" w:rsidR="00247C59" w:rsidRPr="0035031D"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10.6</w:t>
            </w:r>
          </w:p>
        </w:tc>
        <w:tc>
          <w:tcPr>
            <w:tcW w:w="1530" w:type="dxa"/>
          </w:tcPr>
          <w:p w14:paraId="2E744A53" w14:textId="5548EE0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3F66AF">
              <w:rPr>
                <w:rFonts w:ascii="Times New Roman" w:hAnsi="Times New Roman"/>
                <w:sz w:val="24"/>
                <w:szCs w:val="24"/>
              </w:rPr>
              <w:t>10.5</w:t>
            </w:r>
          </w:p>
        </w:tc>
        <w:tc>
          <w:tcPr>
            <w:tcW w:w="1710" w:type="dxa"/>
          </w:tcPr>
          <w:p w14:paraId="3E541942" w14:textId="2BD1A6CB"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7A4BBA">
              <w:rPr>
                <w:rFonts w:ascii="Times New Roman" w:hAnsi="Times New Roman"/>
                <w:sz w:val="24"/>
                <w:szCs w:val="24"/>
              </w:rPr>
              <w:t>9.5</w:t>
            </w:r>
          </w:p>
        </w:tc>
        <w:tc>
          <w:tcPr>
            <w:tcW w:w="1710" w:type="dxa"/>
            <w:tcBorders>
              <w:right w:val="single" w:sz="4" w:space="0" w:color="auto"/>
            </w:tcBorders>
          </w:tcPr>
          <w:p w14:paraId="3B59E147" w14:textId="3314EFEE" w:rsidR="00247C59" w:rsidRPr="004A594E"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3F66AF">
              <w:rPr>
                <w:rFonts w:ascii="Times New Roman" w:hAnsi="Times New Roman"/>
                <w:color w:val="auto"/>
                <w:sz w:val="24"/>
                <w:szCs w:val="24"/>
              </w:rPr>
              <w:t>10.7</w:t>
            </w:r>
          </w:p>
        </w:tc>
        <w:tc>
          <w:tcPr>
            <w:tcW w:w="1080" w:type="dxa"/>
            <w:tcBorders>
              <w:left w:val="single" w:sz="4" w:space="0" w:color="auto"/>
            </w:tcBorders>
          </w:tcPr>
          <w:p w14:paraId="022434A4" w14:textId="46E1A0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10.6</w:t>
            </w:r>
          </w:p>
        </w:tc>
      </w:tr>
      <w:tr w:rsidR="00247C59" w14:paraId="0E38C0C3" w14:textId="77777777" w:rsidTr="00247C59">
        <w:trPr>
          <w:trHeight w:hRule="exact" w:val="288"/>
        </w:trPr>
        <w:tc>
          <w:tcPr>
            <w:tcW w:w="1800" w:type="dxa"/>
          </w:tcPr>
          <w:p w14:paraId="366D18D2" w14:textId="28A90C55" w:rsidR="00247C59" w:rsidRDefault="0081389C"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Birth-assigned sex</w:t>
            </w:r>
          </w:p>
        </w:tc>
        <w:tc>
          <w:tcPr>
            <w:tcW w:w="1530" w:type="dxa"/>
          </w:tcPr>
          <w:p w14:paraId="125DF78D" w14:textId="77777777"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530" w:type="dxa"/>
          </w:tcPr>
          <w:p w14:paraId="39EE85BC"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710" w:type="dxa"/>
          </w:tcPr>
          <w:p w14:paraId="0E8D48E7"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710" w:type="dxa"/>
            <w:tcBorders>
              <w:right w:val="single" w:sz="4" w:space="0" w:color="auto"/>
            </w:tcBorders>
          </w:tcPr>
          <w:p w14:paraId="5D3283F5" w14:textId="77777777" w:rsidR="00247C59" w:rsidRPr="004A594E"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080" w:type="dxa"/>
            <w:tcBorders>
              <w:left w:val="single" w:sz="4" w:space="0" w:color="auto"/>
            </w:tcBorders>
          </w:tcPr>
          <w:p w14:paraId="75FD3720" w14:textId="777777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r>
      <w:tr w:rsidR="00247C59" w14:paraId="5C98AEC4" w14:textId="77777777" w:rsidTr="00247C59">
        <w:trPr>
          <w:trHeight w:hRule="exact" w:val="288"/>
        </w:trPr>
        <w:tc>
          <w:tcPr>
            <w:tcW w:w="1800" w:type="dxa"/>
          </w:tcPr>
          <w:p w14:paraId="3247AF50"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Female</w:t>
            </w:r>
          </w:p>
        </w:tc>
        <w:tc>
          <w:tcPr>
            <w:tcW w:w="1530" w:type="dxa"/>
          </w:tcPr>
          <w:p w14:paraId="031D6BEE" w14:textId="55B6824D" w:rsidR="00247C59" w:rsidRPr="0035031D"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30.5%</w:t>
            </w:r>
          </w:p>
        </w:tc>
        <w:tc>
          <w:tcPr>
            <w:tcW w:w="1530" w:type="dxa"/>
          </w:tcPr>
          <w:p w14:paraId="1AC2311A" w14:textId="69E06C6A"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51.9%</w:t>
            </w:r>
          </w:p>
        </w:tc>
        <w:tc>
          <w:tcPr>
            <w:tcW w:w="1710" w:type="dxa"/>
          </w:tcPr>
          <w:p w14:paraId="26E2694C" w14:textId="24F88E44"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40.5%</w:t>
            </w:r>
          </w:p>
        </w:tc>
        <w:tc>
          <w:tcPr>
            <w:tcW w:w="1710" w:type="dxa"/>
            <w:tcBorders>
              <w:right w:val="single" w:sz="4" w:space="0" w:color="auto"/>
            </w:tcBorders>
          </w:tcPr>
          <w:p w14:paraId="56EE5197" w14:textId="45453F79"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46%</w:t>
            </w:r>
          </w:p>
        </w:tc>
        <w:tc>
          <w:tcPr>
            <w:tcW w:w="1080" w:type="dxa"/>
            <w:tcBorders>
              <w:left w:val="single" w:sz="4" w:space="0" w:color="auto"/>
            </w:tcBorders>
          </w:tcPr>
          <w:p w14:paraId="0FBCE48D" w14:textId="58D5D59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44.7%</w:t>
            </w:r>
          </w:p>
        </w:tc>
      </w:tr>
      <w:tr w:rsidR="00247C59" w14:paraId="56474810" w14:textId="77777777" w:rsidTr="00247C59">
        <w:trPr>
          <w:trHeight w:hRule="exact" w:val="288"/>
        </w:trPr>
        <w:tc>
          <w:tcPr>
            <w:tcW w:w="1800" w:type="dxa"/>
          </w:tcPr>
          <w:p w14:paraId="68758239"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Male</w:t>
            </w:r>
          </w:p>
        </w:tc>
        <w:tc>
          <w:tcPr>
            <w:tcW w:w="1530" w:type="dxa"/>
          </w:tcPr>
          <w:p w14:paraId="7F11A98F" w14:textId="55B1AFF1"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69.5%</w:t>
            </w:r>
          </w:p>
        </w:tc>
        <w:tc>
          <w:tcPr>
            <w:tcW w:w="1530" w:type="dxa"/>
          </w:tcPr>
          <w:p w14:paraId="63A2BF85" w14:textId="61AC1199"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48.1%</w:t>
            </w:r>
          </w:p>
        </w:tc>
        <w:tc>
          <w:tcPr>
            <w:tcW w:w="1710" w:type="dxa"/>
          </w:tcPr>
          <w:p w14:paraId="759A32CC" w14:textId="6E769C58"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59.5%</w:t>
            </w:r>
          </w:p>
        </w:tc>
        <w:tc>
          <w:tcPr>
            <w:tcW w:w="1710" w:type="dxa"/>
            <w:tcBorders>
              <w:right w:val="single" w:sz="4" w:space="0" w:color="auto"/>
            </w:tcBorders>
          </w:tcPr>
          <w:p w14:paraId="379BA203" w14:textId="0CA0DFC6"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54%</w:t>
            </w:r>
          </w:p>
        </w:tc>
        <w:tc>
          <w:tcPr>
            <w:tcW w:w="1080" w:type="dxa"/>
            <w:tcBorders>
              <w:left w:val="single" w:sz="4" w:space="0" w:color="auto"/>
            </w:tcBorders>
          </w:tcPr>
          <w:p w14:paraId="68A32820" w14:textId="1E6FD76D"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55.3%</w:t>
            </w:r>
          </w:p>
        </w:tc>
      </w:tr>
      <w:tr w:rsidR="00247C59" w14:paraId="460E4CBD" w14:textId="77777777" w:rsidTr="00247C59">
        <w:trPr>
          <w:trHeight w:hRule="exact" w:val="288"/>
        </w:trPr>
        <w:tc>
          <w:tcPr>
            <w:tcW w:w="1800" w:type="dxa"/>
          </w:tcPr>
          <w:p w14:paraId="07A471FF"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Race/ethnicity</w:t>
            </w:r>
          </w:p>
        </w:tc>
        <w:tc>
          <w:tcPr>
            <w:tcW w:w="1530" w:type="dxa"/>
          </w:tcPr>
          <w:p w14:paraId="4AB5F17E" w14:textId="77777777" w:rsidR="00247C59" w:rsidRPr="0035031D"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530" w:type="dxa"/>
          </w:tcPr>
          <w:p w14:paraId="40FE4EE8"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710" w:type="dxa"/>
          </w:tcPr>
          <w:p w14:paraId="7725F5D7"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710" w:type="dxa"/>
            <w:tcBorders>
              <w:right w:val="single" w:sz="4" w:space="0" w:color="auto"/>
            </w:tcBorders>
          </w:tcPr>
          <w:p w14:paraId="065537F7" w14:textId="77777777" w:rsidR="00247C59" w:rsidRPr="004A594E"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c>
          <w:tcPr>
            <w:tcW w:w="1080" w:type="dxa"/>
            <w:tcBorders>
              <w:left w:val="single" w:sz="4" w:space="0" w:color="auto"/>
            </w:tcBorders>
          </w:tcPr>
          <w:p w14:paraId="0E509FC7" w14:textId="77777777"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r>
      <w:tr w:rsidR="00247C59" w14:paraId="7B4FBD7D" w14:textId="77777777" w:rsidTr="00247C59">
        <w:trPr>
          <w:trHeight w:hRule="exact" w:val="288"/>
        </w:trPr>
        <w:tc>
          <w:tcPr>
            <w:tcW w:w="1800" w:type="dxa"/>
          </w:tcPr>
          <w:p w14:paraId="2DA2D863"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White</w:t>
            </w:r>
          </w:p>
        </w:tc>
        <w:tc>
          <w:tcPr>
            <w:tcW w:w="1530" w:type="dxa"/>
          </w:tcPr>
          <w:p w14:paraId="5B540CC1" w14:textId="1CB7A6F1"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45%</w:t>
            </w:r>
          </w:p>
        </w:tc>
        <w:tc>
          <w:tcPr>
            <w:tcW w:w="1530" w:type="dxa"/>
          </w:tcPr>
          <w:p w14:paraId="427A2A32" w14:textId="212BF46C"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79.5%</w:t>
            </w:r>
          </w:p>
        </w:tc>
        <w:tc>
          <w:tcPr>
            <w:tcW w:w="1710" w:type="dxa"/>
          </w:tcPr>
          <w:p w14:paraId="63B19116" w14:textId="5758CD69"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85.1%</w:t>
            </w:r>
          </w:p>
        </w:tc>
        <w:tc>
          <w:tcPr>
            <w:tcW w:w="1710" w:type="dxa"/>
            <w:tcBorders>
              <w:right w:val="single" w:sz="4" w:space="0" w:color="auto"/>
            </w:tcBorders>
          </w:tcPr>
          <w:p w14:paraId="2E17D96D" w14:textId="12B5681A"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32.5%</w:t>
            </w:r>
          </w:p>
        </w:tc>
        <w:tc>
          <w:tcPr>
            <w:tcW w:w="1080" w:type="dxa"/>
            <w:tcBorders>
              <w:left w:val="single" w:sz="4" w:space="0" w:color="auto"/>
            </w:tcBorders>
          </w:tcPr>
          <w:p w14:paraId="63FCFBAB" w14:textId="43A834B5"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55.1%</w:t>
            </w:r>
          </w:p>
        </w:tc>
      </w:tr>
      <w:tr w:rsidR="00247C59" w14:paraId="44640884" w14:textId="77777777" w:rsidTr="00247C59">
        <w:trPr>
          <w:trHeight w:hRule="exact" w:val="288"/>
        </w:trPr>
        <w:tc>
          <w:tcPr>
            <w:tcW w:w="1800" w:type="dxa"/>
          </w:tcPr>
          <w:p w14:paraId="3D25539B"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Black</w:t>
            </w:r>
          </w:p>
        </w:tc>
        <w:tc>
          <w:tcPr>
            <w:tcW w:w="1530" w:type="dxa"/>
          </w:tcPr>
          <w:p w14:paraId="5C052A10" w14:textId="4C8C1EBA"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9%</w:t>
            </w:r>
          </w:p>
        </w:tc>
        <w:tc>
          <w:tcPr>
            <w:tcW w:w="1530" w:type="dxa"/>
          </w:tcPr>
          <w:p w14:paraId="4D2B8FF6" w14:textId="2E4CA4E8"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4.5%</w:t>
            </w:r>
          </w:p>
        </w:tc>
        <w:tc>
          <w:tcPr>
            <w:tcW w:w="1710" w:type="dxa"/>
          </w:tcPr>
          <w:p w14:paraId="1B3EBCA4" w14:textId="04CD0F4A"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2.4%</w:t>
            </w:r>
          </w:p>
        </w:tc>
        <w:tc>
          <w:tcPr>
            <w:tcW w:w="1710" w:type="dxa"/>
            <w:tcBorders>
              <w:right w:val="single" w:sz="4" w:space="0" w:color="auto"/>
            </w:tcBorders>
          </w:tcPr>
          <w:p w14:paraId="50D7A51C" w14:textId="546777A0"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27.5%</w:t>
            </w:r>
          </w:p>
        </w:tc>
        <w:tc>
          <w:tcPr>
            <w:tcW w:w="1080" w:type="dxa"/>
            <w:tcBorders>
              <w:left w:val="single" w:sz="4" w:space="0" w:color="auto"/>
            </w:tcBorders>
          </w:tcPr>
          <w:p w14:paraId="7BE61296" w14:textId="26FAE1DE"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14.6%</w:t>
            </w:r>
          </w:p>
        </w:tc>
      </w:tr>
      <w:tr w:rsidR="00247C59" w14:paraId="18E0718C" w14:textId="77777777" w:rsidTr="00247C59">
        <w:trPr>
          <w:trHeight w:hRule="exact" w:val="288"/>
        </w:trPr>
        <w:tc>
          <w:tcPr>
            <w:tcW w:w="1800" w:type="dxa"/>
          </w:tcPr>
          <w:p w14:paraId="4CA78BE4"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Latinx</w:t>
            </w:r>
          </w:p>
        </w:tc>
        <w:tc>
          <w:tcPr>
            <w:tcW w:w="1530" w:type="dxa"/>
          </w:tcPr>
          <w:p w14:paraId="52AE7ECC" w14:textId="3683A1BC"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6%</w:t>
            </w:r>
          </w:p>
        </w:tc>
        <w:tc>
          <w:tcPr>
            <w:tcW w:w="1530" w:type="dxa"/>
          </w:tcPr>
          <w:p w14:paraId="0B433134" w14:textId="4D5F31AC"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1.9%</w:t>
            </w:r>
          </w:p>
        </w:tc>
        <w:tc>
          <w:tcPr>
            <w:tcW w:w="1710" w:type="dxa"/>
          </w:tcPr>
          <w:p w14:paraId="2BC34A3E" w14:textId="49D02AB3"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1.8%</w:t>
            </w:r>
          </w:p>
        </w:tc>
        <w:tc>
          <w:tcPr>
            <w:tcW w:w="1710" w:type="dxa"/>
            <w:tcBorders>
              <w:right w:val="single" w:sz="4" w:space="0" w:color="auto"/>
            </w:tcBorders>
          </w:tcPr>
          <w:p w14:paraId="7E0408C2" w14:textId="20650839"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24.0%</w:t>
            </w:r>
          </w:p>
        </w:tc>
        <w:tc>
          <w:tcPr>
            <w:tcW w:w="1080" w:type="dxa"/>
            <w:tcBorders>
              <w:left w:val="single" w:sz="4" w:space="0" w:color="auto"/>
            </w:tcBorders>
          </w:tcPr>
          <w:p w14:paraId="7BD0EB51" w14:textId="01B7BA86"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11.6%</w:t>
            </w:r>
          </w:p>
        </w:tc>
      </w:tr>
      <w:tr w:rsidR="00247C59" w14:paraId="2142665D" w14:textId="77777777" w:rsidTr="00667002">
        <w:trPr>
          <w:trHeight w:hRule="exact" w:val="288"/>
        </w:trPr>
        <w:tc>
          <w:tcPr>
            <w:tcW w:w="1800" w:type="dxa"/>
          </w:tcPr>
          <w:p w14:paraId="7570C9B8"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Asian</w:t>
            </w:r>
          </w:p>
        </w:tc>
        <w:tc>
          <w:tcPr>
            <w:tcW w:w="1530" w:type="dxa"/>
          </w:tcPr>
          <w:p w14:paraId="02F78B16" w14:textId="72E06CCE"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w:t>
            </w:r>
          </w:p>
        </w:tc>
        <w:tc>
          <w:tcPr>
            <w:tcW w:w="1530" w:type="dxa"/>
          </w:tcPr>
          <w:p w14:paraId="6D9F8C8D" w14:textId="77777777"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710" w:type="dxa"/>
          </w:tcPr>
          <w:p w14:paraId="1CDFFAF5" w14:textId="5203044C"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0.6%</w:t>
            </w:r>
          </w:p>
        </w:tc>
        <w:tc>
          <w:tcPr>
            <w:tcW w:w="1710" w:type="dxa"/>
            <w:tcBorders>
              <w:right w:val="single" w:sz="4" w:space="0" w:color="auto"/>
            </w:tcBorders>
          </w:tcPr>
          <w:p w14:paraId="57AB4B9D" w14:textId="5EF9370A"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1.0%</w:t>
            </w:r>
          </w:p>
        </w:tc>
        <w:tc>
          <w:tcPr>
            <w:tcW w:w="1080" w:type="dxa"/>
            <w:tcBorders>
              <w:left w:val="single" w:sz="4" w:space="0" w:color="auto"/>
            </w:tcBorders>
          </w:tcPr>
          <w:p w14:paraId="6180B23B" w14:textId="007B54FD"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1.2%</w:t>
            </w:r>
          </w:p>
        </w:tc>
      </w:tr>
      <w:tr w:rsidR="00247C59" w14:paraId="4CA1FC82" w14:textId="77777777" w:rsidTr="00664BFA">
        <w:trPr>
          <w:trHeight w:hRule="exact" w:val="288"/>
        </w:trPr>
        <w:tc>
          <w:tcPr>
            <w:tcW w:w="1800" w:type="dxa"/>
          </w:tcPr>
          <w:p w14:paraId="0B5DCAF7"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Multiracial</w:t>
            </w:r>
          </w:p>
        </w:tc>
        <w:tc>
          <w:tcPr>
            <w:tcW w:w="1530" w:type="dxa"/>
          </w:tcPr>
          <w:p w14:paraId="28401CA8" w14:textId="26BB0DED"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3F66AF">
              <w:rPr>
                <w:rFonts w:ascii="Times New Roman" w:hAnsi="Times New Roman"/>
                <w:sz w:val="24"/>
                <w:szCs w:val="24"/>
              </w:rPr>
              <w:t>32</w:t>
            </w:r>
            <w:r>
              <w:rPr>
                <w:rFonts w:ascii="Times New Roman" w:hAnsi="Times New Roman"/>
                <w:sz w:val="24"/>
                <w:szCs w:val="24"/>
              </w:rPr>
              <w:t>%</w:t>
            </w:r>
          </w:p>
        </w:tc>
        <w:tc>
          <w:tcPr>
            <w:tcW w:w="1530" w:type="dxa"/>
          </w:tcPr>
          <w:p w14:paraId="3E9811FA" w14:textId="580161B5"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hAnsi="Times New Roman"/>
                <w:sz w:val="24"/>
                <w:szCs w:val="24"/>
              </w:rPr>
            </w:pPr>
            <w:r>
              <w:rPr>
                <w:rFonts w:ascii="Times New Roman" w:hAnsi="Times New Roman"/>
                <w:sz w:val="24"/>
                <w:szCs w:val="24"/>
              </w:rPr>
              <w:t>12.8%</w:t>
            </w:r>
          </w:p>
        </w:tc>
        <w:tc>
          <w:tcPr>
            <w:tcW w:w="1710" w:type="dxa"/>
          </w:tcPr>
          <w:p w14:paraId="6AF67F75" w14:textId="58C8A755"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highlight w:val="yellow"/>
              </w:rPr>
            </w:pPr>
            <w:r w:rsidRPr="009A6A55">
              <w:rPr>
                <w:rFonts w:ascii="Times New Roman" w:hAnsi="Times New Roman"/>
                <w:sz w:val="24"/>
                <w:szCs w:val="24"/>
              </w:rPr>
              <w:t>10.1%</w:t>
            </w:r>
          </w:p>
        </w:tc>
        <w:tc>
          <w:tcPr>
            <w:tcW w:w="1710" w:type="dxa"/>
            <w:tcBorders>
              <w:right w:val="single" w:sz="4" w:space="0" w:color="auto"/>
            </w:tcBorders>
          </w:tcPr>
          <w:p w14:paraId="0D848AF7" w14:textId="19C16DA7"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13.5%</w:t>
            </w:r>
          </w:p>
        </w:tc>
        <w:tc>
          <w:tcPr>
            <w:tcW w:w="1080" w:type="dxa"/>
            <w:tcBorders>
              <w:left w:val="single" w:sz="4" w:space="0" w:color="auto"/>
            </w:tcBorders>
          </w:tcPr>
          <w:p w14:paraId="30D3E918" w14:textId="16782B22"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15.9%</w:t>
            </w:r>
          </w:p>
        </w:tc>
      </w:tr>
      <w:tr w:rsidR="00247C59" w14:paraId="5A7337AD" w14:textId="77777777" w:rsidTr="00667002">
        <w:trPr>
          <w:trHeight w:hRule="exact" w:val="288"/>
        </w:trPr>
        <w:tc>
          <w:tcPr>
            <w:tcW w:w="1800" w:type="dxa"/>
            <w:tcBorders>
              <w:bottom w:val="single" w:sz="4" w:space="0" w:color="auto"/>
            </w:tcBorders>
          </w:tcPr>
          <w:p w14:paraId="7D60E94E" w14:textId="77777777" w:rsidR="00247C59" w:rsidRPr="008004A3"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Pr>
                <w:rFonts w:ascii="Times New Roman" w:hAnsi="Times New Roman"/>
                <w:sz w:val="24"/>
                <w:szCs w:val="24"/>
              </w:rPr>
              <w:t xml:space="preserve">     Other</w:t>
            </w:r>
          </w:p>
        </w:tc>
        <w:tc>
          <w:tcPr>
            <w:tcW w:w="1530" w:type="dxa"/>
            <w:tcBorders>
              <w:bottom w:val="single" w:sz="4" w:space="0" w:color="auto"/>
            </w:tcBorders>
          </w:tcPr>
          <w:p w14:paraId="09E34CA0" w14:textId="711216EF"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w:t>
            </w:r>
          </w:p>
        </w:tc>
        <w:tc>
          <w:tcPr>
            <w:tcW w:w="1530" w:type="dxa"/>
            <w:tcBorders>
              <w:bottom w:val="single" w:sz="4" w:space="0" w:color="auto"/>
            </w:tcBorders>
          </w:tcPr>
          <w:p w14:paraId="6FFF5031" w14:textId="480E4EDF"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hAnsi="Times New Roman"/>
                <w:sz w:val="24"/>
                <w:szCs w:val="24"/>
              </w:rPr>
            </w:pPr>
            <w:r>
              <w:rPr>
                <w:rFonts w:ascii="Times New Roman" w:hAnsi="Times New Roman"/>
                <w:sz w:val="24"/>
                <w:szCs w:val="24"/>
              </w:rPr>
              <w:t>1.3%</w:t>
            </w:r>
          </w:p>
        </w:tc>
        <w:tc>
          <w:tcPr>
            <w:tcW w:w="1710" w:type="dxa"/>
            <w:tcBorders>
              <w:bottom w:val="single" w:sz="4" w:space="0" w:color="auto"/>
            </w:tcBorders>
          </w:tcPr>
          <w:p w14:paraId="30B45F3D" w14:textId="77777777"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highlight w:val="yellow"/>
              </w:rPr>
            </w:pPr>
            <w:r>
              <w:rPr>
                <w:rFonts w:ascii="Times New Roman" w:hAnsi="Times New Roman"/>
                <w:sz w:val="24"/>
                <w:szCs w:val="24"/>
              </w:rPr>
              <w:t>–</w:t>
            </w:r>
          </w:p>
        </w:tc>
        <w:tc>
          <w:tcPr>
            <w:tcW w:w="1710" w:type="dxa"/>
            <w:tcBorders>
              <w:bottom w:val="single" w:sz="4" w:space="0" w:color="auto"/>
              <w:right w:val="single" w:sz="4" w:space="0" w:color="auto"/>
            </w:tcBorders>
          </w:tcPr>
          <w:p w14:paraId="12B66F52" w14:textId="2C984C2D" w:rsidR="00247C59" w:rsidRPr="003F66AF"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1.5%</w:t>
            </w:r>
          </w:p>
        </w:tc>
        <w:tc>
          <w:tcPr>
            <w:tcW w:w="1080" w:type="dxa"/>
            <w:tcBorders>
              <w:left w:val="single" w:sz="4" w:space="0" w:color="auto"/>
              <w:bottom w:val="single" w:sz="4" w:space="0" w:color="auto"/>
            </w:tcBorders>
          </w:tcPr>
          <w:p w14:paraId="7BD94D30" w14:textId="1B1B6AD3" w:rsidR="00247C59" w:rsidRPr="00891EF4" w:rsidRDefault="00247C59"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1.6%</w:t>
            </w:r>
          </w:p>
        </w:tc>
      </w:tr>
    </w:tbl>
    <w:p w14:paraId="112BD0D3" w14:textId="784AD6B1" w:rsidR="00247C59" w:rsidRDefault="00247C59" w:rsidP="00247C59">
      <w:pPr>
        <w:rPr>
          <w:bCs/>
        </w:rPr>
      </w:pPr>
      <w:r w:rsidRPr="003F66AF">
        <w:rPr>
          <w:bCs/>
          <w:i/>
          <w:iCs/>
        </w:rPr>
        <w:t>Note</w:t>
      </w:r>
      <w:r>
        <w:rPr>
          <w:bCs/>
        </w:rPr>
        <w:t>. Brackets include [</w:t>
      </w:r>
      <w:r w:rsidRPr="003F66AF">
        <w:rPr>
          <w:bCs/>
          <w:i/>
        </w:rPr>
        <w:t>n</w:t>
      </w:r>
      <w:r w:rsidRPr="003F66AF">
        <w:rPr>
          <w:bCs/>
          <w:iCs/>
        </w:rPr>
        <w:t>]</w:t>
      </w:r>
      <w:r>
        <w:rPr>
          <w:bCs/>
        </w:rPr>
        <w:t xml:space="preserve"> of youth in pooled sample, based on whether they had both self- and caregiver-reported data from at least two assessments. </w:t>
      </w:r>
      <w:proofErr w:type="spellStart"/>
      <w:r w:rsidRPr="003F66AF">
        <w:rPr>
          <w:bCs/>
          <w:vertAlign w:val="superscript"/>
        </w:rPr>
        <w:t>a</w:t>
      </w:r>
      <w:r>
        <w:rPr>
          <w:bCs/>
        </w:rPr>
        <w:t>Usual</w:t>
      </w:r>
      <w:proofErr w:type="spellEnd"/>
      <w:r>
        <w:rPr>
          <w:bCs/>
        </w:rPr>
        <w:t xml:space="preserve"> care = everyday practices of therapists in real-world settings. </w:t>
      </w:r>
      <w:proofErr w:type="spellStart"/>
      <w:r w:rsidRPr="003F66AF">
        <w:rPr>
          <w:bCs/>
          <w:vertAlign w:val="superscript"/>
        </w:rPr>
        <w:t>b</w:t>
      </w:r>
      <w:r>
        <w:rPr>
          <w:bCs/>
        </w:rPr>
        <w:t>Standard</w:t>
      </w:r>
      <w:proofErr w:type="spellEnd"/>
      <w:r>
        <w:rPr>
          <w:bCs/>
        </w:rPr>
        <w:t xml:space="preserve"> EST = interventions effective in targeting a specific disorder. </w:t>
      </w:r>
      <w:proofErr w:type="spellStart"/>
      <w:r w:rsidRPr="003F66AF">
        <w:rPr>
          <w:bCs/>
          <w:vertAlign w:val="superscript"/>
        </w:rPr>
        <w:t>c</w:t>
      </w:r>
      <w:r>
        <w:rPr>
          <w:bCs/>
        </w:rPr>
        <w:t>Modular</w:t>
      </w:r>
      <w:proofErr w:type="spellEnd"/>
      <w:r>
        <w:rPr>
          <w:bCs/>
        </w:rPr>
        <w:t xml:space="preserve"> EST = treatments employing elements of ESTs to address multiple disorders.</w:t>
      </w:r>
    </w:p>
    <w:p w14:paraId="58F6F47C" w14:textId="77777777" w:rsidR="0056129A" w:rsidRDefault="0056129A" w:rsidP="0056129A">
      <w:pPr>
        <w:jc w:val="center"/>
        <w:rPr>
          <w:b/>
        </w:rPr>
      </w:pPr>
    </w:p>
    <w:p w14:paraId="150E1DFA" w14:textId="77777777" w:rsidR="00247C59" w:rsidRPr="00247C59" w:rsidRDefault="00247C59" w:rsidP="0056129A">
      <w:pPr>
        <w:jc w:val="center"/>
        <w:rPr>
          <w:b/>
        </w:rPr>
      </w:pPr>
      <w:r w:rsidRPr="00247C59">
        <w:rPr>
          <w:b/>
        </w:rPr>
        <w:t>References</w:t>
      </w:r>
    </w:p>
    <w:p w14:paraId="59A0CCFF" w14:textId="77777777" w:rsidR="00247C59" w:rsidRDefault="00247C59" w:rsidP="00247C59">
      <w:proofErr w:type="spellStart"/>
      <w:r>
        <w:t>Chorpita</w:t>
      </w:r>
      <w:proofErr w:type="spellEnd"/>
      <w:r>
        <w:t xml:space="preserve">, B. F., Weisz, J. R., Daleiden, E. L., </w:t>
      </w:r>
      <w:proofErr w:type="spellStart"/>
      <w:r>
        <w:t>Schoenwald</w:t>
      </w:r>
      <w:proofErr w:type="spellEnd"/>
      <w:r>
        <w:t xml:space="preserve">, S. K., Palinkas, L. A., Miranda, J., </w:t>
      </w:r>
    </w:p>
    <w:p w14:paraId="08E52FED" w14:textId="77777777" w:rsidR="00247C59" w:rsidRPr="002E5D54" w:rsidRDefault="00247C59" w:rsidP="00247C59">
      <w:pPr>
        <w:ind w:left="720"/>
      </w:pPr>
      <w:proofErr w:type="spellStart"/>
      <w:r>
        <w:t>Higa</w:t>
      </w:r>
      <w:proofErr w:type="spellEnd"/>
      <w:r>
        <w:t xml:space="preserve">-McMillan, C. K., Nakamura, B. J., Austin, A. A., </w:t>
      </w:r>
      <w:proofErr w:type="spellStart"/>
      <w:r>
        <w:t>Borntrager</w:t>
      </w:r>
      <w:proofErr w:type="spellEnd"/>
      <w:r>
        <w:t xml:space="preserve">, C. F., Ward, A., Wells, K. C., Gibbons, R. D., &amp; the Research Network on Youth Mental Health. (2013). Long term outcomes for the Child STEPs randomized effectiveness trial: A comparison of modular and standard treatment designs with usual care. </w:t>
      </w:r>
      <w:r>
        <w:rPr>
          <w:i/>
        </w:rPr>
        <w:t>Journal of Consulting and Clinical Psychology,</w:t>
      </w:r>
      <w:r>
        <w:t xml:space="preserve"> </w:t>
      </w:r>
      <w:r>
        <w:rPr>
          <w:i/>
        </w:rPr>
        <w:t>81</w:t>
      </w:r>
      <w:r>
        <w:t xml:space="preserve">(6), 999–1009. </w:t>
      </w:r>
      <w:hyperlink r:id="rId7" w:history="1">
        <w:r>
          <w:rPr>
            <w:rStyle w:val="Hyperlink"/>
          </w:rPr>
          <w:t>https://doi.org/10.1037/a0034200</w:t>
        </w:r>
      </w:hyperlink>
    </w:p>
    <w:p w14:paraId="5B6C500B" w14:textId="77777777" w:rsidR="00247C59" w:rsidRDefault="00247C59" w:rsidP="00247C59">
      <w:bookmarkStart w:id="0" w:name="_Hlk48384017"/>
      <w:r>
        <w:t xml:space="preserve">Weisz, J. R., Bearman, S. K., </w:t>
      </w:r>
      <w:proofErr w:type="spellStart"/>
      <w:r>
        <w:t>Ugueto</w:t>
      </w:r>
      <w:proofErr w:type="spellEnd"/>
      <w:r>
        <w:t xml:space="preserve">, A. M., </w:t>
      </w:r>
      <w:proofErr w:type="spellStart"/>
      <w:r>
        <w:t>Herren</w:t>
      </w:r>
      <w:proofErr w:type="spellEnd"/>
      <w:r>
        <w:t xml:space="preserve">, J. A., Evans, S. C., </w:t>
      </w:r>
      <w:proofErr w:type="spellStart"/>
      <w:r>
        <w:t>Cheron</w:t>
      </w:r>
      <w:proofErr w:type="spellEnd"/>
      <w:r>
        <w:t xml:space="preserve">, D. M., </w:t>
      </w:r>
    </w:p>
    <w:p w14:paraId="654791A2" w14:textId="77777777" w:rsidR="00247C59" w:rsidRDefault="00247C59" w:rsidP="00247C59">
      <w:pPr>
        <w:ind w:left="720"/>
      </w:pPr>
      <w:r>
        <w:t xml:space="preserve">Alleyne, A. R., Weissman, A. S., Tweed, J. L., Pollack, A. A., Langer, D. A., Southam-Gerow, M. A., Wells, K. C., &amp; Jensen-Doss, A. (2019). Testing robustness of Child STEPs effects with children and adolescents: A randomized controlled effectiveness trial. </w:t>
      </w:r>
      <w:r>
        <w:rPr>
          <w:i/>
        </w:rPr>
        <w:t>Journal of Clinical Child and Adolescent Psychology</w:t>
      </w:r>
      <w:r>
        <w:t xml:space="preserve">. Advance online publication. </w:t>
      </w:r>
      <w:hyperlink r:id="rId8" w:history="1">
        <w:r>
          <w:rPr>
            <w:rStyle w:val="Hyperlink"/>
          </w:rPr>
          <w:t>https://doi.org/10.1080/15374416.2019.1655757</w:t>
        </w:r>
      </w:hyperlink>
    </w:p>
    <w:bookmarkEnd w:id="0"/>
    <w:p w14:paraId="05AAD350" w14:textId="77777777" w:rsidR="00247C59" w:rsidRDefault="00247C59" w:rsidP="00247C59">
      <w:pPr>
        <w:rPr>
          <w:i/>
        </w:rPr>
      </w:pPr>
      <w:r>
        <w:t xml:space="preserve">Weisz, J. R., Santucci, L., &amp; Evans, S. (2018). </w:t>
      </w:r>
      <w:r>
        <w:rPr>
          <w:i/>
        </w:rPr>
        <w:t xml:space="preserve">Transdiagnostic mental health care for </w:t>
      </w:r>
    </w:p>
    <w:p w14:paraId="05796747" w14:textId="77777777" w:rsidR="00247C59" w:rsidRDefault="00247C59" w:rsidP="00247C59">
      <w:pPr>
        <w:ind w:left="720"/>
      </w:pPr>
      <w:r>
        <w:rPr>
          <w:i/>
        </w:rPr>
        <w:t xml:space="preserve">Connecticut’s children and adolescents: A randomized controlled trial of </w:t>
      </w:r>
      <w:r w:rsidR="0056129A">
        <w:rPr>
          <w:i/>
        </w:rPr>
        <w:t>MATCH-ADTC</w:t>
      </w:r>
      <w:r>
        <w:t>. Department of Psychology, Harvard University, Cambridge, MA.</w:t>
      </w:r>
    </w:p>
    <w:p w14:paraId="1D7BBFA6" w14:textId="77777777" w:rsidR="00247C59" w:rsidRDefault="00247C59" w:rsidP="00247C59">
      <w:r>
        <w:t xml:space="preserve">Weisz, J. R., </w:t>
      </w:r>
      <w:proofErr w:type="spellStart"/>
      <w:r>
        <w:t>Ugueto</w:t>
      </w:r>
      <w:proofErr w:type="spellEnd"/>
      <w:r>
        <w:t xml:space="preserve">, A. M., </w:t>
      </w:r>
      <w:proofErr w:type="spellStart"/>
      <w:r>
        <w:t>Herren</w:t>
      </w:r>
      <w:proofErr w:type="spellEnd"/>
      <w:r>
        <w:t xml:space="preserve">, J., </w:t>
      </w:r>
      <w:proofErr w:type="spellStart"/>
      <w:r>
        <w:t>Marchette</w:t>
      </w:r>
      <w:proofErr w:type="spellEnd"/>
      <w:r>
        <w:t xml:space="preserve">, L. K., Bearman, S. K., Lee, E. H., </w:t>
      </w:r>
    </w:p>
    <w:p w14:paraId="2F740744" w14:textId="77777777" w:rsidR="00247C59" w:rsidRDefault="00247C59" w:rsidP="00247C59">
      <w:pPr>
        <w:ind w:left="720"/>
        <w:rPr>
          <w:rStyle w:val="Hyperlink"/>
        </w:rPr>
      </w:pPr>
      <w:proofErr w:type="spellStart"/>
      <w:r>
        <w:t>Thomassin</w:t>
      </w:r>
      <w:proofErr w:type="spellEnd"/>
      <w:r>
        <w:t xml:space="preserve">, K., Alleyne, A., </w:t>
      </w:r>
      <w:proofErr w:type="spellStart"/>
      <w:r>
        <w:t>Cheron</w:t>
      </w:r>
      <w:proofErr w:type="spellEnd"/>
      <w:r>
        <w:t xml:space="preserve">, D. M., Tweed, J. L., Hersh, J., Raftery-Helmer, J. N., Weissman, A. S., &amp; Jensen-Doss, A. (2018). When the torch is passed, does the flame still burn? Testing a “train the supervisor” model for the Child STEPs treatment program. </w:t>
      </w:r>
      <w:r>
        <w:rPr>
          <w:i/>
        </w:rPr>
        <w:t>Journal of Consulting and Clinical Psychology,</w:t>
      </w:r>
      <w:r>
        <w:t xml:space="preserve"> </w:t>
      </w:r>
      <w:r>
        <w:rPr>
          <w:i/>
        </w:rPr>
        <w:t>86</w:t>
      </w:r>
      <w:r>
        <w:t xml:space="preserve">(9), 726–737. </w:t>
      </w:r>
      <w:hyperlink r:id="rId9" w:history="1">
        <w:r>
          <w:rPr>
            <w:rStyle w:val="Hyperlink"/>
          </w:rPr>
          <w:t>http://dx.doi.org/10.1037/ccp0000331</w:t>
        </w:r>
      </w:hyperlink>
    </w:p>
    <w:p w14:paraId="05F7EFA4" w14:textId="5033B1A8" w:rsidR="00AE3D17" w:rsidRDefault="008C7462" w:rsidP="00AE3D17">
      <w:pPr>
        <w:pBdr>
          <w:top w:val="none" w:sz="0" w:space="0" w:color="auto"/>
          <w:left w:val="none" w:sz="0" w:space="0" w:color="auto"/>
          <w:bottom w:val="none" w:sz="0" w:space="0" w:color="auto"/>
          <w:right w:val="none" w:sz="0" w:space="0" w:color="auto"/>
          <w:between w:val="none" w:sz="0" w:space="0" w:color="auto"/>
        </w:pBdr>
        <w:rPr>
          <w:rFonts w:eastAsia="Arial Unicode MS"/>
          <w:b/>
          <w:bCs/>
          <w:color w:val="000000"/>
          <w:bdr w:val="nil"/>
        </w:rPr>
      </w:pPr>
      <w:r>
        <w:rPr>
          <w:b/>
          <w:bCs/>
        </w:rPr>
        <w:br w:type="page"/>
      </w:r>
      <w:r w:rsidR="00764036">
        <w:rPr>
          <w:b/>
          <w:bCs/>
        </w:rPr>
        <w:lastRenderedPageBreak/>
        <w:t>Supplemental Part I</w:t>
      </w:r>
      <w:r w:rsidR="0056129A">
        <w:rPr>
          <w:b/>
          <w:bCs/>
        </w:rPr>
        <w:t xml:space="preserve">. </w:t>
      </w:r>
      <w:r w:rsidR="003111C2" w:rsidRPr="009E408D">
        <w:rPr>
          <w:b/>
          <w:bCs/>
        </w:rPr>
        <w:t>Method, Validity, and Reliability of GM Classification</w:t>
      </w:r>
    </w:p>
    <w:p w14:paraId="7FE33530" w14:textId="29D69DAC" w:rsidR="00AE3D17" w:rsidRDefault="003111C2" w:rsidP="00AE3D17">
      <w:pPr>
        <w:pBdr>
          <w:top w:val="none" w:sz="0" w:space="0" w:color="auto"/>
          <w:left w:val="none" w:sz="0" w:space="0" w:color="auto"/>
          <w:bottom w:val="none" w:sz="0" w:space="0" w:color="auto"/>
          <w:right w:val="none" w:sz="0" w:space="0" w:color="auto"/>
          <w:between w:val="none" w:sz="0" w:space="0" w:color="auto"/>
        </w:pBdr>
        <w:ind w:firstLine="720"/>
      </w:pPr>
      <w:r w:rsidRPr="009E408D">
        <w:t xml:space="preserve">To </w:t>
      </w:r>
      <w:r w:rsidR="00AE744F">
        <w:t>establish</w:t>
      </w:r>
      <w:r w:rsidRPr="009E408D">
        <w:t xml:space="preserve"> the most valid method of GM classification, three measurement methods were considered: youth who endorsed a “wish to be the opposite sex”</w:t>
      </w:r>
      <w:r w:rsidR="00AE744F">
        <w:t xml:space="preserve"> (</w:t>
      </w:r>
      <w:r w:rsidR="00AE744F" w:rsidRPr="009E408D">
        <w:t>Achenbach &amp; Rescorla, 2001</w:t>
      </w:r>
      <w:r w:rsidR="00AE744F">
        <w:t>)</w:t>
      </w:r>
      <w:r w:rsidRPr="009E408D">
        <w:t xml:space="preserve"> (a) at least once across timepoints (</w:t>
      </w:r>
      <w:r w:rsidRPr="009E408D">
        <w:rPr>
          <w:i/>
        </w:rPr>
        <w:t>n</w:t>
      </w:r>
      <w:r w:rsidRPr="009E408D">
        <w:t xml:space="preserve"> = 64), (b) at </w:t>
      </w:r>
      <w:r w:rsidR="0081389C">
        <w:t>pretreatment</w:t>
      </w:r>
      <w:r w:rsidR="002D5915">
        <w:t xml:space="preserve"> </w:t>
      </w:r>
      <w:r w:rsidRPr="009E408D">
        <w:t>(</w:t>
      </w:r>
      <w:r w:rsidRPr="009E408D">
        <w:rPr>
          <w:i/>
          <w:iCs/>
        </w:rPr>
        <w:t>n</w:t>
      </w:r>
      <w:r w:rsidRPr="009E408D">
        <w:t xml:space="preserve"> = 42), and (c) on two or more occasions (</w:t>
      </w:r>
      <w:r w:rsidRPr="009E408D">
        <w:rPr>
          <w:i/>
          <w:iCs/>
        </w:rPr>
        <w:t>n</w:t>
      </w:r>
      <w:r w:rsidRPr="009E408D">
        <w:t xml:space="preserve"> = 24). As GM youth who more strongly identify with the opposite sex in childhood have been shown to be more likely to socially transition (i.e., change their gender expression to align with their gender identity; Rae et al., 2019), the third grouping might better represent </w:t>
      </w:r>
      <w:r w:rsidRPr="009E408D">
        <w:rPr>
          <w:i/>
        </w:rPr>
        <w:t xml:space="preserve">persistent </w:t>
      </w:r>
      <w:r w:rsidRPr="009E408D">
        <w:t xml:space="preserve">GM identities. However, research indicates that youth who wish to be the opposite sex for a limited period, question their gender identity, and/or express gender nonconformity (e.g., birth-assigned boys who wear dresses but identify as </w:t>
      </w:r>
      <w:r w:rsidR="00107344">
        <w:t>CG</w:t>
      </w:r>
      <w:r w:rsidRPr="009E408D">
        <w:t>) may also be considered GMs and face similar risks</w:t>
      </w:r>
      <w:r w:rsidR="0081389C">
        <w:t xml:space="preserve"> (</w:t>
      </w:r>
      <w:r w:rsidR="0081389C" w:rsidRPr="009E408D">
        <w:t>e.g., suicidality</w:t>
      </w:r>
      <w:r w:rsidR="0081389C">
        <w:t>)</w:t>
      </w:r>
      <w:r w:rsidRPr="009E408D">
        <w:t xml:space="preserve"> to youth with more persistent GM identities (Jackman et al., 2019; Toomey et al., 2018). To determine the most appropriate criteria for GM classification, outcomes were compared across these three GM groups, and primary analyses were conducted separately with each subsample. Results did not differ by classification method. Specifically, no significant differences in </w:t>
      </w:r>
      <w:r w:rsidR="0081389C">
        <w:t>pretreatment</w:t>
      </w:r>
      <w:r w:rsidRPr="009E408D">
        <w:t xml:space="preserve"> and mean (i.e., aggregated across all timepoints) outcome scores were found across GM groups. Similarly, results of primary analyses (i.e., models comparing symptom improvement in CG and GM youth) did not differ by subsample. Thus, all 64 youth who positively endorsed YSR</w:t>
      </w:r>
      <w:r w:rsidR="0093250E">
        <w:t xml:space="preserve"> Item</w:t>
      </w:r>
      <w:r w:rsidRPr="009E408D">
        <w:t xml:space="preserve"> #110 at least once were included in the GM subsample to be inclusive of all youth who may be considered GMs and to maximize statistical power. </w:t>
      </w:r>
    </w:p>
    <w:p w14:paraId="78AA3A1D" w14:textId="2F9776EE" w:rsidR="003111C2" w:rsidRPr="00AE3D17" w:rsidRDefault="003111C2" w:rsidP="00AE3D17">
      <w:pPr>
        <w:pBdr>
          <w:top w:val="none" w:sz="0" w:space="0" w:color="auto"/>
          <w:left w:val="none" w:sz="0" w:space="0" w:color="auto"/>
          <w:bottom w:val="none" w:sz="0" w:space="0" w:color="auto"/>
          <w:right w:val="none" w:sz="0" w:space="0" w:color="auto"/>
          <w:between w:val="none" w:sz="0" w:space="0" w:color="auto"/>
        </w:pBdr>
        <w:ind w:firstLine="720"/>
        <w:rPr>
          <w:rFonts w:eastAsia="Arial Unicode MS"/>
          <w:b/>
          <w:bCs/>
          <w:color w:val="000000"/>
          <w:bdr w:val="nil"/>
        </w:rPr>
      </w:pPr>
      <w:r w:rsidRPr="009E408D">
        <w:t xml:space="preserve">To further asses </w:t>
      </w:r>
      <w:r w:rsidR="00F40B58">
        <w:t xml:space="preserve">the </w:t>
      </w:r>
      <w:r w:rsidRPr="009E408D">
        <w:t>validity</w:t>
      </w:r>
      <w:r w:rsidR="00F40B58">
        <w:t xml:space="preserve"> of this method</w:t>
      </w:r>
      <w:r w:rsidRPr="009E408D">
        <w:t>, we examined responses on an idiographic measure of youth</w:t>
      </w:r>
      <w:r w:rsidR="00AE744F">
        <w:t>’</w:t>
      </w:r>
      <w:r w:rsidRPr="009E408D">
        <w:t>s top problems (i.e., Top Problems Assessment; Weisz et al., 2011), which asked youth to identify the three most important behavioral or emotional problems they hoped to address in therapy. Examination of these data failed to produce any overt instances of gender-related concerns for GM youth (e.g., no mention of “gender” or “sex”). The absence of such concerns</w:t>
      </w:r>
      <w:r w:rsidR="00F40B58">
        <w:t>, however,</w:t>
      </w:r>
      <w:r w:rsidRPr="009E408D">
        <w:t xml:space="preserve"> may be partially attributable to the RCTs’ inclusion criteria (i.e., referral for a primary problem of anxiety, depression, conduct, or trauma) and is consistent with extant literature on GMs’ pursuit of therapy, which is often not explicitly related to gender (</w:t>
      </w:r>
      <w:proofErr w:type="spellStart"/>
      <w:r w:rsidRPr="009E408D">
        <w:t>Shipherd</w:t>
      </w:r>
      <w:proofErr w:type="spellEnd"/>
      <w:r w:rsidRPr="009E408D">
        <w:t xml:space="preserve"> et al., 2010). Additionally, the measure’s focus on emotional and behavioral problems may have discouraged youth from describing concerns related to gender (e.g., gender dysphoria, </w:t>
      </w:r>
      <w:r w:rsidR="0093250E">
        <w:t>GM stressors</w:t>
      </w:r>
      <w:r w:rsidRPr="009E408D">
        <w:t xml:space="preserve">) and instead captured their symptomatology. Finally, we compared the prevalence of GM youth in current study with past research. Research using this measurement method with clinically-referred samples has collected data at only one timepoint and found similar prevalence rates (4%–6.5%; Achenbach &amp; Rescorla, 2001; Steensma et al., 2013; van der </w:t>
      </w:r>
      <w:proofErr w:type="spellStart"/>
      <w:r w:rsidRPr="009E408D">
        <w:t>Miesen</w:t>
      </w:r>
      <w:proofErr w:type="spellEnd"/>
      <w:r w:rsidRPr="009E408D">
        <w:t xml:space="preserve"> et al., 2018) compared to the current study (3.2%–9.7% at a given timepoint). </w:t>
      </w:r>
    </w:p>
    <w:p w14:paraId="35845529" w14:textId="236A4A64" w:rsidR="009E408D" w:rsidRDefault="003111C2" w:rsidP="00AE3D17">
      <w:pPr>
        <w:pStyle w:val="Body"/>
        <w:ind w:firstLine="720"/>
        <w:rPr>
          <w:rFonts w:ascii="Times New Roman" w:hAnsi="Times New Roman" w:cs="Times New Roman"/>
          <w:sz w:val="24"/>
          <w:szCs w:val="24"/>
        </w:rPr>
      </w:pPr>
      <w:r w:rsidRPr="009E408D">
        <w:rPr>
          <w:rFonts w:ascii="Times New Roman" w:hAnsi="Times New Roman" w:cs="Times New Roman"/>
          <w:sz w:val="24"/>
          <w:szCs w:val="24"/>
        </w:rPr>
        <w:t xml:space="preserve">Test-retest reliability of YSR #110 was examined, though interpretation of these results is limited due to inconsistent assessment completion (i.e., not all youth completed the YSR at each timepoint) and the complexity of GM identities and classification. For instance, GM youth referred to treatment in specialty gender clinics have exhibited variability in their response to this item in past research (e.g., birth-assigned girls reported a stronger wish to be the opposite sex compared to birth-assigned boys; </w:t>
      </w:r>
      <w:r w:rsidRPr="004F04EE">
        <w:rPr>
          <w:rFonts w:ascii="Times New Roman" w:hAnsi="Times New Roman" w:cs="Times New Roman"/>
          <w:sz w:val="24"/>
          <w:szCs w:val="24"/>
        </w:rPr>
        <w:t>de Graaf et al., 2018</w:t>
      </w:r>
      <w:r w:rsidRPr="009E408D">
        <w:rPr>
          <w:rFonts w:ascii="Times New Roman" w:hAnsi="Times New Roman" w:cs="Times New Roman"/>
          <w:sz w:val="24"/>
          <w:szCs w:val="24"/>
        </w:rPr>
        <w:t>). Variability in gender</w:t>
      </w:r>
      <w:r w:rsidR="00AE3D17">
        <w:rPr>
          <w:rFonts w:ascii="Times New Roman" w:hAnsi="Times New Roman" w:cs="Times New Roman"/>
          <w:sz w:val="24"/>
          <w:szCs w:val="24"/>
        </w:rPr>
        <w:t xml:space="preserve"> expression</w:t>
      </w:r>
      <w:r w:rsidRPr="009E408D">
        <w:rPr>
          <w:rFonts w:ascii="Times New Roman" w:hAnsi="Times New Roman" w:cs="Times New Roman"/>
          <w:sz w:val="24"/>
          <w:szCs w:val="24"/>
        </w:rPr>
        <w:t xml:space="preserve"> and identification across GM youth, as well as across time, is increasingly supported in research (</w:t>
      </w:r>
      <w:r w:rsidRPr="004F04EE">
        <w:rPr>
          <w:rFonts w:ascii="Times New Roman" w:hAnsi="Times New Roman" w:cs="Times New Roman"/>
          <w:sz w:val="24"/>
          <w:szCs w:val="24"/>
        </w:rPr>
        <w:t>Becker et al., 2017</w:t>
      </w:r>
      <w:r w:rsidRPr="009E408D">
        <w:rPr>
          <w:rFonts w:ascii="Times New Roman" w:hAnsi="Times New Roman" w:cs="Times New Roman"/>
          <w:sz w:val="24"/>
          <w:szCs w:val="24"/>
        </w:rPr>
        <w:t xml:space="preserve">; Steensma et al., 2011). Thus, in addition to assessing test-retest reliability from </w:t>
      </w:r>
      <w:r w:rsidR="0093250E">
        <w:rPr>
          <w:rFonts w:ascii="Times New Roman" w:hAnsi="Times New Roman" w:cs="Times New Roman"/>
          <w:sz w:val="24"/>
          <w:szCs w:val="24"/>
        </w:rPr>
        <w:t>pretreatment</w:t>
      </w:r>
      <w:r w:rsidRPr="009E408D">
        <w:rPr>
          <w:rFonts w:ascii="Times New Roman" w:hAnsi="Times New Roman" w:cs="Times New Roman"/>
          <w:sz w:val="24"/>
          <w:szCs w:val="24"/>
        </w:rPr>
        <w:t xml:space="preserve"> to 6 months and again from 6 months to one year, we examined variation in responses to YSR #110 by conducting bivariate correlations across assessment periods. </w:t>
      </w:r>
      <w:r w:rsidRPr="009E408D">
        <w:rPr>
          <w:rFonts w:ascii="Times New Roman" w:hAnsi="Times New Roman" w:cs="Times New Roman"/>
          <w:sz w:val="24"/>
          <w:szCs w:val="24"/>
        </w:rPr>
        <w:lastRenderedPageBreak/>
        <w:t>Responses were significantly correlated at all timepoints (</w:t>
      </w:r>
      <w:proofErr w:type="spellStart"/>
      <w:r w:rsidRPr="009E408D">
        <w:rPr>
          <w:rFonts w:ascii="Times New Roman" w:hAnsi="Times New Roman" w:cs="Times New Roman"/>
          <w:i/>
          <w:iCs/>
          <w:sz w:val="24"/>
          <w:szCs w:val="24"/>
        </w:rPr>
        <w:t>r</w:t>
      </w:r>
      <w:r w:rsidRPr="009E408D">
        <w:rPr>
          <w:rFonts w:ascii="Times New Roman" w:hAnsi="Times New Roman" w:cs="Times New Roman"/>
          <w:sz w:val="24"/>
          <w:szCs w:val="24"/>
        </w:rPr>
        <w:t>s</w:t>
      </w:r>
      <w:proofErr w:type="spellEnd"/>
      <w:r w:rsidRPr="009E408D">
        <w:rPr>
          <w:rFonts w:ascii="Times New Roman" w:hAnsi="Times New Roman" w:cs="Times New Roman"/>
          <w:sz w:val="24"/>
          <w:szCs w:val="24"/>
        </w:rPr>
        <w:t xml:space="preserve"> = .11–.62, </w:t>
      </w:r>
      <w:proofErr w:type="spellStart"/>
      <w:r w:rsidRPr="009E408D">
        <w:rPr>
          <w:rFonts w:ascii="Times New Roman" w:hAnsi="Times New Roman" w:cs="Times New Roman"/>
          <w:i/>
          <w:iCs/>
          <w:sz w:val="24"/>
          <w:szCs w:val="24"/>
        </w:rPr>
        <w:t>p</w:t>
      </w:r>
      <w:r w:rsidRPr="009E408D">
        <w:rPr>
          <w:rFonts w:ascii="Times New Roman" w:hAnsi="Times New Roman" w:cs="Times New Roman"/>
          <w:sz w:val="24"/>
          <w:szCs w:val="24"/>
        </w:rPr>
        <w:t>s</w:t>
      </w:r>
      <w:proofErr w:type="spellEnd"/>
      <w:r w:rsidRPr="009E408D">
        <w:rPr>
          <w:rFonts w:ascii="Times New Roman" w:hAnsi="Times New Roman" w:cs="Times New Roman"/>
          <w:sz w:val="24"/>
          <w:szCs w:val="24"/>
        </w:rPr>
        <w:t xml:space="preserve"> &lt; .05; see Table </w:t>
      </w:r>
      <w:r w:rsidR="009E408D" w:rsidRPr="009E408D">
        <w:rPr>
          <w:rFonts w:ascii="Times New Roman" w:hAnsi="Times New Roman" w:cs="Times New Roman"/>
          <w:sz w:val="24"/>
          <w:szCs w:val="24"/>
        </w:rPr>
        <w:t>S</w:t>
      </w:r>
      <w:r w:rsidRPr="009E408D">
        <w:rPr>
          <w:rFonts w:ascii="Times New Roman" w:hAnsi="Times New Roman" w:cs="Times New Roman"/>
          <w:sz w:val="24"/>
          <w:szCs w:val="24"/>
        </w:rPr>
        <w:t>2</w:t>
      </w:r>
      <w:r w:rsidR="009E408D">
        <w:rPr>
          <w:rFonts w:ascii="Times New Roman" w:hAnsi="Times New Roman" w:cs="Times New Roman"/>
          <w:sz w:val="24"/>
          <w:szCs w:val="24"/>
        </w:rPr>
        <w:t xml:space="preserve"> below</w:t>
      </w:r>
      <w:r w:rsidRPr="009E408D">
        <w:rPr>
          <w:rFonts w:ascii="Times New Roman" w:hAnsi="Times New Roman" w:cs="Times New Roman"/>
          <w:sz w:val="24"/>
          <w:szCs w:val="24"/>
        </w:rPr>
        <w:t>), and evidence of test-retest reliability was fair to moderate (κ = .3–.5).</w:t>
      </w:r>
    </w:p>
    <w:p w14:paraId="6EADC9AA" w14:textId="77777777" w:rsidR="007052F8" w:rsidRDefault="007052F8" w:rsidP="0056129A">
      <w:pPr>
        <w:jc w:val="center"/>
        <w:rPr>
          <w:b/>
        </w:rPr>
      </w:pPr>
    </w:p>
    <w:p w14:paraId="30C3D731" w14:textId="2EA79938" w:rsidR="0056129A" w:rsidRPr="009E408D" w:rsidRDefault="0056129A" w:rsidP="0056129A">
      <w:pPr>
        <w:jc w:val="center"/>
        <w:rPr>
          <w:b/>
        </w:rPr>
      </w:pPr>
      <w:r w:rsidRPr="009E408D">
        <w:rPr>
          <w:b/>
        </w:rPr>
        <w:t>Refere</w:t>
      </w:r>
      <w:r>
        <w:rPr>
          <w:b/>
        </w:rPr>
        <w:t>n</w:t>
      </w:r>
      <w:r w:rsidRPr="009E408D">
        <w:rPr>
          <w:b/>
        </w:rPr>
        <w:t>ces</w:t>
      </w:r>
    </w:p>
    <w:p w14:paraId="64234FB6" w14:textId="77777777" w:rsidR="0056129A" w:rsidRDefault="0056129A" w:rsidP="0056129A">
      <w:pPr>
        <w:rPr>
          <w:highlight w:val="white"/>
        </w:rPr>
      </w:pPr>
      <w:r>
        <w:rPr>
          <w:highlight w:val="white"/>
        </w:rPr>
        <w:t xml:space="preserve">Achenbach, T., &amp; Rescorla, L. (2001). </w:t>
      </w:r>
      <w:r>
        <w:rPr>
          <w:i/>
          <w:highlight w:val="white"/>
        </w:rPr>
        <w:t>The manual for the ASEBA school-age forms &amp; profiles</w:t>
      </w:r>
      <w:r>
        <w:rPr>
          <w:highlight w:val="white"/>
        </w:rPr>
        <w:t xml:space="preserve">. </w:t>
      </w:r>
    </w:p>
    <w:p w14:paraId="39B5DBF3" w14:textId="77777777" w:rsidR="0056129A" w:rsidRDefault="0056129A" w:rsidP="0056129A">
      <w:pPr>
        <w:ind w:left="720"/>
        <w:rPr>
          <w:highlight w:val="white"/>
        </w:rPr>
      </w:pPr>
      <w:r>
        <w:rPr>
          <w:highlight w:val="white"/>
        </w:rPr>
        <w:t>Burlington, VT: University of Vermont, Research Center for Children, Youth, &amp; Families.</w:t>
      </w:r>
    </w:p>
    <w:p w14:paraId="10C3C329" w14:textId="77777777" w:rsidR="0056129A" w:rsidRDefault="0056129A" w:rsidP="0056129A">
      <w:r>
        <w:t>Becker, I., Ravens-</w:t>
      </w:r>
      <w:proofErr w:type="spellStart"/>
      <w:r>
        <w:t>Sieberer</w:t>
      </w:r>
      <w:proofErr w:type="spellEnd"/>
      <w:r>
        <w:t xml:space="preserve">, U., </w:t>
      </w:r>
      <w:proofErr w:type="spellStart"/>
      <w:r>
        <w:t>Ottov</w:t>
      </w:r>
      <w:r w:rsidRPr="00710C65">
        <w:t>á</w:t>
      </w:r>
      <w:proofErr w:type="spellEnd"/>
      <w:r>
        <w:t>-Jordan, V., &amp; Schulte-</w:t>
      </w:r>
      <w:proofErr w:type="spellStart"/>
      <w:r>
        <w:t>Markwort</w:t>
      </w:r>
      <w:proofErr w:type="spellEnd"/>
      <w:r>
        <w:t xml:space="preserve">, M. (2017). Prevalence </w:t>
      </w:r>
    </w:p>
    <w:p w14:paraId="4122B31E" w14:textId="77777777" w:rsidR="0056129A" w:rsidRDefault="0056129A" w:rsidP="0056129A">
      <w:pPr>
        <w:ind w:left="720"/>
      </w:pPr>
      <w:r>
        <w:t xml:space="preserve">of adolescent gender experiences and gender expression in Germany. </w:t>
      </w:r>
      <w:r w:rsidRPr="003F66AF">
        <w:rPr>
          <w:i/>
          <w:iCs/>
        </w:rPr>
        <w:t>Journal of Adolescent Health, 61</w:t>
      </w:r>
      <w:r>
        <w:t xml:space="preserve">(1), 83–90. </w:t>
      </w:r>
      <w:hyperlink r:id="rId10" w:history="1">
        <w:r>
          <w:rPr>
            <w:rStyle w:val="Hyperlink"/>
          </w:rPr>
          <w:t>https://doi.org/10.1016/j.jadohealth.2017.02.001</w:t>
        </w:r>
      </w:hyperlink>
    </w:p>
    <w:p w14:paraId="6B3E5AB7" w14:textId="77777777" w:rsidR="0056129A" w:rsidRDefault="0056129A" w:rsidP="0056129A">
      <w:pPr>
        <w:rPr>
          <w:highlight w:val="white"/>
        </w:rPr>
      </w:pPr>
      <w:r>
        <w:rPr>
          <w:highlight w:val="white"/>
        </w:rPr>
        <w:t>de Graaf, N. M., Cohen-</w:t>
      </w:r>
      <w:proofErr w:type="spellStart"/>
      <w:r>
        <w:rPr>
          <w:highlight w:val="white"/>
        </w:rPr>
        <w:t>Kettenis</w:t>
      </w:r>
      <w:proofErr w:type="spellEnd"/>
      <w:r>
        <w:rPr>
          <w:highlight w:val="white"/>
        </w:rPr>
        <w:t xml:space="preserve">, P. T., Carmichael, P., de Vries, A. L. C., </w:t>
      </w:r>
      <w:proofErr w:type="spellStart"/>
      <w:r>
        <w:rPr>
          <w:highlight w:val="white"/>
        </w:rPr>
        <w:t>Dhondt</w:t>
      </w:r>
      <w:proofErr w:type="spellEnd"/>
      <w:r>
        <w:rPr>
          <w:highlight w:val="white"/>
        </w:rPr>
        <w:t xml:space="preserve">, K., </w:t>
      </w:r>
      <w:proofErr w:type="spellStart"/>
      <w:r>
        <w:rPr>
          <w:highlight w:val="white"/>
        </w:rPr>
        <w:t>Laridaen</w:t>
      </w:r>
      <w:proofErr w:type="spellEnd"/>
      <w:r>
        <w:rPr>
          <w:highlight w:val="white"/>
        </w:rPr>
        <w:t xml:space="preserve">, </w:t>
      </w:r>
    </w:p>
    <w:p w14:paraId="522B0FFF" w14:textId="77777777" w:rsidR="0056129A" w:rsidRDefault="0056129A" w:rsidP="0056129A">
      <w:pPr>
        <w:ind w:left="720"/>
        <w:rPr>
          <w:highlight w:val="white"/>
        </w:rPr>
      </w:pPr>
      <w:r>
        <w:rPr>
          <w:highlight w:val="white"/>
        </w:rPr>
        <w:t xml:space="preserve">J., Pauli, D., Ball, J., &amp; Steensma, T. D. (2018). Psychological functioning in adolescents referred to specialist gender identity clinics across Europe: A clinical comparison study between four clinics. </w:t>
      </w:r>
      <w:r>
        <w:rPr>
          <w:i/>
          <w:highlight w:val="white"/>
        </w:rPr>
        <w:t>European Child and Adolescent Psychiatry,</w:t>
      </w:r>
      <w:r>
        <w:rPr>
          <w:highlight w:val="white"/>
        </w:rPr>
        <w:t xml:space="preserve"> </w:t>
      </w:r>
      <w:r>
        <w:rPr>
          <w:i/>
          <w:highlight w:val="white"/>
        </w:rPr>
        <w:t>27</w:t>
      </w:r>
      <w:r>
        <w:rPr>
          <w:highlight w:val="white"/>
        </w:rPr>
        <w:t>(7), 909</w:t>
      </w:r>
      <w:r>
        <w:t>–</w:t>
      </w:r>
      <w:r>
        <w:rPr>
          <w:highlight w:val="white"/>
        </w:rPr>
        <w:t xml:space="preserve">919. </w:t>
      </w:r>
      <w:hyperlink r:id="rId11" w:history="1">
        <w:r>
          <w:rPr>
            <w:rStyle w:val="Hyperlink"/>
          </w:rPr>
          <w:t>https://doi.org/10.1007/s00787-017-1098-4</w:t>
        </w:r>
      </w:hyperlink>
    </w:p>
    <w:p w14:paraId="59118AAB" w14:textId="77777777" w:rsidR="0056129A" w:rsidRDefault="0056129A" w:rsidP="0056129A">
      <w:r>
        <w:t xml:space="preserve">Jackman, K. B., Caceres, B. A., </w:t>
      </w:r>
      <w:proofErr w:type="spellStart"/>
      <w:r>
        <w:t>Kreuze</w:t>
      </w:r>
      <w:proofErr w:type="spellEnd"/>
      <w:r>
        <w:t xml:space="preserve">, E. J., &amp; </w:t>
      </w:r>
      <w:proofErr w:type="spellStart"/>
      <w:r>
        <w:t>Bockting</w:t>
      </w:r>
      <w:proofErr w:type="spellEnd"/>
      <w:r>
        <w:t xml:space="preserve">, W. O. (2019). Suicidality among </w:t>
      </w:r>
    </w:p>
    <w:p w14:paraId="1101A494" w14:textId="4AF971FC" w:rsidR="0056129A" w:rsidRDefault="0056129A" w:rsidP="0056129A">
      <w:pPr>
        <w:ind w:left="720"/>
      </w:pPr>
      <w:r>
        <w:t xml:space="preserve">gender minority youth: Analysis of 2017 Youth Risk Behavior Survey Data. </w:t>
      </w:r>
      <w:r w:rsidRPr="003F66AF">
        <w:rPr>
          <w:i/>
          <w:iCs/>
        </w:rPr>
        <w:t>Archives of Suicide Research,</w:t>
      </w:r>
      <w:r>
        <w:t xml:space="preserve"> 1–16</w:t>
      </w:r>
      <w:r w:rsidR="00446D99">
        <w:t>. Advance online publication.</w:t>
      </w:r>
      <w:r>
        <w:t xml:space="preserve"> </w:t>
      </w:r>
      <w:hyperlink r:id="rId12" w:history="1">
        <w:r>
          <w:rPr>
            <w:rStyle w:val="Hyperlink"/>
          </w:rPr>
          <w:t>https://doi.org/10.1080/13811118.2019.1678539</w:t>
        </w:r>
      </w:hyperlink>
      <w:r>
        <w:t xml:space="preserve"> </w:t>
      </w:r>
    </w:p>
    <w:p w14:paraId="07138F2C" w14:textId="77777777" w:rsidR="0056129A" w:rsidRDefault="0056129A" w:rsidP="0056129A">
      <w:r>
        <w:t xml:space="preserve">Rae, J. R., </w:t>
      </w:r>
      <w:proofErr w:type="spellStart"/>
      <w:r>
        <w:t>Gülgöz</w:t>
      </w:r>
      <w:proofErr w:type="spellEnd"/>
      <w:r>
        <w:t xml:space="preserve">, S., </w:t>
      </w:r>
      <w:proofErr w:type="spellStart"/>
      <w:r>
        <w:t>Durwood</w:t>
      </w:r>
      <w:proofErr w:type="spellEnd"/>
      <w:r>
        <w:t xml:space="preserve">, L., </w:t>
      </w:r>
      <w:proofErr w:type="spellStart"/>
      <w:r>
        <w:t>DeMeules</w:t>
      </w:r>
      <w:proofErr w:type="spellEnd"/>
      <w:r>
        <w:t xml:space="preserve">, M., Lowe, R., Lindquist, G., &amp; Olson, K. R. </w:t>
      </w:r>
    </w:p>
    <w:p w14:paraId="14683074" w14:textId="77777777" w:rsidR="0056129A" w:rsidRDefault="0056129A" w:rsidP="0056129A">
      <w:pPr>
        <w:ind w:left="720"/>
      </w:pPr>
      <w:r>
        <w:t xml:space="preserve">(2019). Predicting early-childhood gender transitions. </w:t>
      </w:r>
      <w:r w:rsidRPr="003F66AF">
        <w:rPr>
          <w:i/>
          <w:iCs/>
        </w:rPr>
        <w:t>Psychological Science, 30</w:t>
      </w:r>
      <w:r>
        <w:t xml:space="preserve">(5), 669–681. </w:t>
      </w:r>
      <w:hyperlink r:id="rId13" w:history="1">
        <w:r>
          <w:rPr>
            <w:rStyle w:val="Hyperlink"/>
          </w:rPr>
          <w:t>https://doi.org/10.1177/0956797619830649</w:t>
        </w:r>
      </w:hyperlink>
      <w:r>
        <w:t xml:space="preserve"> </w:t>
      </w:r>
    </w:p>
    <w:p w14:paraId="7C177EB8" w14:textId="77777777" w:rsidR="0056129A" w:rsidRDefault="0056129A" w:rsidP="0056129A">
      <w:proofErr w:type="spellStart"/>
      <w:r>
        <w:t>Shipherd</w:t>
      </w:r>
      <w:proofErr w:type="spellEnd"/>
      <w:r>
        <w:t xml:space="preserve">, J. C., Green, K. E., &amp; </w:t>
      </w:r>
      <w:proofErr w:type="spellStart"/>
      <w:r>
        <w:t>Abramovitz</w:t>
      </w:r>
      <w:proofErr w:type="spellEnd"/>
      <w:r>
        <w:t xml:space="preserve">, S. (2010). Transgender clients: Identifying and </w:t>
      </w:r>
    </w:p>
    <w:p w14:paraId="2C655BF8" w14:textId="77777777" w:rsidR="0056129A" w:rsidRDefault="0056129A" w:rsidP="0056129A">
      <w:pPr>
        <w:ind w:left="720"/>
      </w:pPr>
      <w:r>
        <w:t xml:space="preserve">minimizing barriers to mental health treatment. </w:t>
      </w:r>
      <w:r w:rsidRPr="003F66AF">
        <w:rPr>
          <w:i/>
          <w:iCs/>
        </w:rPr>
        <w:t>Journal of Gay and Lesbian Mental Health, 14</w:t>
      </w:r>
      <w:r>
        <w:t xml:space="preserve">(2), 94–108. </w:t>
      </w:r>
      <w:hyperlink r:id="rId14" w:history="1">
        <w:r>
          <w:rPr>
            <w:rStyle w:val="Hyperlink"/>
          </w:rPr>
          <w:t>https://doi.org/10.1080/19359701003622875</w:t>
        </w:r>
      </w:hyperlink>
    </w:p>
    <w:p w14:paraId="47860E23" w14:textId="77777777" w:rsidR="0056129A" w:rsidRDefault="0056129A" w:rsidP="0056129A">
      <w:pPr>
        <w:ind w:left="720" w:hanging="720"/>
      </w:pPr>
      <w:r w:rsidRPr="00E40C2E">
        <w:t xml:space="preserve">Steensma, T. D., </w:t>
      </w:r>
      <w:proofErr w:type="spellStart"/>
      <w:r w:rsidRPr="00E40C2E">
        <w:t>Biemond</w:t>
      </w:r>
      <w:proofErr w:type="spellEnd"/>
      <w:r w:rsidRPr="00E40C2E">
        <w:t>, R., de Boer, F., &amp; Cohen-</w:t>
      </w:r>
      <w:proofErr w:type="spellStart"/>
      <w:r w:rsidRPr="00E40C2E">
        <w:t>Kettenis</w:t>
      </w:r>
      <w:proofErr w:type="spellEnd"/>
      <w:r w:rsidRPr="00E40C2E">
        <w:t xml:space="preserve">, P. T. (2011). Desisting and persisting gender dysphoria after childhood: A qualitative follow-up study. </w:t>
      </w:r>
      <w:r w:rsidRPr="003F66AF">
        <w:rPr>
          <w:i/>
          <w:iCs/>
        </w:rPr>
        <w:t>Clinical Child Psychology and Psychiatry, 16</w:t>
      </w:r>
      <w:r w:rsidRPr="00E40C2E">
        <w:t xml:space="preserve">(4), 499–516. </w:t>
      </w:r>
      <w:hyperlink r:id="rId15" w:history="1">
        <w:r w:rsidRPr="00FB6670">
          <w:rPr>
            <w:rStyle w:val="Hyperlink"/>
          </w:rPr>
          <w:t>https://doi.org/10.1177/1359104510378303</w:t>
        </w:r>
      </w:hyperlink>
    </w:p>
    <w:p w14:paraId="7CD934C5" w14:textId="77777777" w:rsidR="0056129A" w:rsidRDefault="0056129A" w:rsidP="0056129A">
      <w:r>
        <w:t>Steensma, T. D., van der Ende, J., Verhulst, F. C., &amp; Cohen-</w:t>
      </w:r>
      <w:proofErr w:type="spellStart"/>
      <w:r>
        <w:t>Kettenis</w:t>
      </w:r>
      <w:proofErr w:type="spellEnd"/>
      <w:r>
        <w:t xml:space="preserve">, P. T. (2013). Gender </w:t>
      </w:r>
    </w:p>
    <w:p w14:paraId="33CA6486" w14:textId="77777777" w:rsidR="0056129A" w:rsidRDefault="0056129A" w:rsidP="0056129A">
      <w:pPr>
        <w:ind w:left="720"/>
      </w:pPr>
      <w:r>
        <w:t xml:space="preserve">variance in childhood and sexual orientation in adulthood: A prospective study. </w:t>
      </w:r>
      <w:r w:rsidRPr="00967C18">
        <w:rPr>
          <w:i/>
          <w:iCs/>
        </w:rPr>
        <w:t>Journal of Sexual Medicine, 10</w:t>
      </w:r>
      <w:r>
        <w:t xml:space="preserve">(11), 2723–2733. </w:t>
      </w:r>
      <w:r>
        <w:br/>
      </w:r>
      <w:hyperlink r:id="rId16" w:history="1">
        <w:r w:rsidRPr="008B6C36">
          <w:rPr>
            <w:rStyle w:val="Hyperlink"/>
          </w:rPr>
          <w:t>https://doi.org/10.1111/j.1743-6109.2012.02701.x</w:t>
        </w:r>
      </w:hyperlink>
      <w:r>
        <w:t xml:space="preserve"> </w:t>
      </w:r>
    </w:p>
    <w:p w14:paraId="767F455D" w14:textId="77777777" w:rsidR="0056129A" w:rsidRDefault="0056129A" w:rsidP="0056129A">
      <w:pPr>
        <w:ind w:left="720" w:hanging="720"/>
      </w:pPr>
      <w:r w:rsidRPr="00876FB1">
        <w:t xml:space="preserve">Toomey, R. B., </w:t>
      </w:r>
      <w:proofErr w:type="spellStart"/>
      <w:r w:rsidRPr="00876FB1">
        <w:t>Syvertsen</w:t>
      </w:r>
      <w:proofErr w:type="spellEnd"/>
      <w:r w:rsidRPr="00876FB1">
        <w:t xml:space="preserve">, A. K., &amp; </w:t>
      </w:r>
      <w:proofErr w:type="spellStart"/>
      <w:r w:rsidRPr="00876FB1">
        <w:t>Shramko</w:t>
      </w:r>
      <w:proofErr w:type="spellEnd"/>
      <w:r w:rsidRPr="00876FB1">
        <w:t xml:space="preserve">, M. (2018). Transgender adolescent suicide behavior. </w:t>
      </w:r>
      <w:r w:rsidRPr="003F66AF">
        <w:rPr>
          <w:i/>
        </w:rPr>
        <w:t>Pediatrics, 142</w:t>
      </w:r>
      <w:r w:rsidRPr="00876FB1">
        <w:t>(4)</w:t>
      </w:r>
      <w:r>
        <w:t>:</w:t>
      </w:r>
      <w:r w:rsidRPr="00876FB1">
        <w:t xml:space="preserve"> e20174218. </w:t>
      </w:r>
      <w:hyperlink r:id="rId17" w:history="1">
        <w:r>
          <w:rPr>
            <w:rStyle w:val="Hyperlink"/>
          </w:rPr>
          <w:t>https://dx.doi.org/10.1542%2Fpeds.2017-4218</w:t>
        </w:r>
      </w:hyperlink>
      <w:r w:rsidRPr="00876FB1" w:rsidDel="006C2538">
        <w:t xml:space="preserve"> </w:t>
      </w:r>
    </w:p>
    <w:p w14:paraId="0B94F514" w14:textId="77777777" w:rsidR="0056129A" w:rsidRDefault="0056129A" w:rsidP="0056129A">
      <w:r>
        <w:t xml:space="preserve">van der </w:t>
      </w:r>
      <w:proofErr w:type="spellStart"/>
      <w:r>
        <w:t>Miesen</w:t>
      </w:r>
      <w:proofErr w:type="spellEnd"/>
      <w:r>
        <w:t xml:space="preserve">, A. I. R., Hurley, H., Bal, A. M., &amp; de Vries, A. L. C. (2018). Prevalence of the </w:t>
      </w:r>
    </w:p>
    <w:p w14:paraId="6C8AB024" w14:textId="77777777" w:rsidR="0056129A" w:rsidRDefault="0056129A" w:rsidP="0056129A">
      <w:pPr>
        <w:ind w:left="720"/>
      </w:pPr>
      <w:r>
        <w:t xml:space="preserve">wish to be the opposite gender in adolescents and adults with autism spectrum disorder. </w:t>
      </w:r>
      <w:r>
        <w:rPr>
          <w:i/>
        </w:rPr>
        <w:t>Archives of Sexual Behavior, 47</w:t>
      </w:r>
      <w:r>
        <w:t xml:space="preserve">(8), 2307–2317. </w:t>
      </w:r>
      <w:r>
        <w:br/>
      </w:r>
      <w:hyperlink r:id="rId18" w:history="1">
        <w:r w:rsidRPr="001673E8">
          <w:rPr>
            <w:rStyle w:val="Hyperlink"/>
          </w:rPr>
          <w:t>https://doi.org/10.1007/s10508-018-1218-3</w:t>
        </w:r>
      </w:hyperlink>
      <w:r w:rsidRPr="00D82370">
        <w:rPr>
          <w:color w:val="1155CC"/>
        </w:rPr>
        <w:t xml:space="preserve"> </w:t>
      </w:r>
    </w:p>
    <w:p w14:paraId="1F9457E8" w14:textId="77777777" w:rsidR="0056129A" w:rsidRPr="008C16C0" w:rsidRDefault="0056129A" w:rsidP="0056129A">
      <w:pPr>
        <w:ind w:left="720" w:hanging="720"/>
      </w:pPr>
      <w:r w:rsidRPr="008C16C0">
        <w:t xml:space="preserve">Weisz, J. R., </w:t>
      </w:r>
      <w:proofErr w:type="spellStart"/>
      <w:r w:rsidRPr="008C16C0">
        <w:t>Chorpita</w:t>
      </w:r>
      <w:proofErr w:type="spellEnd"/>
      <w:r w:rsidRPr="008C16C0">
        <w:t xml:space="preserve">, B. F., Frye, A., Ng, M. Y., Lau, N., Bearman, S. K., </w:t>
      </w:r>
      <w:proofErr w:type="spellStart"/>
      <w:r w:rsidRPr="008C16C0">
        <w:t>Ugueto</w:t>
      </w:r>
      <w:proofErr w:type="spellEnd"/>
      <w:r w:rsidRPr="008C16C0">
        <w:t xml:space="preserve">, A. M., Langer, D. A., </w:t>
      </w:r>
      <w:proofErr w:type="spellStart"/>
      <w:r w:rsidRPr="008C16C0">
        <w:t>Hoagwood</w:t>
      </w:r>
      <w:proofErr w:type="spellEnd"/>
      <w:r w:rsidRPr="008C16C0">
        <w:t xml:space="preserve">, K. E., &amp; </w:t>
      </w:r>
      <w:r>
        <w:t>t</w:t>
      </w:r>
      <w:r w:rsidRPr="008C16C0">
        <w:t xml:space="preserve">he Research Network on Youth Mental Health. (2011). Youth top problems: Using idiographic, consumer-guided assessment to identify treatment needs and to track change during psychotherapy. </w:t>
      </w:r>
      <w:r w:rsidRPr="008C16C0">
        <w:rPr>
          <w:i/>
          <w:iCs/>
        </w:rPr>
        <w:t>Journal of Consulting and Clinical Psychology</w:t>
      </w:r>
      <w:r w:rsidRPr="008C16C0">
        <w:t xml:space="preserve">, </w:t>
      </w:r>
      <w:r w:rsidRPr="008C16C0">
        <w:rPr>
          <w:i/>
          <w:iCs/>
        </w:rPr>
        <w:t>79</w:t>
      </w:r>
      <w:r w:rsidRPr="008C16C0">
        <w:t xml:space="preserve">(3), 369–380. </w:t>
      </w:r>
      <w:hyperlink r:id="rId19" w:history="1">
        <w:r w:rsidRPr="00FD2E9C">
          <w:rPr>
            <w:rStyle w:val="Hyperlink"/>
          </w:rPr>
          <w:t>https://doi.org/10.1037/a0023307</w:t>
        </w:r>
      </w:hyperlink>
      <w:r>
        <w:t xml:space="preserve"> </w:t>
      </w:r>
    </w:p>
    <w:p w14:paraId="18FD1874" w14:textId="77777777" w:rsidR="0056129A" w:rsidRDefault="0056129A" w:rsidP="003F3ED8">
      <w:pPr>
        <w:pStyle w:val="Body"/>
        <w:ind w:firstLine="720"/>
        <w:rPr>
          <w:rFonts w:ascii="Times New Roman" w:hAnsi="Times New Roman" w:cs="Times New Roman"/>
          <w:sz w:val="24"/>
          <w:szCs w:val="24"/>
        </w:rPr>
      </w:pPr>
    </w:p>
    <w:p w14:paraId="409FE452" w14:textId="77777777" w:rsidR="0056129A" w:rsidRDefault="0056129A" w:rsidP="003F3ED8">
      <w:pPr>
        <w:rPr>
          <w:b/>
          <w:bCs/>
        </w:rPr>
      </w:pPr>
    </w:p>
    <w:p w14:paraId="1CBA88EF" w14:textId="77777777" w:rsidR="0056129A" w:rsidRDefault="0056129A" w:rsidP="003F3ED8">
      <w:pPr>
        <w:rPr>
          <w:b/>
          <w:bCs/>
        </w:rPr>
      </w:pPr>
    </w:p>
    <w:p w14:paraId="3B23EB7A" w14:textId="645E1C02" w:rsidR="003F3ED8" w:rsidRPr="0056129A" w:rsidRDefault="00DE63FD" w:rsidP="0056129A">
      <w:pPr>
        <w:rPr>
          <w:b/>
          <w:bCs/>
        </w:rPr>
      </w:pPr>
      <w:r>
        <w:rPr>
          <w:b/>
          <w:bCs/>
        </w:rPr>
        <w:lastRenderedPageBreak/>
        <w:t xml:space="preserve">Supplementary </w:t>
      </w:r>
      <w:r w:rsidR="009E408D">
        <w:rPr>
          <w:b/>
          <w:bCs/>
        </w:rPr>
        <w:t>Table S2</w:t>
      </w:r>
      <w:r w:rsidR="0056129A">
        <w:rPr>
          <w:b/>
          <w:bCs/>
        </w:rPr>
        <w:t xml:space="preserve">. </w:t>
      </w:r>
      <w:r w:rsidR="009E408D" w:rsidRPr="0056129A">
        <w:rPr>
          <w:b/>
        </w:rPr>
        <w:t>GM-Classification Variable Correlations Over Time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0"/>
        <w:gridCol w:w="1260"/>
        <w:gridCol w:w="1350"/>
        <w:gridCol w:w="1260"/>
        <w:gridCol w:w="1350"/>
        <w:gridCol w:w="1350"/>
        <w:gridCol w:w="1260"/>
      </w:tblGrid>
      <w:tr w:rsidR="009E408D" w14:paraId="5BDD68C7" w14:textId="77777777" w:rsidTr="005113C3">
        <w:trPr>
          <w:trHeight w:hRule="exact" w:val="325"/>
        </w:trPr>
        <w:tc>
          <w:tcPr>
            <w:tcW w:w="1530" w:type="dxa"/>
            <w:tcBorders>
              <w:top w:val="single" w:sz="4" w:space="0" w:color="auto"/>
              <w:bottom w:val="single" w:sz="4" w:space="0" w:color="auto"/>
            </w:tcBorders>
          </w:tcPr>
          <w:p w14:paraId="6C0D7911"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Timepoint</w:t>
            </w:r>
          </w:p>
        </w:tc>
        <w:tc>
          <w:tcPr>
            <w:tcW w:w="1260" w:type="dxa"/>
            <w:tcBorders>
              <w:top w:val="single" w:sz="4" w:space="0" w:color="auto"/>
              <w:bottom w:val="single" w:sz="4" w:space="0" w:color="auto"/>
            </w:tcBorders>
          </w:tcPr>
          <w:p w14:paraId="5BEA6188"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0 months</w:t>
            </w:r>
          </w:p>
        </w:tc>
        <w:tc>
          <w:tcPr>
            <w:tcW w:w="1350" w:type="dxa"/>
            <w:tcBorders>
              <w:top w:val="single" w:sz="4" w:space="0" w:color="auto"/>
              <w:bottom w:val="single" w:sz="4" w:space="0" w:color="auto"/>
            </w:tcBorders>
          </w:tcPr>
          <w:p w14:paraId="49AC8F06"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3 months</w:t>
            </w:r>
          </w:p>
        </w:tc>
        <w:tc>
          <w:tcPr>
            <w:tcW w:w="1260" w:type="dxa"/>
            <w:tcBorders>
              <w:top w:val="single" w:sz="4" w:space="0" w:color="auto"/>
              <w:bottom w:val="single" w:sz="4" w:space="0" w:color="auto"/>
            </w:tcBorders>
          </w:tcPr>
          <w:p w14:paraId="7BF7B33D"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6 months</w:t>
            </w:r>
          </w:p>
        </w:tc>
        <w:tc>
          <w:tcPr>
            <w:tcW w:w="1350" w:type="dxa"/>
            <w:tcBorders>
              <w:top w:val="single" w:sz="4" w:space="0" w:color="auto"/>
              <w:bottom w:val="single" w:sz="4" w:space="0" w:color="auto"/>
            </w:tcBorders>
          </w:tcPr>
          <w:p w14:paraId="68A43819" w14:textId="77777777" w:rsidR="009E408D" w:rsidRPr="003F66AF"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iCs/>
                <w:sz w:val="24"/>
                <w:szCs w:val="24"/>
              </w:rPr>
            </w:pPr>
            <w:r>
              <w:rPr>
                <w:rFonts w:ascii="Times New Roman" w:hAnsi="Times New Roman"/>
                <w:iCs/>
                <w:sz w:val="24"/>
                <w:szCs w:val="24"/>
              </w:rPr>
              <w:t>9 months</w:t>
            </w:r>
          </w:p>
        </w:tc>
        <w:tc>
          <w:tcPr>
            <w:tcW w:w="1350" w:type="dxa"/>
            <w:tcBorders>
              <w:top w:val="single" w:sz="4" w:space="0" w:color="auto"/>
              <w:bottom w:val="single" w:sz="4" w:space="0" w:color="auto"/>
            </w:tcBorders>
          </w:tcPr>
          <w:p w14:paraId="7F090A8B" w14:textId="77777777" w:rsidR="009E408D" w:rsidRPr="001673E8"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iCs/>
                <w:sz w:val="24"/>
                <w:szCs w:val="24"/>
              </w:rPr>
            </w:pPr>
            <w:r>
              <w:rPr>
                <w:rFonts w:ascii="Times New Roman" w:hAnsi="Times New Roman"/>
                <w:iCs/>
                <w:sz w:val="24"/>
                <w:szCs w:val="24"/>
              </w:rPr>
              <w:t>12 months</w:t>
            </w:r>
          </w:p>
        </w:tc>
        <w:tc>
          <w:tcPr>
            <w:tcW w:w="1260" w:type="dxa"/>
            <w:tcBorders>
              <w:top w:val="single" w:sz="4" w:space="0" w:color="auto"/>
              <w:bottom w:val="single" w:sz="4" w:space="0" w:color="auto"/>
            </w:tcBorders>
          </w:tcPr>
          <w:p w14:paraId="18E6732E"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iCs/>
                <w:sz w:val="24"/>
                <w:szCs w:val="24"/>
              </w:rPr>
            </w:pPr>
            <w:r>
              <w:rPr>
                <w:rFonts w:ascii="Times New Roman" w:hAnsi="Times New Roman"/>
                <w:iCs/>
                <w:sz w:val="24"/>
                <w:szCs w:val="24"/>
              </w:rPr>
              <w:t>18 months</w:t>
            </w:r>
          </w:p>
        </w:tc>
      </w:tr>
      <w:tr w:rsidR="009E408D" w14:paraId="0449C1D5" w14:textId="77777777" w:rsidTr="005113C3">
        <w:trPr>
          <w:trHeight w:hRule="exact" w:val="325"/>
        </w:trPr>
        <w:tc>
          <w:tcPr>
            <w:tcW w:w="1530" w:type="dxa"/>
            <w:tcBorders>
              <w:top w:val="single" w:sz="4" w:space="0" w:color="auto"/>
            </w:tcBorders>
          </w:tcPr>
          <w:p w14:paraId="5809758E"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 months</w:t>
            </w:r>
          </w:p>
        </w:tc>
        <w:tc>
          <w:tcPr>
            <w:tcW w:w="1260" w:type="dxa"/>
            <w:tcBorders>
              <w:top w:val="single" w:sz="4" w:space="0" w:color="auto"/>
            </w:tcBorders>
          </w:tcPr>
          <w:p w14:paraId="7DEFAB90"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tcBorders>
          </w:tcPr>
          <w:p w14:paraId="6E95B17D"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260" w:type="dxa"/>
            <w:tcBorders>
              <w:top w:val="single" w:sz="4" w:space="0" w:color="auto"/>
            </w:tcBorders>
          </w:tcPr>
          <w:p w14:paraId="7FC7041D"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350" w:type="dxa"/>
            <w:tcBorders>
              <w:top w:val="single" w:sz="4" w:space="0" w:color="auto"/>
            </w:tcBorders>
          </w:tcPr>
          <w:p w14:paraId="10F5C88B"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iCs/>
                <w:sz w:val="24"/>
                <w:szCs w:val="24"/>
              </w:rPr>
            </w:pPr>
          </w:p>
        </w:tc>
        <w:tc>
          <w:tcPr>
            <w:tcW w:w="1350" w:type="dxa"/>
            <w:tcBorders>
              <w:top w:val="single" w:sz="4" w:space="0" w:color="auto"/>
            </w:tcBorders>
          </w:tcPr>
          <w:p w14:paraId="401B47A6"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iCs/>
                <w:sz w:val="24"/>
                <w:szCs w:val="24"/>
              </w:rPr>
            </w:pPr>
          </w:p>
        </w:tc>
        <w:tc>
          <w:tcPr>
            <w:tcW w:w="1260" w:type="dxa"/>
            <w:tcBorders>
              <w:top w:val="single" w:sz="4" w:space="0" w:color="auto"/>
            </w:tcBorders>
          </w:tcPr>
          <w:p w14:paraId="71988C42"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iCs/>
                <w:sz w:val="24"/>
                <w:szCs w:val="24"/>
              </w:rPr>
            </w:pPr>
          </w:p>
        </w:tc>
      </w:tr>
      <w:tr w:rsidR="009E408D" w14:paraId="1F9CDDD5" w14:textId="77777777" w:rsidTr="005113C3">
        <w:trPr>
          <w:trHeight w:hRule="exact" w:val="288"/>
        </w:trPr>
        <w:tc>
          <w:tcPr>
            <w:tcW w:w="1530" w:type="dxa"/>
          </w:tcPr>
          <w:p w14:paraId="1C9DB39D"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 months</w:t>
            </w:r>
          </w:p>
        </w:tc>
        <w:tc>
          <w:tcPr>
            <w:tcW w:w="1260" w:type="dxa"/>
          </w:tcPr>
          <w:p w14:paraId="69006074" w14:textId="074C0CAE"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.257**</w:t>
            </w:r>
          </w:p>
        </w:tc>
        <w:tc>
          <w:tcPr>
            <w:tcW w:w="1350" w:type="dxa"/>
          </w:tcPr>
          <w:p w14:paraId="4E813AD9"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260" w:type="dxa"/>
          </w:tcPr>
          <w:p w14:paraId="4EBB8893"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350" w:type="dxa"/>
          </w:tcPr>
          <w:p w14:paraId="0B733EE8"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350" w:type="dxa"/>
          </w:tcPr>
          <w:p w14:paraId="5F40F30A"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260" w:type="dxa"/>
          </w:tcPr>
          <w:p w14:paraId="59B8BFA4"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r>
      <w:tr w:rsidR="009E408D" w14:paraId="00F2376C" w14:textId="77777777" w:rsidTr="005113C3">
        <w:trPr>
          <w:trHeight w:hRule="exact" w:val="288"/>
        </w:trPr>
        <w:tc>
          <w:tcPr>
            <w:tcW w:w="1530" w:type="dxa"/>
          </w:tcPr>
          <w:p w14:paraId="5FF6F364"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6 months</w:t>
            </w:r>
          </w:p>
        </w:tc>
        <w:tc>
          <w:tcPr>
            <w:tcW w:w="1260" w:type="dxa"/>
          </w:tcPr>
          <w:p w14:paraId="1FE43A51" w14:textId="0B8F2576"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.293**</w:t>
            </w:r>
          </w:p>
        </w:tc>
        <w:tc>
          <w:tcPr>
            <w:tcW w:w="1350" w:type="dxa"/>
          </w:tcPr>
          <w:p w14:paraId="119DF9FD" w14:textId="4A63910A"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.603**</w:t>
            </w:r>
          </w:p>
        </w:tc>
        <w:tc>
          <w:tcPr>
            <w:tcW w:w="1260" w:type="dxa"/>
          </w:tcPr>
          <w:p w14:paraId="748C1A1A"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350" w:type="dxa"/>
          </w:tcPr>
          <w:p w14:paraId="3DD24451" w14:textId="77777777" w:rsidR="009E408D" w:rsidRPr="00973920"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350" w:type="dxa"/>
          </w:tcPr>
          <w:p w14:paraId="4693AE6B"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260" w:type="dxa"/>
          </w:tcPr>
          <w:p w14:paraId="2A97144A"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r>
      <w:tr w:rsidR="009E408D" w14:paraId="50595DAE" w14:textId="77777777" w:rsidTr="005113C3">
        <w:trPr>
          <w:trHeight w:hRule="exact" w:val="288"/>
        </w:trPr>
        <w:tc>
          <w:tcPr>
            <w:tcW w:w="1530" w:type="dxa"/>
          </w:tcPr>
          <w:p w14:paraId="6744EA39"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9 months</w:t>
            </w:r>
          </w:p>
        </w:tc>
        <w:tc>
          <w:tcPr>
            <w:tcW w:w="1260" w:type="dxa"/>
          </w:tcPr>
          <w:p w14:paraId="59DA6B31" w14:textId="0D9CE6D4"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.110*</w:t>
            </w:r>
          </w:p>
        </w:tc>
        <w:tc>
          <w:tcPr>
            <w:tcW w:w="1350" w:type="dxa"/>
          </w:tcPr>
          <w:p w14:paraId="2B4F1DFB" w14:textId="68BFFD7A"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.345**</w:t>
            </w:r>
          </w:p>
        </w:tc>
        <w:tc>
          <w:tcPr>
            <w:tcW w:w="1260" w:type="dxa"/>
          </w:tcPr>
          <w:p w14:paraId="153DDE3C" w14:textId="5CF14BA1"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.508**</w:t>
            </w:r>
          </w:p>
        </w:tc>
        <w:tc>
          <w:tcPr>
            <w:tcW w:w="1350" w:type="dxa"/>
          </w:tcPr>
          <w:p w14:paraId="0183522E" w14:textId="77777777" w:rsidR="009E408D" w:rsidRPr="00973920"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350" w:type="dxa"/>
          </w:tcPr>
          <w:p w14:paraId="25F472E6"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c>
          <w:tcPr>
            <w:tcW w:w="1260" w:type="dxa"/>
          </w:tcPr>
          <w:p w14:paraId="2DE8A046"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r>
      <w:tr w:rsidR="009E408D" w14:paraId="028BD304" w14:textId="77777777" w:rsidTr="00664BFA">
        <w:trPr>
          <w:trHeight w:hRule="exact" w:val="288"/>
        </w:trPr>
        <w:tc>
          <w:tcPr>
            <w:tcW w:w="1530" w:type="dxa"/>
          </w:tcPr>
          <w:p w14:paraId="0F6BBFE8"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12 months</w:t>
            </w:r>
          </w:p>
        </w:tc>
        <w:tc>
          <w:tcPr>
            <w:tcW w:w="1260" w:type="dxa"/>
          </w:tcPr>
          <w:p w14:paraId="33ADE16D" w14:textId="57500704"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.159**</w:t>
            </w:r>
          </w:p>
        </w:tc>
        <w:tc>
          <w:tcPr>
            <w:tcW w:w="1350" w:type="dxa"/>
          </w:tcPr>
          <w:p w14:paraId="30ADEAA4" w14:textId="286C3126"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.325**</w:t>
            </w:r>
          </w:p>
        </w:tc>
        <w:tc>
          <w:tcPr>
            <w:tcW w:w="1260" w:type="dxa"/>
          </w:tcPr>
          <w:p w14:paraId="1B0F5977" w14:textId="2FEF5234"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.478**</w:t>
            </w:r>
          </w:p>
        </w:tc>
        <w:tc>
          <w:tcPr>
            <w:tcW w:w="1350" w:type="dxa"/>
          </w:tcPr>
          <w:p w14:paraId="36E7F370" w14:textId="02F8E788" w:rsidR="009E408D" w:rsidRPr="00973920"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.478**</w:t>
            </w:r>
          </w:p>
        </w:tc>
        <w:tc>
          <w:tcPr>
            <w:tcW w:w="1350" w:type="dxa"/>
          </w:tcPr>
          <w:p w14:paraId="7B72D4EB"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260" w:type="dxa"/>
          </w:tcPr>
          <w:p w14:paraId="7F5F3547"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p>
        </w:tc>
      </w:tr>
      <w:tr w:rsidR="009E408D" w14:paraId="557E6A84" w14:textId="77777777" w:rsidTr="00664BFA">
        <w:trPr>
          <w:trHeight w:hRule="exact" w:val="288"/>
        </w:trPr>
        <w:tc>
          <w:tcPr>
            <w:tcW w:w="1530" w:type="dxa"/>
            <w:tcBorders>
              <w:bottom w:val="single" w:sz="4" w:space="0" w:color="auto"/>
            </w:tcBorders>
          </w:tcPr>
          <w:p w14:paraId="492AFB6C"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18 months</w:t>
            </w:r>
          </w:p>
        </w:tc>
        <w:tc>
          <w:tcPr>
            <w:tcW w:w="1260" w:type="dxa"/>
            <w:tcBorders>
              <w:bottom w:val="single" w:sz="4" w:space="0" w:color="auto"/>
            </w:tcBorders>
          </w:tcPr>
          <w:p w14:paraId="10FC3635" w14:textId="342A008B"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.146*</w:t>
            </w:r>
          </w:p>
        </w:tc>
        <w:tc>
          <w:tcPr>
            <w:tcW w:w="1350" w:type="dxa"/>
            <w:tcBorders>
              <w:bottom w:val="single" w:sz="4" w:space="0" w:color="auto"/>
            </w:tcBorders>
          </w:tcPr>
          <w:p w14:paraId="36B83CD0" w14:textId="59A653FF"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.355**</w:t>
            </w:r>
          </w:p>
        </w:tc>
        <w:tc>
          <w:tcPr>
            <w:tcW w:w="1260" w:type="dxa"/>
            <w:tcBorders>
              <w:bottom w:val="single" w:sz="4" w:space="0" w:color="auto"/>
            </w:tcBorders>
          </w:tcPr>
          <w:p w14:paraId="5501BBD2" w14:textId="0B317241"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.492**</w:t>
            </w:r>
          </w:p>
        </w:tc>
        <w:tc>
          <w:tcPr>
            <w:tcW w:w="1350" w:type="dxa"/>
            <w:tcBorders>
              <w:bottom w:val="single" w:sz="4" w:space="0" w:color="auto"/>
            </w:tcBorders>
          </w:tcPr>
          <w:p w14:paraId="3E8F5356" w14:textId="21D6FD90"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.331**</w:t>
            </w:r>
          </w:p>
        </w:tc>
        <w:tc>
          <w:tcPr>
            <w:tcW w:w="1350" w:type="dxa"/>
            <w:tcBorders>
              <w:bottom w:val="single" w:sz="4" w:space="0" w:color="auto"/>
            </w:tcBorders>
          </w:tcPr>
          <w:p w14:paraId="1B7CE13D" w14:textId="4FCA36C9" w:rsidR="009E408D" w:rsidRPr="003E0A70"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.618**</w:t>
            </w:r>
          </w:p>
        </w:tc>
        <w:tc>
          <w:tcPr>
            <w:tcW w:w="1260" w:type="dxa"/>
            <w:tcBorders>
              <w:bottom w:val="single" w:sz="4" w:space="0" w:color="auto"/>
            </w:tcBorders>
          </w:tcPr>
          <w:p w14:paraId="20D99038" w14:textId="77777777" w:rsidR="009E408D" w:rsidRDefault="009E408D"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r>
    </w:tbl>
    <w:p w14:paraId="6DC9304D" w14:textId="1FAB2FAB" w:rsidR="009E408D" w:rsidRDefault="009E408D" w:rsidP="003F3ED8">
      <w:pPr>
        <w:rPr>
          <w:bCs/>
        </w:rPr>
      </w:pPr>
      <w:r w:rsidRPr="003F66AF">
        <w:rPr>
          <w:bCs/>
          <w:i/>
          <w:iCs/>
        </w:rPr>
        <w:t>Note</w:t>
      </w:r>
      <w:r w:rsidRPr="003F66AF">
        <w:rPr>
          <w:bCs/>
        </w:rPr>
        <w:t>.</w:t>
      </w:r>
      <w:r>
        <w:rPr>
          <w:bCs/>
        </w:rPr>
        <w:t xml:space="preserve"> Youth’</w:t>
      </w:r>
      <w:r w:rsidR="00AE3D17">
        <w:rPr>
          <w:bCs/>
        </w:rPr>
        <w:t>s</w:t>
      </w:r>
      <w:r>
        <w:rPr>
          <w:bCs/>
        </w:rPr>
        <w:t xml:space="preserve"> responses to YSR </w:t>
      </w:r>
      <w:r w:rsidR="0093250E">
        <w:rPr>
          <w:bCs/>
        </w:rPr>
        <w:t xml:space="preserve">Item </w:t>
      </w:r>
      <w:r>
        <w:rPr>
          <w:bCs/>
        </w:rPr>
        <w:t xml:space="preserve">#110 (“I wish I were of the opposite sex”; </w:t>
      </w:r>
      <w:r w:rsidRPr="009E408D">
        <w:rPr>
          <w:bCs/>
        </w:rPr>
        <w:t>Achenbach &amp; Rescorla, 2001</w:t>
      </w:r>
      <w:r>
        <w:rPr>
          <w:bCs/>
        </w:rPr>
        <w:t>), which were used for GM classification, were positively correlated at all timepoints.</w:t>
      </w:r>
    </w:p>
    <w:p w14:paraId="5A4EFED2" w14:textId="77777777" w:rsidR="009E408D" w:rsidRDefault="009E408D" w:rsidP="003F3ED8">
      <w:pPr>
        <w:rPr>
          <w:bCs/>
        </w:rPr>
      </w:pPr>
      <w:r>
        <w:rPr>
          <w:bCs/>
        </w:rPr>
        <w:t>*</w:t>
      </w:r>
      <w:r w:rsidRPr="003F66AF">
        <w:rPr>
          <w:bCs/>
          <w:i/>
          <w:iCs/>
        </w:rPr>
        <w:t>p</w:t>
      </w:r>
      <w:r>
        <w:rPr>
          <w:bCs/>
        </w:rPr>
        <w:t xml:space="preserve"> &lt; .05. **</w:t>
      </w:r>
      <w:r w:rsidRPr="003F66AF">
        <w:rPr>
          <w:bCs/>
          <w:i/>
          <w:iCs/>
        </w:rPr>
        <w:t>p</w:t>
      </w:r>
      <w:r>
        <w:rPr>
          <w:bCs/>
        </w:rPr>
        <w:t xml:space="preserve"> &lt; .01. </w:t>
      </w:r>
    </w:p>
    <w:p w14:paraId="23929A14" w14:textId="77777777" w:rsidR="009E408D" w:rsidRDefault="009E408D" w:rsidP="009E408D">
      <w:pPr>
        <w:rPr>
          <w:bCs/>
        </w:rPr>
      </w:pPr>
    </w:p>
    <w:p w14:paraId="4A2DB84C" w14:textId="77777777" w:rsidR="00247C59" w:rsidRPr="009E408D" w:rsidRDefault="009E408D" w:rsidP="009E408D">
      <w:pPr>
        <w:jc w:val="center"/>
        <w:rPr>
          <w:b/>
        </w:rPr>
      </w:pPr>
      <w:r w:rsidRPr="009E408D">
        <w:rPr>
          <w:b/>
        </w:rPr>
        <w:t>Refere</w:t>
      </w:r>
      <w:r>
        <w:rPr>
          <w:b/>
        </w:rPr>
        <w:t>n</w:t>
      </w:r>
      <w:r w:rsidRPr="009E408D">
        <w:rPr>
          <w:b/>
        </w:rPr>
        <w:t>ces</w:t>
      </w:r>
    </w:p>
    <w:p w14:paraId="57041CF1" w14:textId="77777777" w:rsidR="009E408D" w:rsidRDefault="009E408D" w:rsidP="009E408D">
      <w:pPr>
        <w:rPr>
          <w:highlight w:val="white"/>
        </w:rPr>
      </w:pPr>
      <w:r>
        <w:rPr>
          <w:highlight w:val="white"/>
        </w:rPr>
        <w:t xml:space="preserve">Achenbach, T., &amp; Rescorla, L. (2001). </w:t>
      </w:r>
      <w:r>
        <w:rPr>
          <w:i/>
          <w:highlight w:val="white"/>
        </w:rPr>
        <w:t>The manual for the ASEBA school-age forms &amp; profiles</w:t>
      </w:r>
      <w:r>
        <w:rPr>
          <w:highlight w:val="white"/>
        </w:rPr>
        <w:t xml:space="preserve">. </w:t>
      </w:r>
    </w:p>
    <w:p w14:paraId="53D72184" w14:textId="77777777" w:rsidR="009E408D" w:rsidRDefault="009E408D" w:rsidP="009E408D">
      <w:pPr>
        <w:ind w:left="720"/>
        <w:rPr>
          <w:highlight w:val="white"/>
        </w:rPr>
      </w:pPr>
      <w:r>
        <w:rPr>
          <w:highlight w:val="white"/>
        </w:rPr>
        <w:t>Burlington, VT: University of Vermont, Research Center for Children, Youth, &amp; Families.</w:t>
      </w:r>
    </w:p>
    <w:p w14:paraId="7F2DA83B" w14:textId="77777777" w:rsidR="005113C3" w:rsidRDefault="005113C3" w:rsidP="009E408D"/>
    <w:p w14:paraId="159BD320" w14:textId="77777777" w:rsidR="003F3ED8" w:rsidRDefault="003F3ED8" w:rsidP="009E408D">
      <w:pPr>
        <w:rPr>
          <w:b/>
          <w:bCs/>
        </w:rPr>
      </w:pPr>
    </w:p>
    <w:p w14:paraId="15FF377D" w14:textId="77777777" w:rsidR="003F3ED8" w:rsidRDefault="003F3ED8" w:rsidP="009E408D">
      <w:pPr>
        <w:rPr>
          <w:b/>
          <w:bCs/>
        </w:rPr>
      </w:pPr>
    </w:p>
    <w:p w14:paraId="7B00671C" w14:textId="77777777" w:rsidR="003F3ED8" w:rsidRDefault="003F3ED8" w:rsidP="009E408D">
      <w:pPr>
        <w:rPr>
          <w:b/>
          <w:bCs/>
        </w:rPr>
      </w:pPr>
    </w:p>
    <w:p w14:paraId="59809FEC" w14:textId="77777777" w:rsidR="003F3ED8" w:rsidRDefault="003F3ED8" w:rsidP="009E408D">
      <w:pPr>
        <w:rPr>
          <w:b/>
          <w:bCs/>
        </w:rPr>
      </w:pPr>
    </w:p>
    <w:p w14:paraId="3683F93A" w14:textId="77777777" w:rsidR="003F3ED8" w:rsidRDefault="003F3ED8" w:rsidP="009E408D">
      <w:pPr>
        <w:rPr>
          <w:b/>
          <w:bCs/>
        </w:rPr>
      </w:pPr>
    </w:p>
    <w:p w14:paraId="7FFCED66" w14:textId="77777777" w:rsidR="003F3ED8" w:rsidRDefault="003F3ED8" w:rsidP="009E408D">
      <w:pPr>
        <w:rPr>
          <w:b/>
          <w:bCs/>
        </w:rPr>
      </w:pPr>
    </w:p>
    <w:p w14:paraId="252C5F43" w14:textId="77777777" w:rsidR="003F3ED8" w:rsidRDefault="003F3ED8" w:rsidP="009E408D">
      <w:pPr>
        <w:rPr>
          <w:b/>
          <w:bCs/>
        </w:rPr>
      </w:pPr>
    </w:p>
    <w:p w14:paraId="324F54E6" w14:textId="77777777" w:rsidR="003F3ED8" w:rsidRDefault="003F3ED8" w:rsidP="009E408D">
      <w:pPr>
        <w:rPr>
          <w:b/>
          <w:bCs/>
        </w:rPr>
      </w:pPr>
    </w:p>
    <w:p w14:paraId="2878C0F1" w14:textId="77777777" w:rsidR="003F3ED8" w:rsidRDefault="003F3ED8" w:rsidP="009E408D">
      <w:pPr>
        <w:rPr>
          <w:b/>
          <w:bCs/>
        </w:rPr>
      </w:pPr>
    </w:p>
    <w:p w14:paraId="3B8E98AB" w14:textId="77777777" w:rsidR="003F3ED8" w:rsidRDefault="003F3ED8" w:rsidP="009E408D">
      <w:pPr>
        <w:rPr>
          <w:b/>
          <w:bCs/>
        </w:rPr>
      </w:pPr>
    </w:p>
    <w:p w14:paraId="6883BE05" w14:textId="77777777" w:rsidR="003F3ED8" w:rsidRDefault="003F3ED8" w:rsidP="009E408D">
      <w:pPr>
        <w:rPr>
          <w:b/>
          <w:bCs/>
        </w:rPr>
      </w:pPr>
    </w:p>
    <w:p w14:paraId="211DC738" w14:textId="77777777" w:rsidR="003F3ED8" w:rsidRDefault="003F3ED8" w:rsidP="009E408D">
      <w:pPr>
        <w:rPr>
          <w:b/>
          <w:bCs/>
        </w:rPr>
      </w:pPr>
    </w:p>
    <w:p w14:paraId="0E707D6C" w14:textId="77777777" w:rsidR="003F3ED8" w:rsidRDefault="003F3ED8" w:rsidP="009E408D">
      <w:pPr>
        <w:rPr>
          <w:b/>
          <w:bCs/>
        </w:rPr>
      </w:pPr>
    </w:p>
    <w:p w14:paraId="0C88560E" w14:textId="77777777" w:rsidR="003F3ED8" w:rsidRDefault="003F3ED8" w:rsidP="009E408D">
      <w:pPr>
        <w:rPr>
          <w:b/>
          <w:bCs/>
        </w:rPr>
      </w:pPr>
    </w:p>
    <w:p w14:paraId="655A04F1" w14:textId="77777777" w:rsidR="003F3ED8" w:rsidRDefault="003F3ED8" w:rsidP="009E408D">
      <w:pPr>
        <w:rPr>
          <w:b/>
          <w:bCs/>
        </w:rPr>
      </w:pPr>
    </w:p>
    <w:p w14:paraId="497C71AF" w14:textId="77777777" w:rsidR="003F3ED8" w:rsidRDefault="003F3ED8" w:rsidP="009E408D">
      <w:pPr>
        <w:rPr>
          <w:b/>
          <w:bCs/>
        </w:rPr>
      </w:pPr>
    </w:p>
    <w:p w14:paraId="46222223" w14:textId="77777777" w:rsidR="003F3ED8" w:rsidRDefault="003F3ED8" w:rsidP="009E408D">
      <w:pPr>
        <w:rPr>
          <w:b/>
          <w:bCs/>
        </w:rPr>
      </w:pPr>
    </w:p>
    <w:p w14:paraId="26847135" w14:textId="77777777" w:rsidR="003F3ED8" w:rsidRDefault="003F3ED8" w:rsidP="009E408D">
      <w:pPr>
        <w:rPr>
          <w:b/>
          <w:bCs/>
        </w:rPr>
      </w:pPr>
    </w:p>
    <w:p w14:paraId="41F7C596" w14:textId="77777777" w:rsidR="003F3ED8" w:rsidRDefault="003F3ED8" w:rsidP="009E408D">
      <w:pPr>
        <w:rPr>
          <w:b/>
          <w:bCs/>
        </w:rPr>
      </w:pPr>
    </w:p>
    <w:p w14:paraId="5963E255" w14:textId="77777777" w:rsidR="003F3ED8" w:rsidRDefault="003F3ED8" w:rsidP="009E408D">
      <w:pPr>
        <w:rPr>
          <w:b/>
          <w:bCs/>
        </w:rPr>
      </w:pPr>
    </w:p>
    <w:p w14:paraId="67EEC4B9" w14:textId="77777777" w:rsidR="003F3ED8" w:rsidRDefault="003F3ED8" w:rsidP="009E408D">
      <w:pPr>
        <w:rPr>
          <w:b/>
          <w:bCs/>
        </w:rPr>
      </w:pPr>
    </w:p>
    <w:p w14:paraId="4DFDD1FC" w14:textId="77777777" w:rsidR="003F3ED8" w:rsidRDefault="003F3ED8" w:rsidP="009E408D">
      <w:pPr>
        <w:rPr>
          <w:b/>
          <w:bCs/>
        </w:rPr>
      </w:pPr>
    </w:p>
    <w:p w14:paraId="1D6D9627" w14:textId="77777777" w:rsidR="003F3ED8" w:rsidRDefault="003F3ED8" w:rsidP="009E408D">
      <w:pPr>
        <w:rPr>
          <w:b/>
          <w:bCs/>
        </w:rPr>
      </w:pPr>
    </w:p>
    <w:p w14:paraId="10261556" w14:textId="77777777" w:rsidR="003F3ED8" w:rsidRDefault="003F3ED8" w:rsidP="009E408D">
      <w:pPr>
        <w:rPr>
          <w:b/>
          <w:bCs/>
        </w:rPr>
      </w:pPr>
    </w:p>
    <w:p w14:paraId="200D3C71" w14:textId="77777777" w:rsidR="003F3ED8" w:rsidRDefault="003F3ED8" w:rsidP="009E408D">
      <w:pPr>
        <w:rPr>
          <w:b/>
          <w:bCs/>
        </w:rPr>
      </w:pPr>
    </w:p>
    <w:p w14:paraId="36D4775E" w14:textId="77777777" w:rsidR="003F3ED8" w:rsidRDefault="003F3ED8" w:rsidP="009E408D">
      <w:pPr>
        <w:rPr>
          <w:b/>
          <w:bCs/>
        </w:rPr>
      </w:pPr>
    </w:p>
    <w:p w14:paraId="0FF43375" w14:textId="77777777" w:rsidR="003F3ED8" w:rsidRDefault="003F3ED8" w:rsidP="009E408D">
      <w:pPr>
        <w:rPr>
          <w:b/>
          <w:bCs/>
        </w:rPr>
      </w:pPr>
    </w:p>
    <w:p w14:paraId="2666CEF8" w14:textId="77777777" w:rsidR="003F3ED8" w:rsidRDefault="003F3ED8" w:rsidP="009E408D">
      <w:pPr>
        <w:rPr>
          <w:b/>
          <w:bCs/>
        </w:rPr>
      </w:pPr>
    </w:p>
    <w:p w14:paraId="511ED42A" w14:textId="17AB1EC7" w:rsidR="003F3ED8" w:rsidRPr="0056129A" w:rsidRDefault="00DE63FD" w:rsidP="0056129A">
      <w:pPr>
        <w:rPr>
          <w:b/>
          <w:bCs/>
        </w:rPr>
      </w:pPr>
      <w:r>
        <w:rPr>
          <w:b/>
          <w:bCs/>
        </w:rPr>
        <w:lastRenderedPageBreak/>
        <w:t>Supplementary</w:t>
      </w:r>
      <w:r w:rsidRPr="0056129A">
        <w:rPr>
          <w:b/>
          <w:bCs/>
        </w:rPr>
        <w:t xml:space="preserve"> </w:t>
      </w:r>
      <w:r w:rsidR="003F3ED8" w:rsidRPr="0056129A">
        <w:rPr>
          <w:b/>
          <w:bCs/>
        </w:rPr>
        <w:t>Table S3</w:t>
      </w:r>
      <w:r w:rsidR="0056129A" w:rsidRPr="0056129A">
        <w:rPr>
          <w:b/>
          <w:bCs/>
        </w:rPr>
        <w:t xml:space="preserve">. </w:t>
      </w:r>
      <w:r w:rsidR="003F3ED8" w:rsidRPr="0056129A">
        <w:rPr>
          <w:b/>
          <w:bCs/>
        </w:rPr>
        <w:t xml:space="preserve">Correlations </w:t>
      </w:r>
      <w:r w:rsidR="009F32FF">
        <w:rPr>
          <w:b/>
          <w:bCs/>
        </w:rPr>
        <w:t>in</w:t>
      </w:r>
      <w:r w:rsidR="003F3ED8" w:rsidRPr="0056129A">
        <w:rPr>
          <w:b/>
          <w:bCs/>
        </w:rPr>
        <w:t xml:space="preserve"> Acceptability and Symptom Improvement </w:t>
      </w:r>
    </w:p>
    <w:tbl>
      <w:tblPr>
        <w:tblW w:w="9360" w:type="dxa"/>
        <w:tblLayout w:type="fixed"/>
        <w:tblCellMar>
          <w:left w:w="0" w:type="dxa"/>
          <w:right w:w="0" w:type="dxa"/>
        </w:tblCellMar>
        <w:tblLook w:val="04A0" w:firstRow="1" w:lastRow="0" w:firstColumn="1" w:lastColumn="0" w:noHBand="0" w:noVBand="1"/>
      </w:tblPr>
      <w:tblGrid>
        <w:gridCol w:w="1337"/>
        <w:gridCol w:w="1337"/>
        <w:gridCol w:w="1337"/>
        <w:gridCol w:w="1337"/>
        <w:gridCol w:w="1337"/>
        <w:gridCol w:w="1337"/>
        <w:gridCol w:w="1338"/>
      </w:tblGrid>
      <w:tr w:rsidR="00667002" w14:paraId="07FE7FD4" w14:textId="77777777" w:rsidTr="00667002">
        <w:trPr>
          <w:trHeight w:hRule="exact" w:val="325"/>
        </w:trPr>
        <w:tc>
          <w:tcPr>
            <w:tcW w:w="1337" w:type="dxa"/>
            <w:tcBorders>
              <w:top w:val="single" w:sz="4" w:space="0" w:color="auto"/>
              <w:right w:val="single" w:sz="4" w:space="0" w:color="auto"/>
            </w:tcBorders>
          </w:tcPr>
          <w:p w14:paraId="50D5B4B1" w14:textId="2DFA4CFB" w:rsidR="00667002" w:rsidRDefault="00667002" w:rsidP="005113C3">
            <w:pPr>
              <w:pStyle w:val="CommentText"/>
              <w:pBdr>
                <w:top w:val="none" w:sz="0" w:space="0" w:color="auto"/>
                <w:left w:val="none" w:sz="0" w:space="0" w:color="auto"/>
                <w:bottom w:val="none" w:sz="0" w:space="0" w:color="auto"/>
                <w:right w:val="none" w:sz="0" w:space="0" w:color="auto"/>
                <w:between w:val="none" w:sz="0" w:space="0" w:color="auto"/>
              </w:pBdr>
              <w:rPr>
                <w:sz w:val="24"/>
                <w:szCs w:val="24"/>
              </w:rPr>
            </w:pPr>
          </w:p>
        </w:tc>
        <w:tc>
          <w:tcPr>
            <w:tcW w:w="2674" w:type="dxa"/>
            <w:gridSpan w:val="2"/>
            <w:tcBorders>
              <w:top w:val="single" w:sz="4" w:space="0" w:color="auto"/>
              <w:left w:val="single" w:sz="4" w:space="0" w:color="auto"/>
              <w:bottom w:val="single" w:sz="4" w:space="0" w:color="auto"/>
            </w:tcBorders>
          </w:tcPr>
          <w:p w14:paraId="7BD04757" w14:textId="7A2CBAD2"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Pooled sample</w:t>
            </w:r>
          </w:p>
          <w:p w14:paraId="5B795D4C" w14:textId="2107F344"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Alliance</w:t>
            </w:r>
          </w:p>
        </w:tc>
        <w:tc>
          <w:tcPr>
            <w:tcW w:w="2674" w:type="dxa"/>
            <w:gridSpan w:val="2"/>
            <w:tcBorders>
              <w:top w:val="single" w:sz="4" w:space="0" w:color="auto"/>
              <w:left w:val="single" w:sz="4" w:space="0" w:color="auto"/>
              <w:bottom w:val="single" w:sz="4" w:space="0" w:color="auto"/>
            </w:tcBorders>
          </w:tcPr>
          <w:p w14:paraId="19971049" w14:textId="59B88AD3"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CG youth</w:t>
            </w:r>
          </w:p>
          <w:p w14:paraId="5F9EC564" w14:textId="75A47591"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Alliance</w:t>
            </w:r>
          </w:p>
        </w:tc>
        <w:tc>
          <w:tcPr>
            <w:tcW w:w="2675" w:type="dxa"/>
            <w:gridSpan w:val="2"/>
            <w:tcBorders>
              <w:top w:val="single" w:sz="4" w:space="0" w:color="auto"/>
              <w:left w:val="single" w:sz="4" w:space="0" w:color="auto"/>
              <w:bottom w:val="single" w:sz="4" w:space="0" w:color="auto"/>
            </w:tcBorders>
          </w:tcPr>
          <w:p w14:paraId="39BDD635" w14:textId="17B2B039"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GM youth</w:t>
            </w:r>
          </w:p>
          <w:p w14:paraId="5C8C289A" w14:textId="2F651575"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Alliance</w:t>
            </w:r>
          </w:p>
        </w:tc>
      </w:tr>
      <w:tr w:rsidR="00667002" w14:paraId="3E2414A5" w14:textId="77777777" w:rsidTr="00667002">
        <w:trPr>
          <w:trHeight w:hRule="exact" w:val="325"/>
        </w:trPr>
        <w:tc>
          <w:tcPr>
            <w:tcW w:w="1337" w:type="dxa"/>
            <w:tcBorders>
              <w:bottom w:val="single" w:sz="4" w:space="0" w:color="auto"/>
              <w:right w:val="single" w:sz="4" w:space="0" w:color="auto"/>
            </w:tcBorders>
          </w:tcPr>
          <w:p w14:paraId="42378254" w14:textId="2047A296" w:rsidR="00667002" w:rsidRDefault="00667002" w:rsidP="00667002">
            <w:pPr>
              <w:pStyle w:val="CommentText"/>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Variable</w:t>
            </w:r>
          </w:p>
        </w:tc>
        <w:tc>
          <w:tcPr>
            <w:tcW w:w="1337" w:type="dxa"/>
            <w:tcBorders>
              <w:left w:val="single" w:sz="4" w:space="0" w:color="auto"/>
              <w:bottom w:val="single" w:sz="4" w:space="0" w:color="auto"/>
            </w:tcBorders>
          </w:tcPr>
          <w:p w14:paraId="668FA735" w14:textId="2181112D" w:rsidR="00667002" w:rsidRDefault="00667002" w:rsidP="009325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Satisfaction</w:t>
            </w:r>
          </w:p>
        </w:tc>
        <w:tc>
          <w:tcPr>
            <w:tcW w:w="1337" w:type="dxa"/>
            <w:tcBorders>
              <w:bottom w:val="single" w:sz="4" w:space="0" w:color="auto"/>
            </w:tcBorders>
          </w:tcPr>
          <w:p w14:paraId="300E7C2A" w14:textId="6F7CA3FE" w:rsidR="00667002" w:rsidRDefault="00667002" w:rsidP="009325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Alliance</w:t>
            </w:r>
          </w:p>
        </w:tc>
        <w:tc>
          <w:tcPr>
            <w:tcW w:w="1337" w:type="dxa"/>
            <w:tcBorders>
              <w:left w:val="single" w:sz="4" w:space="0" w:color="auto"/>
              <w:bottom w:val="single" w:sz="4" w:space="0" w:color="auto"/>
            </w:tcBorders>
          </w:tcPr>
          <w:p w14:paraId="36BE1DEB" w14:textId="1BAC2D67" w:rsidR="00667002" w:rsidRDefault="00667002" w:rsidP="009325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Satisfaction</w:t>
            </w:r>
          </w:p>
        </w:tc>
        <w:tc>
          <w:tcPr>
            <w:tcW w:w="1337" w:type="dxa"/>
            <w:tcBorders>
              <w:bottom w:val="single" w:sz="4" w:space="0" w:color="auto"/>
            </w:tcBorders>
          </w:tcPr>
          <w:p w14:paraId="368E7EDD" w14:textId="37569213" w:rsidR="00667002" w:rsidRDefault="00667002" w:rsidP="009325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Alliance</w:t>
            </w:r>
          </w:p>
        </w:tc>
        <w:tc>
          <w:tcPr>
            <w:tcW w:w="1337" w:type="dxa"/>
            <w:tcBorders>
              <w:left w:val="single" w:sz="4" w:space="0" w:color="auto"/>
              <w:bottom w:val="single" w:sz="4" w:space="0" w:color="auto"/>
            </w:tcBorders>
          </w:tcPr>
          <w:p w14:paraId="13A5AA7F" w14:textId="0F2EAB96" w:rsidR="00667002" w:rsidRDefault="00667002" w:rsidP="009325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Satisfaction</w:t>
            </w:r>
          </w:p>
        </w:tc>
        <w:tc>
          <w:tcPr>
            <w:tcW w:w="1338" w:type="dxa"/>
            <w:tcBorders>
              <w:bottom w:val="single" w:sz="4" w:space="0" w:color="auto"/>
            </w:tcBorders>
          </w:tcPr>
          <w:p w14:paraId="558A852E" w14:textId="0C795450" w:rsidR="00667002" w:rsidRDefault="00667002" w:rsidP="0093250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Alliance</w:t>
            </w:r>
          </w:p>
        </w:tc>
      </w:tr>
      <w:tr w:rsidR="00667002" w14:paraId="1218C902" w14:textId="77777777" w:rsidTr="00667002">
        <w:trPr>
          <w:trHeight w:hRule="exact" w:val="288"/>
        </w:trPr>
        <w:tc>
          <w:tcPr>
            <w:tcW w:w="1337" w:type="dxa"/>
            <w:tcBorders>
              <w:top w:val="single" w:sz="4" w:space="0" w:color="auto"/>
              <w:right w:val="single" w:sz="4" w:space="0" w:color="auto"/>
            </w:tcBorders>
          </w:tcPr>
          <w:p w14:paraId="497AA05D" w14:textId="54B96472"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Alliance</w:t>
            </w:r>
          </w:p>
        </w:tc>
        <w:tc>
          <w:tcPr>
            <w:tcW w:w="1337" w:type="dxa"/>
            <w:tcBorders>
              <w:top w:val="single" w:sz="4" w:space="0" w:color="auto"/>
              <w:left w:val="single" w:sz="4" w:space="0" w:color="auto"/>
            </w:tcBorders>
          </w:tcPr>
          <w:p w14:paraId="0066DA0B" w14:textId="1BA493B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-.133</w:t>
            </w:r>
          </w:p>
        </w:tc>
        <w:tc>
          <w:tcPr>
            <w:tcW w:w="1337" w:type="dxa"/>
            <w:tcBorders>
              <w:top w:val="single" w:sz="4" w:space="0" w:color="auto"/>
            </w:tcBorders>
          </w:tcPr>
          <w:p w14:paraId="04C78BB3" w14:textId="7777777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337" w:type="dxa"/>
            <w:tcBorders>
              <w:top w:val="single" w:sz="4" w:space="0" w:color="auto"/>
              <w:left w:val="single" w:sz="4" w:space="0" w:color="auto"/>
            </w:tcBorders>
          </w:tcPr>
          <w:p w14:paraId="7647123D" w14:textId="21731222"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-.173*</w:t>
            </w:r>
          </w:p>
        </w:tc>
        <w:tc>
          <w:tcPr>
            <w:tcW w:w="1337" w:type="dxa"/>
            <w:tcBorders>
              <w:top w:val="single" w:sz="4" w:space="0" w:color="auto"/>
            </w:tcBorders>
          </w:tcPr>
          <w:p w14:paraId="1F93AFED" w14:textId="7777777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c>
          <w:tcPr>
            <w:tcW w:w="1337" w:type="dxa"/>
            <w:tcBorders>
              <w:top w:val="single" w:sz="4" w:space="0" w:color="auto"/>
              <w:left w:val="single" w:sz="4" w:space="0" w:color="auto"/>
            </w:tcBorders>
          </w:tcPr>
          <w:p w14:paraId="7FD0CADF" w14:textId="775E2651"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-.085</w:t>
            </w:r>
          </w:p>
        </w:tc>
        <w:tc>
          <w:tcPr>
            <w:tcW w:w="1338" w:type="dxa"/>
            <w:tcBorders>
              <w:top w:val="single" w:sz="4" w:space="0" w:color="auto"/>
            </w:tcBorders>
          </w:tcPr>
          <w:p w14:paraId="0803BA90" w14:textId="7777777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w:t>
            </w:r>
          </w:p>
        </w:tc>
      </w:tr>
      <w:tr w:rsidR="00667002" w14:paraId="235F19C0" w14:textId="77777777" w:rsidTr="00667002">
        <w:trPr>
          <w:trHeight w:hRule="exact" w:val="288"/>
        </w:trPr>
        <w:tc>
          <w:tcPr>
            <w:tcW w:w="1337" w:type="dxa"/>
            <w:tcBorders>
              <w:right w:val="single" w:sz="4" w:space="0" w:color="auto"/>
            </w:tcBorders>
          </w:tcPr>
          <w:p w14:paraId="5BE40906" w14:textId="7777777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spellStart"/>
            <w:r>
              <w:rPr>
                <w:rFonts w:ascii="Times New Roman" w:hAnsi="Times New Roman"/>
                <w:sz w:val="24"/>
                <w:szCs w:val="24"/>
              </w:rPr>
              <w:t>YSR</w:t>
            </w:r>
            <w:r w:rsidRPr="007F33CC">
              <w:rPr>
                <w:rFonts w:ascii="Times New Roman" w:hAnsi="Times New Roman"/>
                <w:sz w:val="24"/>
                <w:szCs w:val="24"/>
                <w:vertAlign w:val="subscript"/>
              </w:rPr>
              <w:t>int</w:t>
            </w:r>
            <w:proofErr w:type="spellEnd"/>
          </w:p>
        </w:tc>
        <w:tc>
          <w:tcPr>
            <w:tcW w:w="1337" w:type="dxa"/>
            <w:tcBorders>
              <w:left w:val="single" w:sz="4" w:space="0" w:color="auto"/>
            </w:tcBorders>
          </w:tcPr>
          <w:p w14:paraId="563B06F7" w14:textId="13C38D0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-.015</w:t>
            </w:r>
          </w:p>
        </w:tc>
        <w:tc>
          <w:tcPr>
            <w:tcW w:w="1337" w:type="dxa"/>
          </w:tcPr>
          <w:p w14:paraId="31871F21" w14:textId="5846349B"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-.020</w:t>
            </w:r>
          </w:p>
        </w:tc>
        <w:tc>
          <w:tcPr>
            <w:tcW w:w="1337" w:type="dxa"/>
            <w:tcBorders>
              <w:left w:val="single" w:sz="4" w:space="0" w:color="auto"/>
            </w:tcBorders>
          </w:tcPr>
          <w:p w14:paraId="27C1EFF5" w14:textId="568B64D0"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-.047</w:t>
            </w:r>
          </w:p>
        </w:tc>
        <w:tc>
          <w:tcPr>
            <w:tcW w:w="1337" w:type="dxa"/>
          </w:tcPr>
          <w:p w14:paraId="561F61F8" w14:textId="09C5EE94"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-.089</w:t>
            </w:r>
          </w:p>
        </w:tc>
        <w:tc>
          <w:tcPr>
            <w:tcW w:w="1337" w:type="dxa"/>
            <w:tcBorders>
              <w:left w:val="single" w:sz="4" w:space="0" w:color="auto"/>
            </w:tcBorders>
          </w:tcPr>
          <w:p w14:paraId="0CFE4A61" w14:textId="71F0DC59"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.156</w:t>
            </w:r>
          </w:p>
        </w:tc>
        <w:tc>
          <w:tcPr>
            <w:tcW w:w="1338" w:type="dxa"/>
          </w:tcPr>
          <w:p w14:paraId="12781234" w14:textId="4B052770"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.323*</w:t>
            </w:r>
          </w:p>
        </w:tc>
      </w:tr>
      <w:tr w:rsidR="00667002" w14:paraId="3ABC98A3" w14:textId="77777777" w:rsidTr="00667002">
        <w:trPr>
          <w:trHeight w:hRule="exact" w:val="288"/>
        </w:trPr>
        <w:tc>
          <w:tcPr>
            <w:tcW w:w="1337" w:type="dxa"/>
            <w:tcBorders>
              <w:right w:val="single" w:sz="4" w:space="0" w:color="auto"/>
            </w:tcBorders>
          </w:tcPr>
          <w:p w14:paraId="126BB1D2" w14:textId="7777777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spellStart"/>
            <w:r>
              <w:rPr>
                <w:rFonts w:ascii="Times New Roman" w:hAnsi="Times New Roman"/>
                <w:sz w:val="24"/>
                <w:szCs w:val="24"/>
              </w:rPr>
              <w:t>YSR</w:t>
            </w:r>
            <w:r w:rsidRPr="007F33CC">
              <w:rPr>
                <w:rFonts w:ascii="Times New Roman" w:hAnsi="Times New Roman"/>
                <w:sz w:val="24"/>
                <w:szCs w:val="24"/>
                <w:vertAlign w:val="subscript"/>
              </w:rPr>
              <w:t>ext</w:t>
            </w:r>
            <w:proofErr w:type="spellEnd"/>
          </w:p>
        </w:tc>
        <w:tc>
          <w:tcPr>
            <w:tcW w:w="1337" w:type="dxa"/>
            <w:tcBorders>
              <w:left w:val="single" w:sz="4" w:space="0" w:color="auto"/>
            </w:tcBorders>
          </w:tcPr>
          <w:p w14:paraId="48917B50" w14:textId="50060C33"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.065</w:t>
            </w:r>
          </w:p>
        </w:tc>
        <w:tc>
          <w:tcPr>
            <w:tcW w:w="1337" w:type="dxa"/>
          </w:tcPr>
          <w:p w14:paraId="1034847B" w14:textId="185CFD3F"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-.069</w:t>
            </w:r>
          </w:p>
        </w:tc>
        <w:tc>
          <w:tcPr>
            <w:tcW w:w="1337" w:type="dxa"/>
            <w:tcBorders>
              <w:left w:val="single" w:sz="4" w:space="0" w:color="auto"/>
            </w:tcBorders>
          </w:tcPr>
          <w:p w14:paraId="49CB230C" w14:textId="3CA75DD3"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.075</w:t>
            </w:r>
          </w:p>
        </w:tc>
        <w:tc>
          <w:tcPr>
            <w:tcW w:w="1337" w:type="dxa"/>
          </w:tcPr>
          <w:p w14:paraId="110C5E53" w14:textId="095E5F90"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-.097</w:t>
            </w:r>
          </w:p>
        </w:tc>
        <w:tc>
          <w:tcPr>
            <w:tcW w:w="1337" w:type="dxa"/>
            <w:tcBorders>
              <w:left w:val="single" w:sz="4" w:space="0" w:color="auto"/>
            </w:tcBorders>
          </w:tcPr>
          <w:p w14:paraId="228B5D43" w14:textId="404223F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.012</w:t>
            </w:r>
          </w:p>
        </w:tc>
        <w:tc>
          <w:tcPr>
            <w:tcW w:w="1338" w:type="dxa"/>
          </w:tcPr>
          <w:p w14:paraId="57859547" w14:textId="1FC6D133"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.213</w:t>
            </w:r>
          </w:p>
        </w:tc>
      </w:tr>
      <w:tr w:rsidR="00667002" w14:paraId="7433AB62" w14:textId="77777777" w:rsidTr="00667002">
        <w:trPr>
          <w:trHeight w:hRule="exact" w:val="288"/>
        </w:trPr>
        <w:tc>
          <w:tcPr>
            <w:tcW w:w="1337" w:type="dxa"/>
            <w:tcBorders>
              <w:right w:val="single" w:sz="4" w:space="0" w:color="auto"/>
            </w:tcBorders>
          </w:tcPr>
          <w:p w14:paraId="703888DE" w14:textId="7777777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spellStart"/>
            <w:r>
              <w:rPr>
                <w:rFonts w:ascii="Times New Roman" w:hAnsi="Times New Roman"/>
                <w:sz w:val="24"/>
                <w:szCs w:val="24"/>
              </w:rPr>
              <w:t>CBCL</w:t>
            </w:r>
            <w:r w:rsidRPr="007F33CC">
              <w:rPr>
                <w:rFonts w:ascii="Times New Roman" w:hAnsi="Times New Roman"/>
                <w:sz w:val="24"/>
                <w:szCs w:val="24"/>
                <w:vertAlign w:val="subscript"/>
              </w:rPr>
              <w:t>int</w:t>
            </w:r>
            <w:proofErr w:type="spellEnd"/>
          </w:p>
        </w:tc>
        <w:tc>
          <w:tcPr>
            <w:tcW w:w="1337" w:type="dxa"/>
            <w:tcBorders>
              <w:left w:val="single" w:sz="4" w:space="0" w:color="auto"/>
            </w:tcBorders>
          </w:tcPr>
          <w:p w14:paraId="43E79CD1" w14:textId="130EE562"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.010</w:t>
            </w:r>
          </w:p>
        </w:tc>
        <w:tc>
          <w:tcPr>
            <w:tcW w:w="1337" w:type="dxa"/>
          </w:tcPr>
          <w:p w14:paraId="2777D49F" w14:textId="426C12AF"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-.066</w:t>
            </w:r>
          </w:p>
        </w:tc>
        <w:tc>
          <w:tcPr>
            <w:tcW w:w="1337" w:type="dxa"/>
            <w:tcBorders>
              <w:left w:val="single" w:sz="4" w:space="0" w:color="auto"/>
            </w:tcBorders>
          </w:tcPr>
          <w:p w14:paraId="3B24914F" w14:textId="7BC72E75"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-.019</w:t>
            </w:r>
          </w:p>
        </w:tc>
        <w:tc>
          <w:tcPr>
            <w:tcW w:w="1337" w:type="dxa"/>
          </w:tcPr>
          <w:p w14:paraId="04E74A5C" w14:textId="0484C8D8"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-.056</w:t>
            </w:r>
          </w:p>
        </w:tc>
        <w:tc>
          <w:tcPr>
            <w:tcW w:w="1337" w:type="dxa"/>
            <w:tcBorders>
              <w:left w:val="single" w:sz="4" w:space="0" w:color="auto"/>
            </w:tcBorders>
          </w:tcPr>
          <w:p w14:paraId="381C69EA" w14:textId="446A8848"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.345*</w:t>
            </w:r>
          </w:p>
        </w:tc>
        <w:tc>
          <w:tcPr>
            <w:tcW w:w="1338" w:type="dxa"/>
          </w:tcPr>
          <w:p w14:paraId="3517FC37" w14:textId="29545F61"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-.075</w:t>
            </w:r>
          </w:p>
        </w:tc>
      </w:tr>
      <w:tr w:rsidR="00667002" w14:paraId="56E1A823" w14:textId="77777777" w:rsidTr="00667002">
        <w:trPr>
          <w:trHeight w:hRule="exact" w:val="288"/>
        </w:trPr>
        <w:tc>
          <w:tcPr>
            <w:tcW w:w="1337" w:type="dxa"/>
            <w:tcBorders>
              <w:bottom w:val="single" w:sz="4" w:space="0" w:color="auto"/>
              <w:right w:val="single" w:sz="4" w:space="0" w:color="auto"/>
            </w:tcBorders>
          </w:tcPr>
          <w:p w14:paraId="7D42D3E5" w14:textId="77777777"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spellStart"/>
            <w:r>
              <w:rPr>
                <w:rFonts w:ascii="Times New Roman" w:hAnsi="Times New Roman"/>
                <w:sz w:val="24"/>
                <w:szCs w:val="24"/>
              </w:rPr>
              <w:t>CBCL</w:t>
            </w:r>
            <w:r w:rsidRPr="007F33CC">
              <w:rPr>
                <w:rFonts w:ascii="Times New Roman" w:hAnsi="Times New Roman"/>
                <w:sz w:val="24"/>
                <w:szCs w:val="24"/>
                <w:vertAlign w:val="subscript"/>
              </w:rPr>
              <w:t>ext</w:t>
            </w:r>
            <w:proofErr w:type="spellEnd"/>
          </w:p>
        </w:tc>
        <w:tc>
          <w:tcPr>
            <w:tcW w:w="1337" w:type="dxa"/>
            <w:tcBorders>
              <w:left w:val="single" w:sz="4" w:space="0" w:color="auto"/>
              <w:bottom w:val="single" w:sz="4" w:space="0" w:color="auto"/>
            </w:tcBorders>
          </w:tcPr>
          <w:p w14:paraId="07C7FDCB" w14:textId="3D82A6CF"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.021</w:t>
            </w:r>
          </w:p>
        </w:tc>
        <w:tc>
          <w:tcPr>
            <w:tcW w:w="1337" w:type="dxa"/>
            <w:tcBorders>
              <w:bottom w:val="single" w:sz="4" w:space="0" w:color="auto"/>
            </w:tcBorders>
          </w:tcPr>
          <w:p w14:paraId="1E600321" w14:textId="47159146"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-.034</w:t>
            </w:r>
          </w:p>
        </w:tc>
        <w:tc>
          <w:tcPr>
            <w:tcW w:w="1337" w:type="dxa"/>
            <w:tcBorders>
              <w:left w:val="single" w:sz="4" w:space="0" w:color="auto"/>
              <w:bottom w:val="single" w:sz="4" w:space="0" w:color="auto"/>
            </w:tcBorders>
          </w:tcPr>
          <w:p w14:paraId="6464CD2C" w14:textId="234E314C"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-.034</w:t>
            </w:r>
          </w:p>
        </w:tc>
        <w:tc>
          <w:tcPr>
            <w:tcW w:w="1337" w:type="dxa"/>
            <w:tcBorders>
              <w:bottom w:val="single" w:sz="4" w:space="0" w:color="auto"/>
            </w:tcBorders>
          </w:tcPr>
          <w:p w14:paraId="0A1FF611" w14:textId="7519BC6A"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-.020</w:t>
            </w:r>
          </w:p>
        </w:tc>
        <w:tc>
          <w:tcPr>
            <w:tcW w:w="1337" w:type="dxa"/>
            <w:tcBorders>
              <w:left w:val="single" w:sz="4" w:space="0" w:color="auto"/>
              <w:bottom w:val="single" w:sz="4" w:space="0" w:color="auto"/>
            </w:tcBorders>
          </w:tcPr>
          <w:p w14:paraId="072F9EEE" w14:textId="45FB0BEC"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.468**</w:t>
            </w:r>
          </w:p>
        </w:tc>
        <w:tc>
          <w:tcPr>
            <w:tcW w:w="1338" w:type="dxa"/>
            <w:tcBorders>
              <w:bottom w:val="single" w:sz="4" w:space="0" w:color="auto"/>
            </w:tcBorders>
          </w:tcPr>
          <w:p w14:paraId="48F0BF24" w14:textId="24DBDB84" w:rsidR="00667002" w:rsidRDefault="00667002" w:rsidP="0066700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-.058</w:t>
            </w:r>
          </w:p>
        </w:tc>
      </w:tr>
    </w:tbl>
    <w:p w14:paraId="29FC1B50" w14:textId="737570EF" w:rsidR="003F3ED8" w:rsidRPr="003F66AF" w:rsidRDefault="003F3ED8" w:rsidP="003F3ED8">
      <w:pPr>
        <w:pStyle w:val="Body"/>
        <w:rPr>
          <w:rFonts w:ascii="Times New Roman" w:hAnsi="Times New Roman" w:cs="Times New Roman"/>
          <w:sz w:val="24"/>
          <w:szCs w:val="24"/>
        </w:rPr>
      </w:pPr>
      <w:r w:rsidRPr="003F66AF">
        <w:rPr>
          <w:rFonts w:ascii="Times New Roman" w:hAnsi="Times New Roman"/>
          <w:i/>
          <w:iCs/>
          <w:sz w:val="24"/>
          <w:szCs w:val="24"/>
        </w:rPr>
        <w:t>Note</w:t>
      </w:r>
      <w:r w:rsidRPr="003F66AF">
        <w:rPr>
          <w:rFonts w:ascii="Times New Roman" w:hAnsi="Times New Roman"/>
          <w:sz w:val="24"/>
          <w:szCs w:val="24"/>
        </w:rPr>
        <w:t>.</w:t>
      </w:r>
      <w:r>
        <w:rPr>
          <w:rFonts w:ascii="Times New Roman" w:hAnsi="Times New Roman"/>
          <w:sz w:val="24"/>
          <w:szCs w:val="24"/>
        </w:rPr>
        <w:t xml:space="preserve"> Satisfaction </w:t>
      </w:r>
      <w:r w:rsidRPr="00C402F1">
        <w:rPr>
          <w:rFonts w:ascii="Times New Roman" w:hAnsi="Times New Roman" w:cs="Times New Roman"/>
          <w:sz w:val="24"/>
          <w:szCs w:val="24"/>
        </w:rPr>
        <w:t>= Youth</w:t>
      </w:r>
      <w:r w:rsidRPr="00033197">
        <w:rPr>
          <w:rFonts w:ascii="Times New Roman" w:hAnsi="Times New Roman" w:cs="Times New Roman"/>
          <w:sz w:val="24"/>
          <w:szCs w:val="24"/>
        </w:rPr>
        <w:t xml:space="preserve"> Satisfaction Questionnaire (</w:t>
      </w:r>
      <w:r w:rsidRPr="00C402F1">
        <w:rPr>
          <w:rFonts w:ascii="Times New Roman" w:hAnsi="Times New Roman" w:cs="Times New Roman"/>
          <w:sz w:val="24"/>
          <w:szCs w:val="24"/>
        </w:rPr>
        <w:t>YSQ-8</w:t>
      </w:r>
      <w:r>
        <w:rPr>
          <w:rFonts w:ascii="Times New Roman" w:hAnsi="Times New Roman" w:cs="Times New Roman"/>
          <w:sz w:val="24"/>
          <w:szCs w:val="24"/>
        </w:rPr>
        <w:t xml:space="preserve">; </w:t>
      </w:r>
      <w:r w:rsidRPr="00033197">
        <w:rPr>
          <w:rFonts w:ascii="Times New Roman" w:hAnsi="Times New Roman" w:cs="Times New Roman"/>
          <w:sz w:val="24"/>
          <w:szCs w:val="24"/>
        </w:rPr>
        <w:t xml:space="preserve">Hawley </w:t>
      </w:r>
      <w:r w:rsidRPr="004D7A6F">
        <w:rPr>
          <w:rFonts w:ascii="Times New Roman" w:hAnsi="Times New Roman" w:cs="Times New Roman"/>
          <w:sz w:val="24"/>
          <w:szCs w:val="24"/>
        </w:rPr>
        <w:t xml:space="preserve">&amp; Weisz, 2005). </w:t>
      </w:r>
      <w:r>
        <w:rPr>
          <w:rFonts w:ascii="Times New Roman" w:hAnsi="Times New Roman" w:cs="Times New Roman"/>
          <w:sz w:val="24"/>
          <w:szCs w:val="24"/>
        </w:rPr>
        <w:t xml:space="preserve">Alliance = </w:t>
      </w:r>
      <w:r w:rsidRPr="004D7A6F">
        <w:rPr>
          <w:rFonts w:ascii="Times New Roman" w:hAnsi="Times New Roman" w:cs="Times New Roman"/>
          <w:sz w:val="24"/>
          <w:szCs w:val="24"/>
        </w:rPr>
        <w:t>Therapeutic Alliance Scale for Children (</w:t>
      </w:r>
      <w:r>
        <w:rPr>
          <w:rFonts w:ascii="Times New Roman" w:hAnsi="Times New Roman" w:cs="Times New Roman"/>
          <w:sz w:val="24"/>
          <w:szCs w:val="24"/>
        </w:rPr>
        <w:t xml:space="preserve">TASC; </w:t>
      </w:r>
      <w:r w:rsidRPr="003F66AF">
        <w:rPr>
          <w:rFonts w:ascii="Times New Roman" w:hAnsi="Times New Roman" w:cs="Times New Roman"/>
          <w:sz w:val="24"/>
          <w:szCs w:val="24"/>
        </w:rPr>
        <w:t xml:space="preserve">Shirk &amp; </w:t>
      </w:r>
      <w:proofErr w:type="spellStart"/>
      <w:r w:rsidRPr="003F66AF">
        <w:rPr>
          <w:rFonts w:ascii="Times New Roman" w:hAnsi="Times New Roman" w:cs="Times New Roman"/>
          <w:sz w:val="24"/>
          <w:szCs w:val="24"/>
        </w:rPr>
        <w:t>Saiz</w:t>
      </w:r>
      <w:proofErr w:type="spellEnd"/>
      <w:r w:rsidRPr="003F66AF">
        <w:rPr>
          <w:rFonts w:ascii="Times New Roman" w:hAnsi="Times New Roman" w:cs="Times New Roman"/>
          <w:sz w:val="24"/>
          <w:szCs w:val="24"/>
        </w:rPr>
        <w:t>, 1992</w:t>
      </w:r>
      <w:r w:rsidRPr="00C402F1">
        <w:rPr>
          <w:rFonts w:ascii="Times New Roman" w:hAnsi="Times New Roman" w:cs="Times New Roman"/>
          <w:sz w:val="24"/>
          <w:szCs w:val="24"/>
        </w:rPr>
        <w:t>)</w:t>
      </w:r>
      <w:r>
        <w:rPr>
          <w:rFonts w:ascii="Times New Roman" w:hAnsi="Times New Roman" w:cs="Times New Roman"/>
          <w:sz w:val="24"/>
          <w:szCs w:val="24"/>
        </w:rPr>
        <w:t xml:space="preserve">. YSR/CBCL internalizing/externalizing </w:t>
      </w:r>
      <w:r w:rsidRPr="00AE3D17">
        <w:rPr>
          <w:rFonts w:ascii="Times New Roman" w:hAnsi="Times New Roman" w:cs="Times New Roman"/>
          <w:sz w:val="24"/>
          <w:szCs w:val="24"/>
        </w:rPr>
        <w:t>problems</w:t>
      </w:r>
      <w:r w:rsidR="00AE3D17" w:rsidRPr="00AE3D17">
        <w:rPr>
          <w:rFonts w:ascii="Times New Roman" w:hAnsi="Times New Roman" w:cs="Times New Roman"/>
          <w:sz w:val="24"/>
          <w:szCs w:val="24"/>
        </w:rPr>
        <w:t xml:space="preserve"> (</w:t>
      </w:r>
      <w:r w:rsidR="00AE3D17" w:rsidRPr="00AE3D17">
        <w:rPr>
          <w:rFonts w:ascii="Times New Roman" w:hAnsi="Times New Roman" w:cs="Times New Roman"/>
          <w:sz w:val="24"/>
          <w:szCs w:val="24"/>
          <w:highlight w:val="white"/>
        </w:rPr>
        <w:t>Achenbach</w:t>
      </w:r>
      <w:r w:rsidR="00AE3D17">
        <w:rPr>
          <w:rFonts w:ascii="Times New Roman" w:hAnsi="Times New Roman" w:cs="Times New Roman"/>
          <w:sz w:val="24"/>
          <w:szCs w:val="24"/>
          <w:highlight w:val="white"/>
        </w:rPr>
        <w:t xml:space="preserve"> </w:t>
      </w:r>
      <w:r w:rsidR="00AE3D17" w:rsidRPr="00AE3D17">
        <w:rPr>
          <w:rFonts w:ascii="Times New Roman" w:hAnsi="Times New Roman" w:cs="Times New Roman"/>
          <w:sz w:val="24"/>
          <w:szCs w:val="24"/>
          <w:highlight w:val="white"/>
        </w:rPr>
        <w:t xml:space="preserve">&amp; Rescorla, </w:t>
      </w:r>
      <w:r w:rsidR="00AE3D17">
        <w:rPr>
          <w:rFonts w:ascii="Times New Roman" w:hAnsi="Times New Roman" w:cs="Times New Roman"/>
          <w:sz w:val="24"/>
          <w:szCs w:val="24"/>
        </w:rPr>
        <w:t>2001</w:t>
      </w:r>
      <w:r w:rsidR="00AE3D17" w:rsidRPr="00AE3D17">
        <w:rPr>
          <w:rFonts w:ascii="Times New Roman" w:hAnsi="Times New Roman" w:cs="Times New Roman"/>
          <w:sz w:val="24"/>
          <w:szCs w:val="24"/>
        </w:rPr>
        <w:t>)</w:t>
      </w:r>
      <w:r w:rsidRPr="00AE3D17">
        <w:rPr>
          <w:rFonts w:ascii="Times New Roman" w:hAnsi="Times New Roman" w:cs="Times New Roman"/>
          <w:sz w:val="24"/>
          <w:szCs w:val="24"/>
        </w:rPr>
        <w:t xml:space="preserve"> represent</w:t>
      </w:r>
      <w:r>
        <w:rPr>
          <w:rFonts w:ascii="Times New Roman" w:hAnsi="Times New Roman" w:cs="Times New Roman"/>
          <w:sz w:val="24"/>
          <w:szCs w:val="24"/>
        </w:rPr>
        <w:t xml:space="preserve"> symptom improvement in youth- and caregiver-reported problems over treatment (i.e., MLM</w:t>
      </w:r>
      <w:r w:rsidR="0093250E">
        <w:rPr>
          <w:rFonts w:ascii="Times New Roman" w:hAnsi="Times New Roman" w:cs="Times New Roman"/>
          <w:sz w:val="24"/>
          <w:szCs w:val="24"/>
        </w:rPr>
        <w:t>-</w:t>
      </w:r>
      <w:r>
        <w:rPr>
          <w:rFonts w:ascii="Times New Roman" w:hAnsi="Times New Roman" w:cs="Times New Roman"/>
          <w:sz w:val="24"/>
          <w:szCs w:val="24"/>
        </w:rPr>
        <w:t xml:space="preserve">predicted </w:t>
      </w:r>
      <w:r w:rsidR="002B385F">
        <w:rPr>
          <w:rFonts w:ascii="Times New Roman" w:hAnsi="Times New Roman" w:cs="Times New Roman"/>
          <w:sz w:val="24"/>
          <w:szCs w:val="24"/>
        </w:rPr>
        <w:t>pre</w:t>
      </w:r>
      <w:r>
        <w:rPr>
          <w:rFonts w:ascii="Times New Roman" w:hAnsi="Times New Roman" w:cs="Times New Roman"/>
          <w:sz w:val="24"/>
          <w:szCs w:val="24"/>
        </w:rPr>
        <w:t>-</w:t>
      </w:r>
      <w:r w:rsidR="002B385F">
        <w:rPr>
          <w:rFonts w:ascii="Times New Roman" w:hAnsi="Times New Roman" w:cs="Times New Roman"/>
          <w:sz w:val="24"/>
          <w:szCs w:val="24"/>
        </w:rPr>
        <w:t xml:space="preserve">post </w:t>
      </w:r>
      <w:r>
        <w:rPr>
          <w:rFonts w:ascii="Times New Roman" w:hAnsi="Times New Roman" w:cs="Times New Roman"/>
          <w:sz w:val="24"/>
          <w:szCs w:val="24"/>
        </w:rPr>
        <w:t>treatment change, with higher scores indicating more improvement).</w:t>
      </w:r>
    </w:p>
    <w:p w14:paraId="47B0824F" w14:textId="77777777" w:rsidR="003F3ED8" w:rsidRDefault="003F3ED8" w:rsidP="003F3ED8">
      <w:pPr>
        <w:pStyle w:val="Body"/>
        <w:rPr>
          <w:rFonts w:ascii="Times New Roman" w:hAnsi="Times New Roman"/>
          <w:sz w:val="24"/>
          <w:szCs w:val="24"/>
        </w:rPr>
      </w:pPr>
      <w:r>
        <w:rPr>
          <w:rFonts w:ascii="Times New Roman" w:hAnsi="Times New Roman"/>
          <w:sz w:val="24"/>
          <w:szCs w:val="24"/>
        </w:rPr>
        <w:t>*</w:t>
      </w:r>
      <w:r w:rsidRPr="00B9716D">
        <w:rPr>
          <w:rFonts w:ascii="Times New Roman" w:hAnsi="Times New Roman"/>
          <w:i/>
          <w:sz w:val="24"/>
          <w:szCs w:val="24"/>
        </w:rPr>
        <w:t>p</w:t>
      </w:r>
      <w:r>
        <w:rPr>
          <w:rFonts w:ascii="Times New Roman" w:hAnsi="Times New Roman"/>
          <w:sz w:val="24"/>
          <w:szCs w:val="24"/>
        </w:rPr>
        <w:t xml:space="preserve"> &lt; .05. **</w:t>
      </w:r>
      <w:r w:rsidRPr="003F66AF">
        <w:rPr>
          <w:rFonts w:ascii="Times New Roman" w:hAnsi="Times New Roman"/>
          <w:i/>
          <w:iCs/>
          <w:sz w:val="24"/>
          <w:szCs w:val="24"/>
        </w:rPr>
        <w:t>p</w:t>
      </w:r>
      <w:r>
        <w:rPr>
          <w:rFonts w:ascii="Times New Roman" w:hAnsi="Times New Roman"/>
          <w:sz w:val="24"/>
          <w:szCs w:val="24"/>
        </w:rPr>
        <w:t xml:space="preserve"> </w:t>
      </w:r>
      <w:r w:rsidRPr="00EC7854">
        <w:rPr>
          <w:rFonts w:ascii="Times New Roman" w:hAnsi="Times New Roman"/>
          <w:sz w:val="24"/>
          <w:szCs w:val="24"/>
        </w:rPr>
        <w:t>&lt;</w:t>
      </w:r>
      <w:r>
        <w:rPr>
          <w:rFonts w:ascii="Times New Roman" w:hAnsi="Times New Roman"/>
          <w:sz w:val="24"/>
          <w:szCs w:val="24"/>
        </w:rPr>
        <w:t xml:space="preserve"> .01.</w:t>
      </w:r>
    </w:p>
    <w:p w14:paraId="5983FE05" w14:textId="77777777" w:rsidR="003F3ED8" w:rsidRDefault="003F3ED8" w:rsidP="003F3ED8">
      <w:pPr>
        <w:pStyle w:val="Body"/>
        <w:rPr>
          <w:rFonts w:ascii="Times New Roman" w:hAnsi="Times New Roman"/>
          <w:sz w:val="24"/>
          <w:szCs w:val="24"/>
        </w:rPr>
      </w:pPr>
    </w:p>
    <w:p w14:paraId="37B4E02E" w14:textId="77777777" w:rsidR="003F3ED8" w:rsidRPr="003F3ED8" w:rsidRDefault="003F3ED8" w:rsidP="003F3ED8">
      <w:pPr>
        <w:pStyle w:val="Body"/>
        <w:jc w:val="center"/>
        <w:rPr>
          <w:rFonts w:ascii="Times New Roman" w:hAnsi="Times New Roman"/>
          <w:b/>
          <w:bCs/>
          <w:sz w:val="24"/>
          <w:szCs w:val="24"/>
        </w:rPr>
      </w:pPr>
      <w:r w:rsidRPr="003F3ED8">
        <w:rPr>
          <w:rFonts w:ascii="Times New Roman" w:hAnsi="Times New Roman"/>
          <w:b/>
          <w:bCs/>
          <w:sz w:val="24"/>
          <w:szCs w:val="24"/>
        </w:rPr>
        <w:t>References</w:t>
      </w:r>
    </w:p>
    <w:p w14:paraId="33FA62BA" w14:textId="77777777" w:rsidR="002B385F" w:rsidRDefault="002B385F" w:rsidP="002B385F">
      <w:pPr>
        <w:rPr>
          <w:highlight w:val="white"/>
        </w:rPr>
      </w:pPr>
      <w:r>
        <w:rPr>
          <w:highlight w:val="white"/>
        </w:rPr>
        <w:t xml:space="preserve">Achenbach, T., &amp; Rescorla, L. (2001). </w:t>
      </w:r>
      <w:r>
        <w:rPr>
          <w:i/>
          <w:highlight w:val="white"/>
        </w:rPr>
        <w:t>The manual for the ASEBA school-age forms &amp; profiles</w:t>
      </w:r>
      <w:r>
        <w:rPr>
          <w:highlight w:val="white"/>
        </w:rPr>
        <w:t xml:space="preserve">. </w:t>
      </w:r>
    </w:p>
    <w:p w14:paraId="28B49D11" w14:textId="4C4BD4F2" w:rsidR="002B385F" w:rsidRPr="002B385F" w:rsidRDefault="002B385F" w:rsidP="002B385F">
      <w:pPr>
        <w:ind w:left="720"/>
        <w:rPr>
          <w:highlight w:val="white"/>
        </w:rPr>
      </w:pPr>
      <w:r>
        <w:rPr>
          <w:highlight w:val="white"/>
        </w:rPr>
        <w:t>Burlington, VT: University of Vermont, Research Center for Children, Youth, &amp; Families.</w:t>
      </w:r>
    </w:p>
    <w:p w14:paraId="310920CD" w14:textId="3B0E252A" w:rsidR="003F3ED8" w:rsidRDefault="003F3ED8" w:rsidP="003F3ED8">
      <w:r>
        <w:t xml:space="preserve">Hawley, K. M., &amp; Weisz, J. R. (2005). Youth versus parent working alliance in usual clinical </w:t>
      </w:r>
    </w:p>
    <w:p w14:paraId="463C1504" w14:textId="77777777" w:rsidR="003F3ED8" w:rsidRDefault="003F3ED8" w:rsidP="003F3ED8">
      <w:pPr>
        <w:ind w:left="720"/>
      </w:pPr>
      <w:r>
        <w:t xml:space="preserve">care: Distinctive associations with retention, satisfaction, and treatment outcome. </w:t>
      </w:r>
      <w:r w:rsidRPr="009E3B72">
        <w:rPr>
          <w:i/>
          <w:iCs/>
        </w:rPr>
        <w:t xml:space="preserve">Journal of </w:t>
      </w:r>
      <w:r>
        <w:rPr>
          <w:i/>
        </w:rPr>
        <w:t>Clinical Child and Adolescent Psychology, 34</w:t>
      </w:r>
      <w:r>
        <w:t xml:space="preserve">(1), 117–128. </w:t>
      </w:r>
      <w:hyperlink r:id="rId20" w:history="1">
        <w:r>
          <w:rPr>
            <w:rStyle w:val="Hyperlink"/>
          </w:rPr>
          <w:t>https://doi.org/10.1207/s15374424jccp3401_11</w:t>
        </w:r>
      </w:hyperlink>
    </w:p>
    <w:p w14:paraId="09FF0B4E" w14:textId="77777777" w:rsidR="003F3ED8" w:rsidRDefault="003F3ED8" w:rsidP="003F3ED8">
      <w:r>
        <w:t xml:space="preserve">Shirk, S. R., &amp; </w:t>
      </w:r>
      <w:proofErr w:type="spellStart"/>
      <w:r>
        <w:t>Saiz</w:t>
      </w:r>
      <w:proofErr w:type="spellEnd"/>
      <w:r>
        <w:t xml:space="preserve">, C. C. (1992). Clinical, empirical, and developmental perspectives on the </w:t>
      </w:r>
    </w:p>
    <w:p w14:paraId="18616271" w14:textId="77777777" w:rsidR="003F3ED8" w:rsidRDefault="003F3ED8" w:rsidP="003F3ED8">
      <w:pPr>
        <w:ind w:left="720"/>
      </w:pPr>
      <w:r>
        <w:t xml:space="preserve">therapeutic relationship in child psychotherapy. </w:t>
      </w:r>
      <w:r>
        <w:rPr>
          <w:i/>
        </w:rPr>
        <w:t>Development and Psychopathology, 4</w:t>
      </w:r>
      <w:r>
        <w:t xml:space="preserve">(4), 713–728. </w:t>
      </w:r>
      <w:hyperlink r:id="rId21" w:history="1">
        <w:r>
          <w:rPr>
            <w:rStyle w:val="Hyperlink"/>
          </w:rPr>
          <w:t>https://doi.org/10.1017/S0954579400004946</w:t>
        </w:r>
      </w:hyperlink>
    </w:p>
    <w:p w14:paraId="6B0A37E1" w14:textId="77777777" w:rsidR="003F3ED8" w:rsidRDefault="003F3ED8" w:rsidP="009E408D">
      <w:pPr>
        <w:rPr>
          <w:b/>
          <w:bCs/>
        </w:rPr>
      </w:pPr>
    </w:p>
    <w:p w14:paraId="020EA0BD" w14:textId="77777777" w:rsidR="00AE6628" w:rsidRDefault="00AE6628" w:rsidP="00AE6628">
      <w:pPr>
        <w:pStyle w:val="Body"/>
        <w:spacing w:line="480" w:lineRule="auto"/>
        <w:rPr>
          <w:rFonts w:ascii="Times New Roman" w:hAnsi="Times New Roman"/>
          <w:b/>
          <w:bCs/>
          <w:sz w:val="24"/>
          <w:szCs w:val="24"/>
        </w:rPr>
      </w:pPr>
    </w:p>
    <w:p w14:paraId="063918A7" w14:textId="77777777" w:rsidR="00AE6628" w:rsidRDefault="00AE6628" w:rsidP="00AE6628">
      <w:pPr>
        <w:pStyle w:val="Body"/>
        <w:spacing w:line="480" w:lineRule="auto"/>
        <w:rPr>
          <w:rFonts w:ascii="Times New Roman" w:hAnsi="Times New Roman"/>
          <w:b/>
          <w:bCs/>
          <w:sz w:val="24"/>
          <w:szCs w:val="24"/>
        </w:rPr>
      </w:pPr>
    </w:p>
    <w:p w14:paraId="577375AB" w14:textId="77777777" w:rsidR="00AE6628" w:rsidRDefault="00AE6628" w:rsidP="00AE6628">
      <w:pPr>
        <w:pStyle w:val="Body"/>
        <w:spacing w:line="480" w:lineRule="auto"/>
        <w:rPr>
          <w:rFonts w:ascii="Times New Roman" w:hAnsi="Times New Roman"/>
          <w:b/>
          <w:bCs/>
          <w:sz w:val="24"/>
          <w:szCs w:val="24"/>
        </w:rPr>
      </w:pPr>
    </w:p>
    <w:p w14:paraId="0375F808" w14:textId="77777777" w:rsidR="00AE6628" w:rsidRDefault="00AE6628" w:rsidP="00AE6628">
      <w:pPr>
        <w:pStyle w:val="Body"/>
        <w:spacing w:line="480" w:lineRule="auto"/>
        <w:rPr>
          <w:rFonts w:ascii="Times New Roman" w:hAnsi="Times New Roman"/>
          <w:b/>
          <w:bCs/>
          <w:sz w:val="24"/>
          <w:szCs w:val="24"/>
        </w:rPr>
      </w:pPr>
    </w:p>
    <w:p w14:paraId="5FB90A12" w14:textId="77777777" w:rsidR="00AE6628" w:rsidRDefault="00AE6628" w:rsidP="00AE6628">
      <w:pPr>
        <w:pStyle w:val="Body"/>
        <w:spacing w:line="480" w:lineRule="auto"/>
        <w:rPr>
          <w:rFonts w:ascii="Times New Roman" w:hAnsi="Times New Roman"/>
          <w:b/>
          <w:bCs/>
          <w:sz w:val="24"/>
          <w:szCs w:val="24"/>
        </w:rPr>
      </w:pPr>
    </w:p>
    <w:p w14:paraId="58C43319" w14:textId="77777777" w:rsidR="00AE6628" w:rsidRDefault="00AE6628" w:rsidP="00AE6628">
      <w:pPr>
        <w:pStyle w:val="Body"/>
        <w:spacing w:line="480" w:lineRule="auto"/>
        <w:rPr>
          <w:rFonts w:ascii="Times New Roman" w:hAnsi="Times New Roman"/>
          <w:b/>
          <w:bCs/>
          <w:sz w:val="24"/>
          <w:szCs w:val="24"/>
        </w:rPr>
      </w:pPr>
    </w:p>
    <w:p w14:paraId="79E928C2" w14:textId="77777777" w:rsidR="00AE6628" w:rsidRDefault="00AE6628" w:rsidP="00AE6628">
      <w:pPr>
        <w:pStyle w:val="Body"/>
        <w:spacing w:line="480" w:lineRule="auto"/>
        <w:rPr>
          <w:rFonts w:ascii="Times New Roman" w:hAnsi="Times New Roman"/>
          <w:b/>
          <w:bCs/>
          <w:sz w:val="24"/>
          <w:szCs w:val="24"/>
        </w:rPr>
      </w:pPr>
    </w:p>
    <w:p w14:paraId="00CDA326" w14:textId="77777777" w:rsidR="00AE6628" w:rsidRDefault="00AE6628" w:rsidP="00AE6628">
      <w:pPr>
        <w:pStyle w:val="Body"/>
        <w:spacing w:line="480" w:lineRule="auto"/>
        <w:rPr>
          <w:rFonts w:ascii="Times New Roman" w:hAnsi="Times New Roman"/>
          <w:b/>
          <w:bCs/>
          <w:sz w:val="24"/>
          <w:szCs w:val="24"/>
        </w:rPr>
      </w:pPr>
    </w:p>
    <w:p w14:paraId="6BF8A844" w14:textId="77777777" w:rsidR="00AE6628" w:rsidRDefault="00AE6628" w:rsidP="00AE6628">
      <w:pPr>
        <w:pStyle w:val="Body"/>
        <w:spacing w:line="480" w:lineRule="auto"/>
        <w:rPr>
          <w:rFonts w:ascii="Times New Roman" w:hAnsi="Times New Roman"/>
          <w:b/>
          <w:bCs/>
          <w:sz w:val="24"/>
          <w:szCs w:val="24"/>
        </w:rPr>
      </w:pPr>
    </w:p>
    <w:p w14:paraId="5A743BB3" w14:textId="77777777" w:rsidR="00AE3D17" w:rsidRDefault="00AE3D17" w:rsidP="0056129A">
      <w:pPr>
        <w:pStyle w:val="Body"/>
        <w:rPr>
          <w:rFonts w:ascii="Times New Roman" w:hAnsi="Times New Roman"/>
          <w:b/>
          <w:bCs/>
          <w:sz w:val="24"/>
          <w:szCs w:val="24"/>
        </w:rPr>
      </w:pPr>
    </w:p>
    <w:p w14:paraId="6CE55588" w14:textId="2DB8F3FE" w:rsidR="00AE6628" w:rsidRPr="0056129A" w:rsidRDefault="00DE63FD" w:rsidP="0056129A">
      <w:pPr>
        <w:pStyle w:val="Body"/>
        <w:rPr>
          <w:rFonts w:ascii="Times New Roman" w:hAnsi="Times New Roman"/>
          <w:b/>
          <w:bCs/>
          <w:sz w:val="24"/>
          <w:szCs w:val="24"/>
        </w:rPr>
      </w:pPr>
      <w:r>
        <w:rPr>
          <w:rFonts w:ascii="Times New Roman" w:hAnsi="Times New Roman"/>
          <w:b/>
          <w:bCs/>
          <w:sz w:val="24"/>
          <w:szCs w:val="24"/>
        </w:rPr>
        <w:lastRenderedPageBreak/>
        <w:t xml:space="preserve">Supplementary </w:t>
      </w:r>
      <w:r w:rsidR="00AE6628" w:rsidRPr="003F66AF">
        <w:rPr>
          <w:rFonts w:ascii="Times New Roman" w:hAnsi="Times New Roman"/>
          <w:b/>
          <w:bCs/>
          <w:sz w:val="24"/>
          <w:szCs w:val="24"/>
        </w:rPr>
        <w:t xml:space="preserve">Table </w:t>
      </w:r>
      <w:r w:rsidR="00AE6628">
        <w:rPr>
          <w:rFonts w:ascii="Times New Roman" w:hAnsi="Times New Roman"/>
          <w:b/>
          <w:bCs/>
          <w:sz w:val="24"/>
          <w:szCs w:val="24"/>
        </w:rPr>
        <w:t>S4</w:t>
      </w:r>
      <w:r w:rsidR="0056129A">
        <w:rPr>
          <w:rFonts w:ascii="Times New Roman" w:hAnsi="Times New Roman"/>
          <w:b/>
          <w:bCs/>
          <w:sz w:val="24"/>
          <w:szCs w:val="24"/>
        </w:rPr>
        <w:t xml:space="preserve">. </w:t>
      </w:r>
      <w:r w:rsidR="007737E6">
        <w:rPr>
          <w:rFonts w:ascii="Times New Roman" w:hAnsi="Times New Roman"/>
          <w:b/>
          <w:bCs/>
          <w:sz w:val="24"/>
          <w:szCs w:val="24"/>
        </w:rPr>
        <w:t xml:space="preserve">Treatment </w:t>
      </w:r>
      <w:r w:rsidR="00AE6628" w:rsidRPr="0056129A">
        <w:rPr>
          <w:rFonts w:ascii="Times New Roman" w:hAnsi="Times New Roman"/>
          <w:b/>
          <w:bCs/>
          <w:sz w:val="24"/>
          <w:szCs w:val="24"/>
        </w:rPr>
        <w:t>Satisfaction by GM Classification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40"/>
        <w:gridCol w:w="2520"/>
        <w:gridCol w:w="1350"/>
        <w:gridCol w:w="450"/>
        <w:gridCol w:w="990"/>
        <w:gridCol w:w="810"/>
      </w:tblGrid>
      <w:tr w:rsidR="00AE6628" w14:paraId="313952B0" w14:textId="77777777" w:rsidTr="005113C3">
        <w:trPr>
          <w:trHeight w:hRule="exact" w:val="288"/>
        </w:trPr>
        <w:tc>
          <w:tcPr>
            <w:tcW w:w="9360" w:type="dxa"/>
            <w:gridSpan w:val="6"/>
            <w:tcBorders>
              <w:top w:val="single" w:sz="4" w:space="0" w:color="auto"/>
            </w:tcBorders>
          </w:tcPr>
          <w:p w14:paraId="350F2BAE" w14:textId="11D82B69" w:rsidR="00AE6628" w:rsidRPr="00616477"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ANCOVAs</w:t>
            </w:r>
            <w:r w:rsidR="00C7166E">
              <w:rPr>
                <w:rFonts w:ascii="Times New Roman" w:hAnsi="Times New Roman"/>
                <w:sz w:val="24"/>
                <w:szCs w:val="24"/>
              </w:rPr>
              <w:t xml:space="preserve"> of </w:t>
            </w:r>
            <w:r w:rsidR="0093250E">
              <w:rPr>
                <w:rFonts w:ascii="Times New Roman" w:hAnsi="Times New Roman"/>
                <w:sz w:val="24"/>
                <w:szCs w:val="24"/>
              </w:rPr>
              <w:t>Youth Satisfaction</w:t>
            </w:r>
            <w:r>
              <w:rPr>
                <w:rFonts w:ascii="Times New Roman" w:hAnsi="Times New Roman"/>
                <w:sz w:val="24"/>
                <w:szCs w:val="24"/>
              </w:rPr>
              <w:t xml:space="preserve"> Controlling for Posttreatment Symptom Severity </w:t>
            </w:r>
          </w:p>
          <w:p w14:paraId="220B93FF"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i/>
                <w:sz w:val="24"/>
                <w:szCs w:val="24"/>
              </w:rPr>
              <w:t xml:space="preserve"> </w:t>
            </w:r>
          </w:p>
        </w:tc>
      </w:tr>
      <w:tr w:rsidR="00AE6628" w14:paraId="52A6898A" w14:textId="77777777" w:rsidTr="005113C3">
        <w:trPr>
          <w:trHeight w:hRule="exact" w:val="288"/>
        </w:trPr>
        <w:tc>
          <w:tcPr>
            <w:tcW w:w="3240" w:type="dxa"/>
            <w:tcBorders>
              <w:bottom w:val="single" w:sz="4" w:space="0" w:color="auto"/>
            </w:tcBorders>
          </w:tcPr>
          <w:p w14:paraId="7F25F47D"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Variable</w:t>
            </w:r>
          </w:p>
        </w:tc>
        <w:tc>
          <w:tcPr>
            <w:tcW w:w="2520" w:type="dxa"/>
            <w:tcBorders>
              <w:bottom w:val="single" w:sz="4" w:space="0" w:color="auto"/>
            </w:tcBorders>
          </w:tcPr>
          <w:p w14:paraId="6E215558" w14:textId="2AE19CE1"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Type III Sum of Squares</w:t>
            </w:r>
          </w:p>
        </w:tc>
        <w:tc>
          <w:tcPr>
            <w:tcW w:w="1800" w:type="dxa"/>
            <w:gridSpan w:val="2"/>
            <w:tcBorders>
              <w:bottom w:val="single" w:sz="4" w:space="0" w:color="auto"/>
            </w:tcBorders>
          </w:tcPr>
          <w:p w14:paraId="0FD40D94" w14:textId="72B6D24F"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gramStart"/>
            <w:r w:rsidRPr="003F66AF">
              <w:rPr>
                <w:rFonts w:ascii="Times New Roman" w:hAnsi="Times New Roman"/>
                <w:i/>
                <w:iCs/>
                <w:sz w:val="24"/>
                <w:szCs w:val="24"/>
              </w:rPr>
              <w:t>F</w:t>
            </w:r>
            <w:r>
              <w:rPr>
                <w:rFonts w:ascii="Times New Roman" w:hAnsi="Times New Roman"/>
                <w:sz w:val="24"/>
                <w:szCs w:val="24"/>
              </w:rPr>
              <w:t>(</w:t>
            </w:r>
            <w:proofErr w:type="gramEnd"/>
            <w:r>
              <w:rPr>
                <w:rFonts w:ascii="Times New Roman" w:hAnsi="Times New Roman"/>
                <w:sz w:val="24"/>
                <w:szCs w:val="24"/>
              </w:rPr>
              <w:t>1,204)</w:t>
            </w:r>
          </w:p>
        </w:tc>
        <w:tc>
          <w:tcPr>
            <w:tcW w:w="1800" w:type="dxa"/>
            <w:gridSpan w:val="2"/>
            <w:tcBorders>
              <w:bottom w:val="single" w:sz="4" w:space="0" w:color="auto"/>
            </w:tcBorders>
          </w:tcPr>
          <w:p w14:paraId="55199CF0" w14:textId="6437148C"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sz w:val="24"/>
                <w:szCs w:val="24"/>
              </w:rPr>
            </w:pPr>
            <w:r w:rsidRPr="005C0DD5">
              <w:rPr>
                <w:rFonts w:ascii="Times New Roman" w:hAnsi="Times New Roman" w:cs="Times New Roman"/>
                <w:bCs/>
                <w:sz w:val="24"/>
                <w:szCs w:val="24"/>
              </w:rPr>
              <w:t>η</w:t>
            </w:r>
            <w:r w:rsidRPr="007F33CC">
              <w:rPr>
                <w:rFonts w:ascii="Times New Roman" w:hAnsi="Times New Roman" w:cs="Times New Roman"/>
                <w:bCs/>
                <w:sz w:val="24"/>
                <w:szCs w:val="24"/>
                <w:vertAlign w:val="superscript"/>
              </w:rPr>
              <w:t>2</w:t>
            </w:r>
          </w:p>
        </w:tc>
      </w:tr>
      <w:tr w:rsidR="00AE6628" w14:paraId="58E9FBD6" w14:textId="77777777" w:rsidTr="005113C3">
        <w:trPr>
          <w:trHeight w:hRule="exact" w:val="288"/>
        </w:trPr>
        <w:tc>
          <w:tcPr>
            <w:tcW w:w="3240" w:type="dxa"/>
            <w:tcBorders>
              <w:top w:val="single" w:sz="4" w:space="0" w:color="auto"/>
            </w:tcBorders>
          </w:tcPr>
          <w:p w14:paraId="59F7519E"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1. Covariate (</w:t>
            </w:r>
            <w:proofErr w:type="spellStart"/>
            <w:r>
              <w:rPr>
                <w:rFonts w:ascii="Times New Roman" w:hAnsi="Times New Roman"/>
                <w:bCs/>
                <w:sz w:val="24"/>
                <w:szCs w:val="24"/>
              </w:rPr>
              <w:t>YSR</w:t>
            </w:r>
            <w:r w:rsidRPr="007F33CC">
              <w:rPr>
                <w:rFonts w:ascii="Times New Roman" w:hAnsi="Times New Roman"/>
                <w:bCs/>
                <w:sz w:val="24"/>
                <w:szCs w:val="24"/>
                <w:vertAlign w:val="subscript"/>
              </w:rPr>
              <w:t>int</w:t>
            </w:r>
            <w:proofErr w:type="spellEnd"/>
            <w:r>
              <w:rPr>
                <w:rFonts w:ascii="Times New Roman" w:hAnsi="Times New Roman"/>
                <w:bCs/>
                <w:sz w:val="24"/>
                <w:szCs w:val="24"/>
              </w:rPr>
              <w:t>)</w:t>
            </w:r>
          </w:p>
        </w:tc>
        <w:tc>
          <w:tcPr>
            <w:tcW w:w="2520" w:type="dxa"/>
            <w:tcBorders>
              <w:top w:val="single" w:sz="4" w:space="0" w:color="auto"/>
            </w:tcBorders>
          </w:tcPr>
          <w:p w14:paraId="0002F61D" w14:textId="01E65F55"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70193">
              <w:rPr>
                <w:rFonts w:ascii="Times New Roman" w:hAnsi="Times New Roman" w:cs="Times New Roman"/>
                <w:bCs/>
                <w:sz w:val="24"/>
                <w:szCs w:val="24"/>
              </w:rPr>
              <w:t>.0</w:t>
            </w:r>
            <w:r>
              <w:rPr>
                <w:rFonts w:ascii="Times New Roman" w:hAnsi="Times New Roman" w:cs="Times New Roman"/>
                <w:bCs/>
                <w:sz w:val="24"/>
                <w:szCs w:val="24"/>
              </w:rPr>
              <w:t>6</w:t>
            </w:r>
          </w:p>
        </w:tc>
        <w:tc>
          <w:tcPr>
            <w:tcW w:w="1800" w:type="dxa"/>
            <w:gridSpan w:val="2"/>
            <w:tcBorders>
              <w:top w:val="single" w:sz="4" w:space="0" w:color="auto"/>
            </w:tcBorders>
          </w:tcPr>
          <w:p w14:paraId="0CA8769A" w14:textId="783C63A8"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&lt;</w:t>
            </w:r>
            <w:r w:rsidRPr="00870193">
              <w:rPr>
                <w:rFonts w:ascii="Times New Roman" w:hAnsi="Times New Roman" w:cs="Times New Roman"/>
                <w:bCs/>
                <w:sz w:val="24"/>
                <w:szCs w:val="24"/>
              </w:rPr>
              <w:t>.0</w:t>
            </w:r>
            <w:r>
              <w:rPr>
                <w:rFonts w:ascii="Times New Roman" w:hAnsi="Times New Roman" w:cs="Times New Roman"/>
                <w:bCs/>
                <w:sz w:val="24"/>
                <w:szCs w:val="24"/>
              </w:rPr>
              <w:t>1</w:t>
            </w:r>
          </w:p>
        </w:tc>
        <w:tc>
          <w:tcPr>
            <w:tcW w:w="1800" w:type="dxa"/>
            <w:gridSpan w:val="2"/>
            <w:tcBorders>
              <w:top w:val="single" w:sz="4" w:space="0" w:color="auto"/>
            </w:tcBorders>
          </w:tcPr>
          <w:p w14:paraId="35DAB10A" w14:textId="3FC8092F" w:rsidR="00AE6628" w:rsidRPr="00222784"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&lt;.</w:t>
            </w:r>
            <w:r w:rsidRPr="005C0DD5">
              <w:rPr>
                <w:rFonts w:ascii="Times New Roman" w:hAnsi="Times New Roman" w:cs="Times New Roman"/>
                <w:bCs/>
                <w:sz w:val="24"/>
                <w:szCs w:val="24"/>
              </w:rPr>
              <w:t>0</w:t>
            </w:r>
            <w:r>
              <w:rPr>
                <w:rFonts w:ascii="Times New Roman" w:hAnsi="Times New Roman" w:cs="Times New Roman"/>
                <w:bCs/>
                <w:sz w:val="24"/>
                <w:szCs w:val="24"/>
              </w:rPr>
              <w:t>01</w:t>
            </w:r>
          </w:p>
          <w:p w14:paraId="21C68BB2"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 xml:space="preserve"> </w:t>
            </w:r>
            <w:r w:rsidRPr="007F33CC">
              <w:rPr>
                <w:rFonts w:ascii="Times New Roman" w:hAnsi="Times New Roman" w:cs="Times New Roman"/>
                <w:bCs/>
                <w:sz w:val="24"/>
                <w:szCs w:val="24"/>
              </w:rPr>
              <w:t>.000</w:t>
            </w:r>
          </w:p>
        </w:tc>
      </w:tr>
      <w:tr w:rsidR="00AE6628" w14:paraId="0FFCF7D0" w14:textId="77777777" w:rsidTr="005113C3">
        <w:trPr>
          <w:trHeight w:hRule="exact" w:val="288"/>
        </w:trPr>
        <w:tc>
          <w:tcPr>
            <w:tcW w:w="3240" w:type="dxa"/>
          </w:tcPr>
          <w:p w14:paraId="236F2838" w14:textId="5D13A24E"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520" w:type="dxa"/>
          </w:tcPr>
          <w:p w14:paraId="7A66C043" w14:textId="715AFD54"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70193">
              <w:rPr>
                <w:rFonts w:ascii="Times New Roman" w:hAnsi="Times New Roman" w:cs="Times New Roman"/>
                <w:bCs/>
                <w:sz w:val="24"/>
                <w:szCs w:val="24"/>
              </w:rPr>
              <w:t>131.</w:t>
            </w:r>
            <w:r w:rsidR="00C7166E">
              <w:rPr>
                <w:rFonts w:ascii="Times New Roman" w:hAnsi="Times New Roman" w:cs="Times New Roman"/>
                <w:bCs/>
                <w:sz w:val="24"/>
                <w:szCs w:val="24"/>
              </w:rPr>
              <w:t>2</w:t>
            </w:r>
          </w:p>
        </w:tc>
        <w:tc>
          <w:tcPr>
            <w:tcW w:w="1800" w:type="dxa"/>
            <w:gridSpan w:val="2"/>
          </w:tcPr>
          <w:p w14:paraId="52EAB4F6" w14:textId="42C84995" w:rsidR="00AE6628" w:rsidRP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AE6628">
              <w:rPr>
                <w:rFonts w:ascii="Times New Roman" w:hAnsi="Times New Roman" w:cs="Times New Roman"/>
                <w:b/>
                <w:sz w:val="24"/>
                <w:szCs w:val="24"/>
              </w:rPr>
              <w:t>4.84*</w:t>
            </w:r>
          </w:p>
        </w:tc>
        <w:tc>
          <w:tcPr>
            <w:tcW w:w="1800" w:type="dxa"/>
            <w:gridSpan w:val="2"/>
          </w:tcPr>
          <w:p w14:paraId="112D2D7E" w14:textId="1BCA20F1" w:rsidR="00AE6628" w:rsidRPr="000F1BEA"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sidRPr="000F1BEA">
              <w:rPr>
                <w:rFonts w:ascii="Times New Roman" w:hAnsi="Times New Roman" w:cs="Times New Roman"/>
                <w:b/>
                <w:sz w:val="24"/>
                <w:szCs w:val="24"/>
              </w:rPr>
              <w:t>.023</w:t>
            </w:r>
          </w:p>
          <w:p w14:paraId="0D36F260" w14:textId="77777777"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 xml:space="preserve">  </w:t>
            </w:r>
          </w:p>
        </w:tc>
      </w:tr>
      <w:tr w:rsidR="00AE6628" w14:paraId="66A1EFA1" w14:textId="77777777" w:rsidTr="005113C3">
        <w:trPr>
          <w:trHeight w:hRule="exact" w:val="288"/>
        </w:trPr>
        <w:tc>
          <w:tcPr>
            <w:tcW w:w="3240" w:type="dxa"/>
          </w:tcPr>
          <w:p w14:paraId="76BB9D1B"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7F33CC">
              <w:rPr>
                <w:rFonts w:ascii="Times New Roman" w:hAnsi="Times New Roman"/>
                <w:bCs/>
                <w:sz w:val="24"/>
                <w:szCs w:val="24"/>
              </w:rPr>
              <w:t xml:space="preserve">2. </w:t>
            </w:r>
            <w:r>
              <w:rPr>
                <w:rFonts w:ascii="Times New Roman" w:hAnsi="Times New Roman"/>
                <w:bCs/>
                <w:sz w:val="24"/>
                <w:szCs w:val="24"/>
              </w:rPr>
              <w:t>Covariate (</w:t>
            </w:r>
            <w:proofErr w:type="spellStart"/>
            <w:r>
              <w:rPr>
                <w:rFonts w:ascii="Times New Roman" w:hAnsi="Times New Roman"/>
                <w:bCs/>
                <w:sz w:val="24"/>
                <w:szCs w:val="24"/>
              </w:rPr>
              <w:t>YSR</w:t>
            </w:r>
            <w:r w:rsidRPr="007F33CC">
              <w:rPr>
                <w:rFonts w:ascii="Times New Roman" w:hAnsi="Times New Roman"/>
                <w:bCs/>
                <w:sz w:val="24"/>
                <w:szCs w:val="24"/>
                <w:vertAlign w:val="subscript"/>
              </w:rPr>
              <w:t>ex</w:t>
            </w:r>
            <w:r w:rsidRPr="00B42D8B">
              <w:rPr>
                <w:rFonts w:ascii="Times New Roman" w:hAnsi="Times New Roman"/>
                <w:bCs/>
                <w:sz w:val="24"/>
                <w:szCs w:val="24"/>
                <w:vertAlign w:val="subscript"/>
              </w:rPr>
              <w:t>t</w:t>
            </w:r>
            <w:proofErr w:type="spellEnd"/>
            <w:r>
              <w:rPr>
                <w:rFonts w:ascii="Times New Roman" w:hAnsi="Times New Roman"/>
                <w:bCs/>
                <w:sz w:val="24"/>
                <w:szCs w:val="24"/>
              </w:rPr>
              <w:t>)</w:t>
            </w:r>
          </w:p>
        </w:tc>
        <w:tc>
          <w:tcPr>
            <w:tcW w:w="2520" w:type="dxa"/>
          </w:tcPr>
          <w:p w14:paraId="16871E01" w14:textId="2EB835C3"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7F33CC">
              <w:rPr>
                <w:rFonts w:ascii="Times New Roman" w:hAnsi="Times New Roman" w:cs="Times New Roman"/>
                <w:bCs/>
                <w:sz w:val="24"/>
                <w:szCs w:val="24"/>
              </w:rPr>
              <w:t>20.</w:t>
            </w:r>
            <w:r w:rsidR="00C7166E">
              <w:rPr>
                <w:rFonts w:ascii="Times New Roman" w:hAnsi="Times New Roman" w:cs="Times New Roman"/>
                <w:bCs/>
                <w:sz w:val="24"/>
                <w:szCs w:val="24"/>
              </w:rPr>
              <w:t>1</w:t>
            </w:r>
          </w:p>
        </w:tc>
        <w:tc>
          <w:tcPr>
            <w:tcW w:w="1800" w:type="dxa"/>
            <w:gridSpan w:val="2"/>
          </w:tcPr>
          <w:p w14:paraId="5896D651" w14:textId="582716C6"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.72</w:t>
            </w:r>
          </w:p>
        </w:tc>
        <w:tc>
          <w:tcPr>
            <w:tcW w:w="1800" w:type="dxa"/>
            <w:gridSpan w:val="2"/>
          </w:tcPr>
          <w:p w14:paraId="2DA8C5FB" w14:textId="7815324D" w:rsidR="00AE6628" w:rsidRPr="00222784"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&lt;.01</w:t>
            </w:r>
          </w:p>
          <w:p w14:paraId="3EBFFEE2" w14:textId="77777777"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 xml:space="preserve"> </w:t>
            </w:r>
          </w:p>
        </w:tc>
      </w:tr>
      <w:tr w:rsidR="00AE6628" w14:paraId="7ADFF1C4" w14:textId="77777777" w:rsidTr="005113C3">
        <w:trPr>
          <w:trHeight w:hRule="exact" w:val="288"/>
        </w:trPr>
        <w:tc>
          <w:tcPr>
            <w:tcW w:w="3240" w:type="dxa"/>
          </w:tcPr>
          <w:p w14:paraId="6D72D0EC" w14:textId="5546757B"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520" w:type="dxa"/>
          </w:tcPr>
          <w:p w14:paraId="68C5DAFA" w14:textId="6BF35600"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163.8</w:t>
            </w:r>
          </w:p>
        </w:tc>
        <w:tc>
          <w:tcPr>
            <w:tcW w:w="1800" w:type="dxa"/>
            <w:gridSpan w:val="2"/>
          </w:tcPr>
          <w:p w14:paraId="096EA2BB" w14:textId="485F6AAC" w:rsidR="00AE6628" w:rsidRP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AE6628">
              <w:rPr>
                <w:rFonts w:ascii="Times New Roman" w:hAnsi="Times New Roman" w:cs="Times New Roman"/>
                <w:b/>
                <w:sz w:val="24"/>
                <w:szCs w:val="24"/>
              </w:rPr>
              <w:t>5.89*</w:t>
            </w:r>
          </w:p>
        </w:tc>
        <w:tc>
          <w:tcPr>
            <w:tcW w:w="1800" w:type="dxa"/>
            <w:gridSpan w:val="2"/>
          </w:tcPr>
          <w:p w14:paraId="7465A7B6" w14:textId="49C0E252" w:rsidR="00AE6628" w:rsidRPr="000F1BEA"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0F1BEA">
              <w:rPr>
                <w:rFonts w:ascii="Times New Roman" w:hAnsi="Times New Roman" w:cs="Times New Roman"/>
                <w:b/>
                <w:sz w:val="24"/>
                <w:szCs w:val="24"/>
              </w:rPr>
              <w:t>.028</w:t>
            </w:r>
          </w:p>
        </w:tc>
      </w:tr>
      <w:tr w:rsidR="00AE6628" w14:paraId="163BB8D3" w14:textId="77777777" w:rsidTr="005113C3">
        <w:trPr>
          <w:trHeight w:hRule="exact" w:val="279"/>
        </w:trPr>
        <w:tc>
          <w:tcPr>
            <w:tcW w:w="3240" w:type="dxa"/>
          </w:tcPr>
          <w:p w14:paraId="7C4AE7C2"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3</w:t>
            </w:r>
            <w:r w:rsidRPr="007F33CC">
              <w:rPr>
                <w:rFonts w:ascii="Times New Roman" w:hAnsi="Times New Roman"/>
                <w:bCs/>
                <w:sz w:val="24"/>
                <w:szCs w:val="24"/>
              </w:rPr>
              <w:t xml:space="preserve">. </w:t>
            </w:r>
            <w:r>
              <w:rPr>
                <w:rFonts w:ascii="Times New Roman" w:hAnsi="Times New Roman"/>
                <w:bCs/>
                <w:sz w:val="24"/>
                <w:szCs w:val="24"/>
              </w:rPr>
              <w:t>Covariate (</w:t>
            </w:r>
            <w:proofErr w:type="spellStart"/>
            <w:r>
              <w:rPr>
                <w:rFonts w:ascii="Times New Roman" w:hAnsi="Times New Roman"/>
                <w:bCs/>
                <w:sz w:val="24"/>
                <w:szCs w:val="24"/>
              </w:rPr>
              <w:t>CBCL</w:t>
            </w:r>
            <w:r w:rsidRPr="00B42D8B">
              <w:rPr>
                <w:rFonts w:ascii="Times New Roman" w:hAnsi="Times New Roman"/>
                <w:bCs/>
                <w:sz w:val="24"/>
                <w:szCs w:val="24"/>
                <w:vertAlign w:val="subscript"/>
              </w:rPr>
              <w:t>int</w:t>
            </w:r>
            <w:proofErr w:type="spellEnd"/>
            <w:r>
              <w:rPr>
                <w:rFonts w:ascii="Times New Roman" w:hAnsi="Times New Roman"/>
                <w:bCs/>
                <w:sz w:val="24"/>
                <w:szCs w:val="24"/>
              </w:rPr>
              <w:t>)</w:t>
            </w:r>
          </w:p>
        </w:tc>
        <w:tc>
          <w:tcPr>
            <w:tcW w:w="2520" w:type="dxa"/>
          </w:tcPr>
          <w:p w14:paraId="60A9EB8B" w14:textId="713727DF"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20.</w:t>
            </w:r>
            <w:r w:rsidR="00C7166E">
              <w:rPr>
                <w:rFonts w:ascii="Times New Roman" w:hAnsi="Times New Roman" w:cs="Times New Roman"/>
                <w:bCs/>
                <w:sz w:val="24"/>
                <w:szCs w:val="24"/>
              </w:rPr>
              <w:t>7</w:t>
            </w:r>
          </w:p>
        </w:tc>
        <w:tc>
          <w:tcPr>
            <w:tcW w:w="1800" w:type="dxa"/>
            <w:gridSpan w:val="2"/>
          </w:tcPr>
          <w:p w14:paraId="71BE2D40" w14:textId="10A2BE15"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.74</w:t>
            </w:r>
          </w:p>
        </w:tc>
        <w:tc>
          <w:tcPr>
            <w:tcW w:w="1800" w:type="dxa"/>
            <w:gridSpan w:val="2"/>
          </w:tcPr>
          <w:p w14:paraId="27DAF6D3" w14:textId="6037B932"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&lt;.01</w:t>
            </w:r>
          </w:p>
        </w:tc>
      </w:tr>
      <w:tr w:rsidR="00AE6628" w14:paraId="2DBA90B4" w14:textId="77777777" w:rsidTr="005113C3">
        <w:trPr>
          <w:trHeight w:hRule="exact" w:val="288"/>
        </w:trPr>
        <w:tc>
          <w:tcPr>
            <w:tcW w:w="3240" w:type="dxa"/>
          </w:tcPr>
          <w:p w14:paraId="0C2E24A9" w14:textId="0B15E626"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520" w:type="dxa"/>
          </w:tcPr>
          <w:p w14:paraId="61412F19" w14:textId="6C01892D"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140.</w:t>
            </w:r>
            <w:r w:rsidR="00C7166E">
              <w:rPr>
                <w:rFonts w:ascii="Times New Roman" w:hAnsi="Times New Roman" w:cs="Times New Roman"/>
                <w:bCs/>
                <w:sz w:val="24"/>
                <w:szCs w:val="24"/>
              </w:rPr>
              <w:t>7</w:t>
            </w:r>
          </w:p>
        </w:tc>
        <w:tc>
          <w:tcPr>
            <w:tcW w:w="1800" w:type="dxa"/>
            <w:gridSpan w:val="2"/>
          </w:tcPr>
          <w:p w14:paraId="1CB8CBC5" w14:textId="43B3CDDC" w:rsidR="00AE6628" w:rsidRP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AE6628">
              <w:rPr>
                <w:rFonts w:ascii="Times New Roman" w:hAnsi="Times New Roman" w:cs="Times New Roman"/>
                <w:b/>
                <w:sz w:val="24"/>
                <w:szCs w:val="24"/>
              </w:rPr>
              <w:t>5.06*</w:t>
            </w:r>
          </w:p>
        </w:tc>
        <w:tc>
          <w:tcPr>
            <w:tcW w:w="1800" w:type="dxa"/>
            <w:gridSpan w:val="2"/>
          </w:tcPr>
          <w:p w14:paraId="786DF771" w14:textId="32747224" w:rsidR="00AE6628" w:rsidRPr="000F1BEA"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0F1BEA">
              <w:rPr>
                <w:rFonts w:ascii="Times New Roman" w:hAnsi="Times New Roman" w:cs="Times New Roman"/>
                <w:b/>
                <w:sz w:val="24"/>
                <w:szCs w:val="24"/>
              </w:rPr>
              <w:t>.024</w:t>
            </w:r>
          </w:p>
        </w:tc>
      </w:tr>
      <w:tr w:rsidR="00AE6628" w14:paraId="1E6EBEB2" w14:textId="77777777" w:rsidTr="005113C3">
        <w:trPr>
          <w:trHeight w:hRule="exact" w:val="279"/>
        </w:trPr>
        <w:tc>
          <w:tcPr>
            <w:tcW w:w="3240" w:type="dxa"/>
          </w:tcPr>
          <w:p w14:paraId="694E1D88"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4</w:t>
            </w:r>
            <w:r w:rsidRPr="007F33CC">
              <w:rPr>
                <w:rFonts w:ascii="Times New Roman" w:hAnsi="Times New Roman"/>
                <w:bCs/>
                <w:sz w:val="24"/>
                <w:szCs w:val="24"/>
              </w:rPr>
              <w:t xml:space="preserve">. </w:t>
            </w:r>
            <w:r>
              <w:rPr>
                <w:rFonts w:ascii="Times New Roman" w:hAnsi="Times New Roman"/>
                <w:bCs/>
                <w:sz w:val="24"/>
                <w:szCs w:val="24"/>
              </w:rPr>
              <w:t>Covariate (</w:t>
            </w:r>
            <w:proofErr w:type="spellStart"/>
            <w:r>
              <w:rPr>
                <w:rFonts w:ascii="Times New Roman" w:hAnsi="Times New Roman"/>
                <w:bCs/>
                <w:sz w:val="24"/>
                <w:szCs w:val="24"/>
              </w:rPr>
              <w:t>CBCL</w:t>
            </w:r>
            <w:r>
              <w:rPr>
                <w:rFonts w:ascii="Times New Roman" w:hAnsi="Times New Roman"/>
                <w:bCs/>
                <w:sz w:val="24"/>
                <w:szCs w:val="24"/>
                <w:vertAlign w:val="subscript"/>
              </w:rPr>
              <w:t>ext</w:t>
            </w:r>
            <w:proofErr w:type="spellEnd"/>
            <w:r>
              <w:rPr>
                <w:rFonts w:ascii="Times New Roman" w:hAnsi="Times New Roman"/>
                <w:bCs/>
                <w:sz w:val="24"/>
                <w:szCs w:val="24"/>
              </w:rPr>
              <w:t>)</w:t>
            </w:r>
          </w:p>
        </w:tc>
        <w:tc>
          <w:tcPr>
            <w:tcW w:w="2520" w:type="dxa"/>
          </w:tcPr>
          <w:p w14:paraId="74CFE9EE" w14:textId="11F8643C"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34.</w:t>
            </w:r>
            <w:r w:rsidR="00C7166E">
              <w:rPr>
                <w:rFonts w:ascii="Times New Roman" w:hAnsi="Times New Roman" w:cs="Times New Roman"/>
                <w:bCs/>
                <w:sz w:val="24"/>
                <w:szCs w:val="24"/>
              </w:rPr>
              <w:t>5</w:t>
            </w:r>
          </w:p>
        </w:tc>
        <w:tc>
          <w:tcPr>
            <w:tcW w:w="1800" w:type="dxa"/>
            <w:gridSpan w:val="2"/>
          </w:tcPr>
          <w:p w14:paraId="674E5581" w14:textId="1E96CC54"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1.24</w:t>
            </w:r>
          </w:p>
        </w:tc>
        <w:tc>
          <w:tcPr>
            <w:tcW w:w="1800" w:type="dxa"/>
            <w:gridSpan w:val="2"/>
          </w:tcPr>
          <w:p w14:paraId="4333346B" w14:textId="54C88B81"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&lt;.01</w:t>
            </w:r>
          </w:p>
        </w:tc>
      </w:tr>
      <w:tr w:rsidR="00AE6628" w14:paraId="78F9FF7D" w14:textId="77777777" w:rsidTr="005113C3">
        <w:trPr>
          <w:trHeight w:hRule="exact" w:val="279"/>
        </w:trPr>
        <w:tc>
          <w:tcPr>
            <w:tcW w:w="3240" w:type="dxa"/>
          </w:tcPr>
          <w:p w14:paraId="199673A1" w14:textId="622AF9F3"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520" w:type="dxa"/>
          </w:tcPr>
          <w:p w14:paraId="3BDEAD79" w14:textId="012A0008"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154.</w:t>
            </w:r>
            <w:r w:rsidR="00C7166E">
              <w:rPr>
                <w:rFonts w:ascii="Times New Roman" w:hAnsi="Times New Roman" w:cs="Times New Roman"/>
                <w:bCs/>
                <w:sz w:val="24"/>
                <w:szCs w:val="24"/>
              </w:rPr>
              <w:t>9</w:t>
            </w:r>
          </w:p>
        </w:tc>
        <w:tc>
          <w:tcPr>
            <w:tcW w:w="1800" w:type="dxa"/>
            <w:gridSpan w:val="2"/>
          </w:tcPr>
          <w:p w14:paraId="68B1C775" w14:textId="439BF787" w:rsidR="00AE6628" w:rsidRP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AE6628">
              <w:rPr>
                <w:rFonts w:ascii="Times New Roman" w:hAnsi="Times New Roman" w:cs="Times New Roman"/>
                <w:b/>
                <w:sz w:val="24"/>
                <w:szCs w:val="24"/>
              </w:rPr>
              <w:t>5.58*</w:t>
            </w:r>
          </w:p>
        </w:tc>
        <w:tc>
          <w:tcPr>
            <w:tcW w:w="1800" w:type="dxa"/>
            <w:gridSpan w:val="2"/>
          </w:tcPr>
          <w:p w14:paraId="073DBECE" w14:textId="131F7478" w:rsidR="00AE6628" w:rsidRPr="000F1BEA"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sidRPr="000F1BEA">
              <w:rPr>
                <w:rFonts w:ascii="Times New Roman" w:hAnsi="Times New Roman" w:cs="Times New Roman"/>
                <w:b/>
                <w:sz w:val="24"/>
                <w:szCs w:val="24"/>
              </w:rPr>
              <w:t>.027</w:t>
            </w:r>
          </w:p>
          <w:p w14:paraId="66CD9C81" w14:textId="77777777"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 xml:space="preserve"> </w:t>
            </w:r>
          </w:p>
        </w:tc>
      </w:tr>
      <w:tr w:rsidR="00AE6628" w14:paraId="2091C3B9" w14:textId="77777777" w:rsidTr="005113C3">
        <w:trPr>
          <w:trHeight w:hRule="exact" w:val="279"/>
        </w:trPr>
        <w:tc>
          <w:tcPr>
            <w:tcW w:w="9360" w:type="dxa"/>
            <w:gridSpan w:val="6"/>
            <w:tcBorders>
              <w:top w:val="single" w:sz="4" w:space="0" w:color="auto"/>
            </w:tcBorders>
          </w:tcPr>
          <w:p w14:paraId="29CB5D91"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Youth Satisfaction Questionnaire (YSQ-8; Hawley &amp; Weisz, 2005) Item-Level Analysis</w:t>
            </w:r>
          </w:p>
          <w:p w14:paraId="79D14097"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i/>
                <w:iCs/>
                <w:sz w:val="24"/>
                <w:szCs w:val="24"/>
              </w:rPr>
              <w:t xml:space="preserve"> </w:t>
            </w:r>
          </w:p>
          <w:p w14:paraId="6BA7D48B" w14:textId="77777777"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
        </w:tc>
      </w:tr>
      <w:tr w:rsidR="00AE6628" w14:paraId="32F6B049" w14:textId="77777777" w:rsidTr="005113C3">
        <w:trPr>
          <w:trHeight w:hRule="exact" w:val="279"/>
        </w:trPr>
        <w:tc>
          <w:tcPr>
            <w:tcW w:w="5760" w:type="dxa"/>
            <w:gridSpan w:val="2"/>
          </w:tcPr>
          <w:p w14:paraId="130E40FD"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
        </w:tc>
        <w:tc>
          <w:tcPr>
            <w:tcW w:w="1350" w:type="dxa"/>
          </w:tcPr>
          <w:p w14:paraId="24DFE6E7" w14:textId="04D79249" w:rsidR="00AE6628" w:rsidRPr="009E3B72" w:rsidRDefault="00AE6628" w:rsidP="005113C3">
            <w:pPr>
              <w:pStyle w:val="Body"/>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imes New Roman" w:hAnsi="Times New Roman"/>
                <w:sz w:val="24"/>
                <w:szCs w:val="24"/>
              </w:rPr>
            </w:pPr>
            <w:r>
              <w:rPr>
                <w:rFonts w:ascii="Times New Roman" w:hAnsi="Times New Roman"/>
                <w:sz w:val="24"/>
                <w:szCs w:val="24"/>
              </w:rPr>
              <w:t>CG youth</w:t>
            </w:r>
          </w:p>
        </w:tc>
        <w:tc>
          <w:tcPr>
            <w:tcW w:w="1440" w:type="dxa"/>
            <w:gridSpan w:val="2"/>
          </w:tcPr>
          <w:p w14:paraId="3CAA0036" w14:textId="09D9D546" w:rsidR="00AE6628" w:rsidRPr="009E3B72" w:rsidRDefault="00AE6628" w:rsidP="005113C3">
            <w:pPr>
              <w:pStyle w:val="Body"/>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imes New Roman" w:hAnsi="Times New Roman"/>
                <w:sz w:val="24"/>
                <w:szCs w:val="24"/>
              </w:rPr>
            </w:pPr>
            <w:r>
              <w:rPr>
                <w:rFonts w:ascii="Times New Roman" w:hAnsi="Times New Roman"/>
                <w:sz w:val="24"/>
                <w:szCs w:val="24"/>
              </w:rPr>
              <w:t>GM youth</w:t>
            </w:r>
          </w:p>
        </w:tc>
        <w:tc>
          <w:tcPr>
            <w:tcW w:w="810" w:type="dxa"/>
          </w:tcPr>
          <w:p w14:paraId="60D6FEB8" w14:textId="77777777"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
        </w:tc>
      </w:tr>
      <w:tr w:rsidR="00AE6628" w14:paraId="0C218804" w14:textId="77777777" w:rsidTr="005113C3">
        <w:trPr>
          <w:trHeight w:hRule="exact" w:val="279"/>
        </w:trPr>
        <w:tc>
          <w:tcPr>
            <w:tcW w:w="5760" w:type="dxa"/>
            <w:gridSpan w:val="2"/>
            <w:tcBorders>
              <w:bottom w:val="single" w:sz="4" w:space="0" w:color="auto"/>
            </w:tcBorders>
          </w:tcPr>
          <w:p w14:paraId="3CD5B963" w14:textId="77777777"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Item</w:t>
            </w:r>
          </w:p>
        </w:tc>
        <w:tc>
          <w:tcPr>
            <w:tcW w:w="1350" w:type="dxa"/>
            <w:tcBorders>
              <w:bottom w:val="single" w:sz="4" w:space="0" w:color="auto"/>
            </w:tcBorders>
          </w:tcPr>
          <w:p w14:paraId="6E35CEC6" w14:textId="38C3E474"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3F66AF">
              <w:rPr>
                <w:rFonts w:ascii="Times New Roman" w:hAnsi="Times New Roman"/>
                <w:i/>
                <w:iCs/>
                <w:sz w:val="24"/>
                <w:szCs w:val="24"/>
              </w:rPr>
              <w:t>M(SD)</w:t>
            </w:r>
          </w:p>
        </w:tc>
        <w:tc>
          <w:tcPr>
            <w:tcW w:w="1440" w:type="dxa"/>
            <w:gridSpan w:val="2"/>
            <w:tcBorders>
              <w:bottom w:val="single" w:sz="4" w:space="0" w:color="auto"/>
            </w:tcBorders>
          </w:tcPr>
          <w:p w14:paraId="214A6A88" w14:textId="4E200D35"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3F66AF">
              <w:rPr>
                <w:rFonts w:ascii="Times New Roman" w:hAnsi="Times New Roman"/>
                <w:i/>
                <w:iCs/>
                <w:sz w:val="24"/>
                <w:szCs w:val="24"/>
              </w:rPr>
              <w:t>M(SD)</w:t>
            </w:r>
          </w:p>
        </w:tc>
        <w:tc>
          <w:tcPr>
            <w:tcW w:w="810" w:type="dxa"/>
            <w:tcBorders>
              <w:bottom w:val="single" w:sz="4" w:space="0" w:color="auto"/>
            </w:tcBorders>
          </w:tcPr>
          <w:p w14:paraId="3EE5ACC3" w14:textId="54FC92E7"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gramStart"/>
            <w:r w:rsidRPr="007F33CC">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205)</w:t>
            </w:r>
          </w:p>
        </w:tc>
      </w:tr>
      <w:tr w:rsidR="00AE6628" w14:paraId="39EB916B" w14:textId="77777777" w:rsidTr="005113C3">
        <w:trPr>
          <w:trHeight w:hRule="exact" w:val="279"/>
        </w:trPr>
        <w:tc>
          <w:tcPr>
            <w:tcW w:w="5760" w:type="dxa"/>
            <w:gridSpan w:val="2"/>
            <w:tcBorders>
              <w:top w:val="single" w:sz="4" w:space="0" w:color="auto"/>
            </w:tcBorders>
          </w:tcPr>
          <w:p w14:paraId="7D6BA664" w14:textId="77777777" w:rsidR="00AE6628"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270" w:hanging="270"/>
              <w:jc w:val="both"/>
              <w:rPr>
                <w:rFonts w:ascii="Times New Roman" w:hAnsi="Times New Roman"/>
                <w:sz w:val="24"/>
                <w:szCs w:val="24"/>
              </w:rPr>
            </w:pPr>
            <w:r>
              <w:rPr>
                <w:rFonts w:ascii="Times New Roman" w:hAnsi="Times New Roman"/>
                <w:sz w:val="24"/>
                <w:szCs w:val="24"/>
              </w:rPr>
              <w:t xml:space="preserve">Overall, how happy are you with the help you got?  </w:t>
            </w:r>
          </w:p>
        </w:tc>
        <w:tc>
          <w:tcPr>
            <w:tcW w:w="1350" w:type="dxa"/>
            <w:tcBorders>
              <w:top w:val="single" w:sz="4" w:space="0" w:color="auto"/>
            </w:tcBorders>
          </w:tcPr>
          <w:p w14:paraId="25DB3939" w14:textId="3EA786A4"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3.36</w:t>
            </w:r>
            <w:r>
              <w:rPr>
                <w:rFonts w:ascii="Times New Roman" w:hAnsi="Times New Roman"/>
                <w:sz w:val="24"/>
                <w:szCs w:val="24"/>
              </w:rPr>
              <w:t>(.87)</w:t>
            </w:r>
          </w:p>
        </w:tc>
        <w:tc>
          <w:tcPr>
            <w:tcW w:w="1440" w:type="dxa"/>
            <w:gridSpan w:val="2"/>
            <w:tcBorders>
              <w:top w:val="single" w:sz="4" w:space="0" w:color="auto"/>
            </w:tcBorders>
          </w:tcPr>
          <w:p w14:paraId="662F12F3" w14:textId="1696FC4D"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3.12</w:t>
            </w:r>
            <w:r>
              <w:rPr>
                <w:rFonts w:ascii="Times New Roman" w:hAnsi="Times New Roman"/>
                <w:sz w:val="24"/>
                <w:szCs w:val="24"/>
              </w:rPr>
              <w:t>(.95)</w:t>
            </w:r>
          </w:p>
        </w:tc>
        <w:tc>
          <w:tcPr>
            <w:tcW w:w="810" w:type="dxa"/>
            <w:tcBorders>
              <w:top w:val="single" w:sz="4" w:space="0" w:color="auto"/>
            </w:tcBorders>
          </w:tcPr>
          <w:p w14:paraId="36F6ECEA" w14:textId="789C7B3C"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1.47</w:t>
            </w:r>
          </w:p>
        </w:tc>
      </w:tr>
      <w:tr w:rsidR="00AE6628" w:rsidRPr="004C7EF9" w14:paraId="294C08A9" w14:textId="77777777" w:rsidTr="005113C3">
        <w:trPr>
          <w:trHeight w:hRule="exact" w:val="576"/>
        </w:trPr>
        <w:tc>
          <w:tcPr>
            <w:tcW w:w="5760" w:type="dxa"/>
            <w:gridSpan w:val="2"/>
          </w:tcPr>
          <w:p w14:paraId="1D36897E" w14:textId="77777777" w:rsidR="00AE6628" w:rsidRPr="003F2FEB"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70" w:hanging="270"/>
              <w:rPr>
                <w:rFonts w:ascii="Times New Roman" w:hAnsi="Times New Roman"/>
                <w:bCs/>
                <w:sz w:val="24"/>
                <w:szCs w:val="24"/>
              </w:rPr>
            </w:pPr>
            <w:r w:rsidRPr="00FA72DF">
              <w:rPr>
                <w:rFonts w:ascii="Times New Roman" w:hAnsi="Times New Roman"/>
                <w:bCs/>
                <w:sz w:val="24"/>
                <w:szCs w:val="24"/>
              </w:rPr>
              <w:t>If you had a friend that needed help, would you tell your</w:t>
            </w:r>
            <w:r w:rsidRPr="00651198">
              <w:rPr>
                <w:rFonts w:ascii="Times New Roman" w:hAnsi="Times New Roman"/>
                <w:bCs/>
                <w:sz w:val="24"/>
                <w:szCs w:val="24"/>
              </w:rPr>
              <w:t xml:space="preserve"> </w:t>
            </w:r>
            <w:r w:rsidRPr="00C708E1">
              <w:rPr>
                <w:rFonts w:ascii="Times New Roman" w:hAnsi="Times New Roman"/>
                <w:bCs/>
                <w:sz w:val="24"/>
                <w:szCs w:val="24"/>
              </w:rPr>
              <w:t>friend about the help you got?</w:t>
            </w:r>
            <w:r w:rsidRPr="003F2FEB">
              <w:rPr>
                <w:rFonts w:ascii="Times New Roman" w:hAnsi="Times New Roman"/>
                <w:bCs/>
                <w:sz w:val="24"/>
                <w:szCs w:val="24"/>
              </w:rPr>
              <w:t xml:space="preserve">  </w:t>
            </w:r>
          </w:p>
        </w:tc>
        <w:tc>
          <w:tcPr>
            <w:tcW w:w="1350" w:type="dxa"/>
          </w:tcPr>
          <w:p w14:paraId="50457586" w14:textId="3BE519FE" w:rsidR="00AE6628" w:rsidRPr="0065119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161689">
              <w:rPr>
                <w:rFonts w:ascii="Times New Roman" w:hAnsi="Times New Roman"/>
                <w:sz w:val="24"/>
                <w:szCs w:val="24"/>
              </w:rPr>
              <w:t>3.24</w:t>
            </w:r>
            <w:r>
              <w:rPr>
                <w:rFonts w:ascii="Times New Roman" w:hAnsi="Times New Roman"/>
                <w:sz w:val="24"/>
                <w:szCs w:val="24"/>
              </w:rPr>
              <w:t>(.84)</w:t>
            </w:r>
            <w:r w:rsidRPr="00FA72DF">
              <w:rPr>
                <w:rFonts w:ascii="Times New Roman" w:hAnsi="Times New Roman"/>
                <w:bCs/>
                <w:i/>
                <w:iCs/>
                <w:sz w:val="24"/>
                <w:szCs w:val="24"/>
              </w:rPr>
              <w:t xml:space="preserve"> </w:t>
            </w:r>
          </w:p>
        </w:tc>
        <w:tc>
          <w:tcPr>
            <w:tcW w:w="1440" w:type="dxa"/>
            <w:gridSpan w:val="2"/>
          </w:tcPr>
          <w:p w14:paraId="13BA6BDA" w14:textId="3959E6AC" w:rsidR="00AE6628" w:rsidRPr="00FA72D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161689">
              <w:rPr>
                <w:rFonts w:ascii="Times New Roman" w:hAnsi="Times New Roman"/>
                <w:sz w:val="24"/>
                <w:szCs w:val="24"/>
              </w:rPr>
              <w:t>2.97</w:t>
            </w:r>
            <w:r>
              <w:rPr>
                <w:rFonts w:ascii="Times New Roman" w:hAnsi="Times New Roman"/>
                <w:bCs/>
                <w:sz w:val="24"/>
                <w:szCs w:val="24"/>
              </w:rPr>
              <w:t>(.94)</w:t>
            </w:r>
          </w:p>
        </w:tc>
        <w:tc>
          <w:tcPr>
            <w:tcW w:w="810" w:type="dxa"/>
          </w:tcPr>
          <w:p w14:paraId="71C83953" w14:textId="2630AC67" w:rsidR="00AE6628" w:rsidRPr="00FA72D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161689">
              <w:rPr>
                <w:rFonts w:ascii="Times New Roman" w:hAnsi="Times New Roman"/>
                <w:sz w:val="24"/>
                <w:szCs w:val="24"/>
              </w:rPr>
              <w:t>1.66</w:t>
            </w:r>
          </w:p>
        </w:tc>
      </w:tr>
      <w:tr w:rsidR="00AE6628" w:rsidRPr="004C7EF9" w14:paraId="32254516" w14:textId="77777777" w:rsidTr="005113C3">
        <w:trPr>
          <w:trHeight w:hRule="exact" w:val="279"/>
        </w:trPr>
        <w:tc>
          <w:tcPr>
            <w:tcW w:w="5760" w:type="dxa"/>
            <w:gridSpan w:val="2"/>
          </w:tcPr>
          <w:p w14:paraId="64F4F743" w14:textId="77777777" w:rsidR="00AE6628" w:rsidRPr="003F66AF"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270" w:hanging="270"/>
              <w:jc w:val="both"/>
              <w:rPr>
                <w:rFonts w:ascii="Times New Roman" w:hAnsi="Times New Roman"/>
                <w:b/>
                <w:sz w:val="24"/>
                <w:szCs w:val="24"/>
              </w:rPr>
            </w:pPr>
            <w:r w:rsidRPr="004C7EF9">
              <w:rPr>
                <w:rFonts w:ascii="Times New Roman" w:hAnsi="Times New Roman"/>
                <w:b/>
                <w:sz w:val="24"/>
                <w:szCs w:val="24"/>
              </w:rPr>
              <w:t>Did you get the kind of help you wanted?</w:t>
            </w:r>
          </w:p>
        </w:tc>
        <w:tc>
          <w:tcPr>
            <w:tcW w:w="1350" w:type="dxa"/>
          </w:tcPr>
          <w:p w14:paraId="24BEA433" w14:textId="5F230C00" w:rsidR="00AE6628" w:rsidRPr="00FA72D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i/>
                <w:iCs/>
                <w:sz w:val="24"/>
                <w:szCs w:val="24"/>
              </w:rPr>
            </w:pPr>
            <w:r w:rsidRPr="00161689">
              <w:rPr>
                <w:rFonts w:ascii="Times New Roman" w:hAnsi="Times New Roman"/>
                <w:sz w:val="24"/>
                <w:szCs w:val="24"/>
              </w:rPr>
              <w:t>3.32</w:t>
            </w:r>
            <w:r>
              <w:rPr>
                <w:rFonts w:ascii="Times New Roman" w:hAnsi="Times New Roman"/>
                <w:sz w:val="24"/>
                <w:szCs w:val="24"/>
              </w:rPr>
              <w:t>(.81)</w:t>
            </w:r>
          </w:p>
        </w:tc>
        <w:tc>
          <w:tcPr>
            <w:tcW w:w="1440" w:type="dxa"/>
            <w:gridSpan w:val="2"/>
          </w:tcPr>
          <w:p w14:paraId="40AE10B8" w14:textId="48F32003" w:rsidR="00AE6628" w:rsidRPr="00FA72D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i/>
                <w:iCs/>
                <w:sz w:val="24"/>
                <w:szCs w:val="24"/>
              </w:rPr>
            </w:pPr>
            <w:r w:rsidRPr="00161689">
              <w:rPr>
                <w:rFonts w:ascii="Times New Roman" w:hAnsi="Times New Roman"/>
                <w:sz w:val="24"/>
                <w:szCs w:val="24"/>
              </w:rPr>
              <w:t>2.97</w:t>
            </w:r>
            <w:r>
              <w:rPr>
                <w:rFonts w:ascii="Times New Roman" w:hAnsi="Times New Roman"/>
                <w:bCs/>
                <w:sz w:val="24"/>
                <w:szCs w:val="24"/>
              </w:rPr>
              <w:t>(.94)</w:t>
            </w:r>
          </w:p>
        </w:tc>
        <w:tc>
          <w:tcPr>
            <w:tcW w:w="810" w:type="dxa"/>
          </w:tcPr>
          <w:p w14:paraId="70C434AA" w14:textId="3452ABC8" w:rsidR="00AE6628" w:rsidRPr="009E3B72"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bCs/>
                <w:sz w:val="24"/>
                <w:szCs w:val="24"/>
              </w:rPr>
            </w:pPr>
            <w:r w:rsidRPr="009E3B72">
              <w:rPr>
                <w:rFonts w:ascii="Times New Roman" w:hAnsi="Times New Roman"/>
                <w:b/>
                <w:bCs/>
                <w:sz w:val="24"/>
                <w:szCs w:val="24"/>
              </w:rPr>
              <w:t>2.27*</w:t>
            </w:r>
          </w:p>
        </w:tc>
      </w:tr>
      <w:tr w:rsidR="00AE6628" w14:paraId="302AAC2E" w14:textId="77777777" w:rsidTr="005113C3">
        <w:trPr>
          <w:trHeight w:hRule="exact" w:val="576"/>
        </w:trPr>
        <w:tc>
          <w:tcPr>
            <w:tcW w:w="5760" w:type="dxa"/>
            <w:gridSpan w:val="2"/>
          </w:tcPr>
          <w:p w14:paraId="5AD8230D" w14:textId="77777777" w:rsidR="00AE6628" w:rsidRPr="003F66AF"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70" w:hanging="270"/>
              <w:rPr>
                <w:rFonts w:ascii="Times New Roman" w:hAnsi="Times New Roman"/>
                <w:b/>
                <w:sz w:val="24"/>
                <w:szCs w:val="24"/>
              </w:rPr>
            </w:pPr>
            <w:r w:rsidRPr="007F33CC">
              <w:rPr>
                <w:rFonts w:ascii="Times New Roman" w:hAnsi="Times New Roman"/>
                <w:b/>
                <w:sz w:val="24"/>
                <w:szCs w:val="24"/>
              </w:rPr>
              <w:t>If you had your choice, would you choose</w:t>
            </w:r>
            <w:r>
              <w:rPr>
                <w:rFonts w:ascii="Times New Roman" w:hAnsi="Times New Roman"/>
                <w:b/>
                <w:sz w:val="24"/>
                <w:szCs w:val="24"/>
              </w:rPr>
              <w:t xml:space="preserve"> </w:t>
            </w:r>
            <w:r w:rsidRPr="007F33CC">
              <w:rPr>
                <w:rFonts w:ascii="Times New Roman" w:hAnsi="Times New Roman"/>
                <w:b/>
                <w:sz w:val="24"/>
                <w:szCs w:val="24"/>
              </w:rPr>
              <w:t xml:space="preserve">to do the </w:t>
            </w:r>
            <w:r w:rsidRPr="004C7EF9">
              <w:rPr>
                <w:rFonts w:ascii="Times New Roman" w:hAnsi="Times New Roman"/>
                <w:b/>
                <w:sz w:val="24"/>
                <w:szCs w:val="24"/>
              </w:rPr>
              <w:t>same kinds of things you did here?</w:t>
            </w:r>
          </w:p>
        </w:tc>
        <w:tc>
          <w:tcPr>
            <w:tcW w:w="1350" w:type="dxa"/>
          </w:tcPr>
          <w:p w14:paraId="30C57D32" w14:textId="5E9036F6"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i/>
                <w:iCs/>
                <w:sz w:val="24"/>
                <w:szCs w:val="24"/>
              </w:rPr>
            </w:pPr>
            <w:r w:rsidRPr="00161689">
              <w:rPr>
                <w:rFonts w:ascii="Times New Roman" w:hAnsi="Times New Roman"/>
                <w:sz w:val="24"/>
                <w:szCs w:val="24"/>
              </w:rPr>
              <w:t>3.19</w:t>
            </w:r>
            <w:r>
              <w:rPr>
                <w:rFonts w:ascii="Times New Roman" w:hAnsi="Times New Roman"/>
                <w:sz w:val="24"/>
                <w:szCs w:val="24"/>
              </w:rPr>
              <w:t>(.87)</w:t>
            </w:r>
          </w:p>
        </w:tc>
        <w:tc>
          <w:tcPr>
            <w:tcW w:w="1440" w:type="dxa"/>
            <w:gridSpan w:val="2"/>
          </w:tcPr>
          <w:p w14:paraId="2360A7FB" w14:textId="321FF087"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rPr>
            </w:pPr>
            <w:r w:rsidRPr="00161689">
              <w:rPr>
                <w:rFonts w:ascii="Times New Roman" w:hAnsi="Times New Roman"/>
                <w:sz w:val="24"/>
                <w:szCs w:val="24"/>
              </w:rPr>
              <w:t>2.74</w:t>
            </w:r>
            <w:r>
              <w:rPr>
                <w:rFonts w:ascii="Times New Roman" w:hAnsi="Times New Roman"/>
                <w:sz w:val="24"/>
                <w:szCs w:val="24"/>
              </w:rPr>
              <w:t>(.93)</w:t>
            </w:r>
          </w:p>
        </w:tc>
        <w:tc>
          <w:tcPr>
            <w:tcW w:w="810" w:type="dxa"/>
          </w:tcPr>
          <w:p w14:paraId="4E19003B" w14:textId="6294F29E" w:rsidR="00AE6628" w:rsidRPr="009E3B72"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b/>
                <w:bCs/>
                <w:sz w:val="24"/>
                <w:szCs w:val="24"/>
              </w:rPr>
            </w:pPr>
            <w:r w:rsidRPr="009E3B72">
              <w:rPr>
                <w:rFonts w:ascii="Times New Roman" w:hAnsi="Times New Roman"/>
                <w:b/>
                <w:bCs/>
                <w:sz w:val="24"/>
                <w:szCs w:val="24"/>
              </w:rPr>
              <w:t>2.72**</w:t>
            </w:r>
          </w:p>
        </w:tc>
      </w:tr>
      <w:tr w:rsidR="00AE6628" w14:paraId="45C23611" w14:textId="77777777" w:rsidTr="005113C3">
        <w:trPr>
          <w:trHeight w:hRule="exact" w:val="576"/>
        </w:trPr>
        <w:tc>
          <w:tcPr>
            <w:tcW w:w="5760" w:type="dxa"/>
            <w:gridSpan w:val="2"/>
          </w:tcPr>
          <w:p w14:paraId="701C24E5" w14:textId="77777777" w:rsidR="00AE6628" w:rsidRPr="003F66AF"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70" w:hanging="270"/>
              <w:rPr>
                <w:rFonts w:ascii="Times New Roman" w:hAnsi="Times New Roman"/>
                <w:b/>
                <w:sz w:val="24"/>
                <w:szCs w:val="24"/>
              </w:rPr>
            </w:pPr>
            <w:r w:rsidRPr="004C7EF9">
              <w:rPr>
                <w:rFonts w:ascii="Times New Roman" w:hAnsi="Times New Roman"/>
                <w:b/>
                <w:sz w:val="24"/>
                <w:szCs w:val="24"/>
              </w:rPr>
              <w:t xml:space="preserve">Do you think the help you got here will make things  </w:t>
            </w:r>
            <w:r w:rsidRPr="004C7EF9">
              <w:rPr>
                <w:rFonts w:ascii="Times New Roman" w:hAnsi="Times New Roman"/>
                <w:b/>
                <w:sz w:val="24"/>
                <w:szCs w:val="24"/>
              </w:rPr>
              <w:br/>
              <w:t xml:space="preserve">better for you </w:t>
            </w:r>
            <w:proofErr w:type="gramStart"/>
            <w:r w:rsidRPr="004C7EF9">
              <w:rPr>
                <w:rFonts w:ascii="Times New Roman" w:hAnsi="Times New Roman"/>
                <w:b/>
                <w:sz w:val="24"/>
                <w:szCs w:val="24"/>
              </w:rPr>
              <w:t>later on</w:t>
            </w:r>
            <w:proofErr w:type="gramEnd"/>
            <w:r w:rsidRPr="004C7EF9">
              <w:rPr>
                <w:rFonts w:ascii="Times New Roman" w:hAnsi="Times New Roman"/>
                <w:b/>
                <w:sz w:val="24"/>
                <w:szCs w:val="24"/>
              </w:rPr>
              <w:t>?</w:t>
            </w:r>
          </w:p>
        </w:tc>
        <w:tc>
          <w:tcPr>
            <w:tcW w:w="1350" w:type="dxa"/>
          </w:tcPr>
          <w:p w14:paraId="02C04A46" w14:textId="5D9968D6"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i/>
                <w:iCs/>
                <w:sz w:val="24"/>
                <w:szCs w:val="24"/>
              </w:rPr>
            </w:pPr>
            <w:r w:rsidRPr="00161689">
              <w:rPr>
                <w:rFonts w:ascii="Times New Roman" w:hAnsi="Times New Roman"/>
                <w:sz w:val="24"/>
                <w:szCs w:val="24"/>
              </w:rPr>
              <w:t>3.41</w:t>
            </w:r>
            <w:r>
              <w:rPr>
                <w:rFonts w:ascii="Times New Roman" w:hAnsi="Times New Roman"/>
                <w:sz w:val="24"/>
                <w:szCs w:val="24"/>
              </w:rPr>
              <w:t>(.76)</w:t>
            </w:r>
          </w:p>
        </w:tc>
        <w:tc>
          <w:tcPr>
            <w:tcW w:w="1440" w:type="dxa"/>
            <w:gridSpan w:val="2"/>
          </w:tcPr>
          <w:p w14:paraId="25EE1442" w14:textId="0E5B31EE"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161689">
              <w:rPr>
                <w:rFonts w:ascii="Times New Roman" w:hAnsi="Times New Roman"/>
                <w:sz w:val="24"/>
                <w:szCs w:val="24"/>
              </w:rPr>
              <w:t>3.03</w:t>
            </w:r>
            <w:r>
              <w:rPr>
                <w:rFonts w:ascii="Times New Roman" w:hAnsi="Times New Roman"/>
                <w:sz w:val="24"/>
                <w:szCs w:val="24"/>
              </w:rPr>
              <w:t>(.97)</w:t>
            </w:r>
          </w:p>
        </w:tc>
        <w:tc>
          <w:tcPr>
            <w:tcW w:w="810" w:type="dxa"/>
          </w:tcPr>
          <w:p w14:paraId="398BDDA1" w14:textId="072C84DF" w:rsidR="00AE6628" w:rsidRPr="006F1BDC"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bCs/>
                <w:sz w:val="24"/>
                <w:szCs w:val="24"/>
              </w:rPr>
            </w:pPr>
            <w:r w:rsidRPr="009E3B72">
              <w:rPr>
                <w:rFonts w:ascii="Times New Roman" w:hAnsi="Times New Roman"/>
                <w:b/>
                <w:bCs/>
                <w:sz w:val="24"/>
                <w:szCs w:val="24"/>
              </w:rPr>
              <w:t>2.57*</w:t>
            </w:r>
          </w:p>
        </w:tc>
      </w:tr>
      <w:tr w:rsidR="00AE6628" w14:paraId="2409B755" w14:textId="77777777" w:rsidTr="005113C3">
        <w:trPr>
          <w:trHeight w:hRule="exact" w:val="279"/>
        </w:trPr>
        <w:tc>
          <w:tcPr>
            <w:tcW w:w="5760" w:type="dxa"/>
            <w:gridSpan w:val="2"/>
          </w:tcPr>
          <w:p w14:paraId="46A0F614" w14:textId="77777777" w:rsidR="00AE6628"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270" w:hanging="270"/>
              <w:rPr>
                <w:rFonts w:ascii="Times New Roman" w:hAnsi="Times New Roman"/>
                <w:sz w:val="24"/>
                <w:szCs w:val="24"/>
              </w:rPr>
            </w:pPr>
            <w:r>
              <w:rPr>
                <w:rFonts w:ascii="Times New Roman" w:hAnsi="Times New Roman"/>
                <w:sz w:val="24"/>
                <w:szCs w:val="24"/>
              </w:rPr>
              <w:t>How would you rate the help you got?</w:t>
            </w:r>
          </w:p>
        </w:tc>
        <w:tc>
          <w:tcPr>
            <w:tcW w:w="1350" w:type="dxa"/>
          </w:tcPr>
          <w:p w14:paraId="280D372E" w14:textId="6157C20A"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3.43</w:t>
            </w:r>
            <w:r>
              <w:rPr>
                <w:rFonts w:ascii="Times New Roman" w:hAnsi="Times New Roman"/>
                <w:sz w:val="24"/>
                <w:szCs w:val="24"/>
              </w:rPr>
              <w:t>(</w:t>
            </w:r>
            <w:r w:rsidRPr="00161689">
              <w:rPr>
                <w:rFonts w:ascii="Times New Roman" w:hAnsi="Times New Roman"/>
                <w:sz w:val="24"/>
                <w:szCs w:val="24"/>
              </w:rPr>
              <w:t>.76</w:t>
            </w:r>
            <w:r>
              <w:rPr>
                <w:rFonts w:ascii="Times New Roman" w:hAnsi="Times New Roman"/>
                <w:sz w:val="24"/>
                <w:szCs w:val="24"/>
              </w:rPr>
              <w:t>)</w:t>
            </w:r>
          </w:p>
        </w:tc>
        <w:tc>
          <w:tcPr>
            <w:tcW w:w="1440" w:type="dxa"/>
            <w:gridSpan w:val="2"/>
          </w:tcPr>
          <w:p w14:paraId="1E0AB85A" w14:textId="5B97247E"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3.27</w:t>
            </w:r>
            <w:r>
              <w:rPr>
                <w:rFonts w:ascii="Times New Roman" w:hAnsi="Times New Roman"/>
                <w:sz w:val="24"/>
                <w:szCs w:val="24"/>
              </w:rPr>
              <w:t xml:space="preserve">(.84) </w:t>
            </w:r>
          </w:p>
        </w:tc>
        <w:tc>
          <w:tcPr>
            <w:tcW w:w="810" w:type="dxa"/>
          </w:tcPr>
          <w:p w14:paraId="1C4F29F7" w14:textId="51F220F3"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1.06</w:t>
            </w:r>
          </w:p>
        </w:tc>
      </w:tr>
      <w:tr w:rsidR="00AE6628" w14:paraId="4A991A47" w14:textId="77777777" w:rsidTr="005113C3">
        <w:trPr>
          <w:trHeight w:hRule="exact" w:val="279"/>
        </w:trPr>
        <w:tc>
          <w:tcPr>
            <w:tcW w:w="5760" w:type="dxa"/>
            <w:gridSpan w:val="2"/>
          </w:tcPr>
          <w:p w14:paraId="23CB001D" w14:textId="77777777" w:rsidR="00AE6628"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270" w:hanging="270"/>
              <w:jc w:val="both"/>
              <w:rPr>
                <w:rFonts w:ascii="Times New Roman" w:hAnsi="Times New Roman"/>
                <w:sz w:val="24"/>
                <w:szCs w:val="24"/>
              </w:rPr>
            </w:pPr>
            <w:r>
              <w:rPr>
                <w:rFonts w:ascii="Times New Roman" w:hAnsi="Times New Roman"/>
                <w:sz w:val="24"/>
                <w:szCs w:val="24"/>
              </w:rPr>
              <w:t>How happy are you with how much help you got?</w:t>
            </w:r>
          </w:p>
        </w:tc>
        <w:tc>
          <w:tcPr>
            <w:tcW w:w="1350" w:type="dxa"/>
          </w:tcPr>
          <w:p w14:paraId="3DD00FE8" w14:textId="7EBBF3D6"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3.39</w:t>
            </w:r>
            <w:r>
              <w:rPr>
                <w:rFonts w:ascii="Times New Roman" w:hAnsi="Times New Roman"/>
                <w:sz w:val="24"/>
                <w:szCs w:val="24"/>
              </w:rPr>
              <w:t>(.81)</w:t>
            </w:r>
          </w:p>
        </w:tc>
        <w:tc>
          <w:tcPr>
            <w:tcW w:w="1440" w:type="dxa"/>
            <w:gridSpan w:val="2"/>
          </w:tcPr>
          <w:p w14:paraId="71FF1A09" w14:textId="505FD5FB"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3.21</w:t>
            </w:r>
            <w:r>
              <w:rPr>
                <w:rFonts w:ascii="Times New Roman" w:hAnsi="Times New Roman"/>
                <w:sz w:val="24"/>
                <w:szCs w:val="24"/>
              </w:rPr>
              <w:t>(.95)</w:t>
            </w:r>
          </w:p>
        </w:tc>
        <w:tc>
          <w:tcPr>
            <w:tcW w:w="810" w:type="dxa"/>
          </w:tcPr>
          <w:p w14:paraId="6296B48B" w14:textId="50E6DE1F"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1.16</w:t>
            </w:r>
          </w:p>
        </w:tc>
      </w:tr>
      <w:tr w:rsidR="00AE6628" w14:paraId="0B9E1478" w14:textId="77777777" w:rsidTr="00664BFA">
        <w:trPr>
          <w:trHeight w:hRule="exact" w:val="576"/>
        </w:trPr>
        <w:tc>
          <w:tcPr>
            <w:tcW w:w="5760" w:type="dxa"/>
            <w:gridSpan w:val="2"/>
          </w:tcPr>
          <w:p w14:paraId="6E91F134" w14:textId="77777777" w:rsidR="00AE6628" w:rsidRDefault="00AE6628" w:rsidP="00AE662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270" w:hanging="270"/>
              <w:rPr>
                <w:rFonts w:ascii="Times New Roman" w:hAnsi="Times New Roman"/>
                <w:sz w:val="24"/>
                <w:szCs w:val="24"/>
              </w:rPr>
            </w:pPr>
            <w:r>
              <w:rPr>
                <w:rFonts w:ascii="Times New Roman" w:hAnsi="Times New Roman"/>
                <w:sz w:val="24"/>
                <w:szCs w:val="24"/>
              </w:rPr>
              <w:t xml:space="preserve">Would you come back to counseling if you need help   </w:t>
            </w:r>
            <w:r>
              <w:rPr>
                <w:rFonts w:ascii="Times New Roman" w:hAnsi="Times New Roman"/>
                <w:sz w:val="24"/>
                <w:szCs w:val="24"/>
              </w:rPr>
              <w:br/>
              <w:t>again?</w:t>
            </w:r>
          </w:p>
        </w:tc>
        <w:tc>
          <w:tcPr>
            <w:tcW w:w="1350" w:type="dxa"/>
          </w:tcPr>
          <w:p w14:paraId="6FDF48CE" w14:textId="0B8662C3"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3.39</w:t>
            </w:r>
            <w:r>
              <w:rPr>
                <w:rFonts w:ascii="Times New Roman" w:hAnsi="Times New Roman"/>
                <w:sz w:val="24"/>
                <w:szCs w:val="24"/>
              </w:rPr>
              <w:t>(.81)</w:t>
            </w:r>
          </w:p>
        </w:tc>
        <w:tc>
          <w:tcPr>
            <w:tcW w:w="1440" w:type="dxa"/>
            <w:gridSpan w:val="2"/>
          </w:tcPr>
          <w:p w14:paraId="63F8FCD9" w14:textId="07A0E0B8"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3.15</w:t>
            </w:r>
            <w:r>
              <w:rPr>
                <w:rFonts w:ascii="Times New Roman" w:hAnsi="Times New Roman"/>
                <w:sz w:val="24"/>
                <w:szCs w:val="24"/>
              </w:rPr>
              <w:t>(.82)</w:t>
            </w:r>
          </w:p>
        </w:tc>
        <w:tc>
          <w:tcPr>
            <w:tcW w:w="810" w:type="dxa"/>
          </w:tcPr>
          <w:p w14:paraId="6208EDF7" w14:textId="43E42EEB" w:rsidR="00AE6628" w:rsidRPr="003E0A70"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1.59</w:t>
            </w:r>
          </w:p>
        </w:tc>
      </w:tr>
      <w:tr w:rsidR="00AE6628" w14:paraId="204AB9D7" w14:textId="77777777" w:rsidTr="00664BFA">
        <w:trPr>
          <w:trHeight w:hRule="exact" w:val="279"/>
        </w:trPr>
        <w:tc>
          <w:tcPr>
            <w:tcW w:w="5760" w:type="dxa"/>
            <w:gridSpan w:val="2"/>
            <w:tcBorders>
              <w:bottom w:val="single" w:sz="4" w:space="0" w:color="auto"/>
            </w:tcBorders>
          </w:tcPr>
          <w:p w14:paraId="4A83FD1C" w14:textId="77777777" w:rsidR="00AE6628" w:rsidRPr="003F66AF"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b/>
                <w:bCs/>
                <w:sz w:val="24"/>
                <w:szCs w:val="24"/>
              </w:rPr>
            </w:pPr>
            <w:r w:rsidRPr="003F66AF">
              <w:rPr>
                <w:rFonts w:ascii="Times New Roman" w:hAnsi="Times New Roman"/>
                <w:b/>
                <w:bCs/>
                <w:sz w:val="24"/>
                <w:szCs w:val="24"/>
              </w:rPr>
              <w:t>Total score</w:t>
            </w:r>
          </w:p>
        </w:tc>
        <w:tc>
          <w:tcPr>
            <w:tcW w:w="1350" w:type="dxa"/>
            <w:tcBorders>
              <w:bottom w:val="single" w:sz="4" w:space="0" w:color="auto"/>
            </w:tcBorders>
          </w:tcPr>
          <w:p w14:paraId="4491F9E2" w14:textId="3D879CCB"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1689">
              <w:rPr>
                <w:rFonts w:ascii="Times New Roman" w:hAnsi="Times New Roman"/>
                <w:sz w:val="24"/>
                <w:szCs w:val="24"/>
              </w:rPr>
              <w:t>26.7</w:t>
            </w:r>
            <w:r>
              <w:rPr>
                <w:rFonts w:ascii="Times New Roman" w:hAnsi="Times New Roman"/>
                <w:sz w:val="24"/>
                <w:szCs w:val="24"/>
              </w:rPr>
              <w:t>(5.16)</w:t>
            </w:r>
          </w:p>
        </w:tc>
        <w:tc>
          <w:tcPr>
            <w:tcW w:w="1440" w:type="dxa"/>
            <w:gridSpan w:val="2"/>
            <w:tcBorders>
              <w:bottom w:val="single" w:sz="4" w:space="0" w:color="auto"/>
            </w:tcBorders>
          </w:tcPr>
          <w:p w14:paraId="2F2C1D5B" w14:textId="41D9A0DA" w:rsid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1689">
              <w:rPr>
                <w:rFonts w:ascii="Times New Roman" w:hAnsi="Times New Roman"/>
                <w:sz w:val="24"/>
                <w:szCs w:val="24"/>
              </w:rPr>
              <w:t>24.5</w:t>
            </w:r>
            <w:r>
              <w:rPr>
                <w:rFonts w:ascii="Times New Roman" w:hAnsi="Times New Roman"/>
                <w:sz w:val="24"/>
                <w:szCs w:val="24"/>
              </w:rPr>
              <w:t>(5.80)</w:t>
            </w:r>
          </w:p>
        </w:tc>
        <w:tc>
          <w:tcPr>
            <w:tcW w:w="810" w:type="dxa"/>
            <w:tcBorders>
              <w:bottom w:val="single" w:sz="4" w:space="0" w:color="auto"/>
            </w:tcBorders>
          </w:tcPr>
          <w:p w14:paraId="4A6F061F" w14:textId="23E8B72D" w:rsidR="00AE6628" w:rsidRPr="00AE6628" w:rsidRDefault="00AE6628"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bCs/>
                <w:sz w:val="24"/>
                <w:szCs w:val="24"/>
              </w:rPr>
            </w:pPr>
            <w:r w:rsidRPr="00AE6628">
              <w:rPr>
                <w:rFonts w:ascii="Times New Roman" w:hAnsi="Times New Roman"/>
                <w:b/>
                <w:bCs/>
                <w:sz w:val="24"/>
                <w:szCs w:val="24"/>
              </w:rPr>
              <w:t>2.29*</w:t>
            </w:r>
          </w:p>
        </w:tc>
      </w:tr>
    </w:tbl>
    <w:p w14:paraId="6DC83A21" w14:textId="434FE928" w:rsidR="00AE6628" w:rsidRPr="000142DE" w:rsidRDefault="00AE6628" w:rsidP="00AE6628">
      <w:pPr>
        <w:pStyle w:val="Body"/>
        <w:rPr>
          <w:rFonts w:ascii="Times New Roman" w:hAnsi="Times New Roman"/>
          <w:sz w:val="24"/>
          <w:szCs w:val="24"/>
        </w:rPr>
      </w:pPr>
      <w:r w:rsidRPr="003F66AF">
        <w:rPr>
          <w:rFonts w:ascii="Times New Roman" w:hAnsi="Times New Roman"/>
          <w:i/>
          <w:iCs/>
          <w:sz w:val="24"/>
          <w:szCs w:val="24"/>
        </w:rPr>
        <w:t>Note</w:t>
      </w:r>
      <w:r>
        <w:rPr>
          <w:rFonts w:ascii="Times New Roman" w:hAnsi="Times New Roman"/>
          <w:sz w:val="24"/>
          <w:szCs w:val="24"/>
        </w:rPr>
        <w:t xml:space="preserve">. ANCOVAs showed that GM youth reported lower satisfaction when controlling for MLM-predicted youth- and caregiver-reported posttreatment symptom severity. </w:t>
      </w:r>
      <w:r>
        <w:rPr>
          <w:rFonts w:ascii="Times New Roman" w:hAnsi="Times New Roman" w:cs="Times New Roman"/>
          <w:sz w:val="24"/>
          <w:szCs w:val="24"/>
        </w:rPr>
        <w:t>These</w:t>
      </w:r>
      <w:r w:rsidRPr="00FA72DF">
        <w:rPr>
          <w:rFonts w:ascii="Times New Roman" w:hAnsi="Times New Roman" w:cs="Times New Roman"/>
          <w:sz w:val="24"/>
          <w:szCs w:val="24"/>
        </w:rPr>
        <w:t xml:space="preserve"> lower </w:t>
      </w:r>
      <w:r w:rsidRPr="00651198">
        <w:rPr>
          <w:rFonts w:ascii="Times New Roman" w:hAnsi="Times New Roman" w:cs="Times New Roman"/>
          <w:sz w:val="24"/>
          <w:szCs w:val="24"/>
        </w:rPr>
        <w:t xml:space="preserve">satisfaction </w:t>
      </w:r>
      <w:r w:rsidRPr="00C708E1">
        <w:rPr>
          <w:rFonts w:ascii="Times New Roman" w:hAnsi="Times New Roman" w:cs="Times New Roman"/>
          <w:sz w:val="24"/>
          <w:szCs w:val="24"/>
        </w:rPr>
        <w:t xml:space="preserve">scores were most prominent </w:t>
      </w:r>
      <w:r w:rsidRPr="003F2FEB">
        <w:rPr>
          <w:rFonts w:ascii="Times New Roman" w:hAnsi="Times New Roman" w:cs="Times New Roman"/>
          <w:sz w:val="24"/>
          <w:szCs w:val="24"/>
        </w:rPr>
        <w:t xml:space="preserve">on the three bolded items. Independent samples </w:t>
      </w:r>
      <w:r w:rsidRPr="003F66AF">
        <w:rPr>
          <w:rFonts w:ascii="Times New Roman" w:hAnsi="Times New Roman" w:cs="Times New Roman"/>
          <w:i/>
          <w:iCs/>
          <w:sz w:val="24"/>
          <w:szCs w:val="24"/>
        </w:rPr>
        <w:t>t</w:t>
      </w:r>
      <w:r w:rsidRPr="00FA72DF">
        <w:rPr>
          <w:rFonts w:ascii="Times New Roman" w:hAnsi="Times New Roman" w:cs="Times New Roman"/>
          <w:sz w:val="24"/>
          <w:szCs w:val="24"/>
        </w:rPr>
        <w:t xml:space="preserve">-tests were </w:t>
      </w:r>
      <w:r w:rsidRPr="00651198">
        <w:rPr>
          <w:rFonts w:ascii="Times New Roman" w:hAnsi="Times New Roman" w:cs="Times New Roman"/>
          <w:sz w:val="24"/>
          <w:szCs w:val="24"/>
        </w:rPr>
        <w:t>used to examine item-level diff</w:t>
      </w:r>
      <w:r w:rsidRPr="00C708E1">
        <w:rPr>
          <w:rFonts w:ascii="Times New Roman" w:hAnsi="Times New Roman" w:cs="Times New Roman"/>
          <w:sz w:val="24"/>
          <w:szCs w:val="24"/>
        </w:rPr>
        <w:t xml:space="preserve">erences, as results did not </w:t>
      </w:r>
      <w:r w:rsidRPr="003F2FEB">
        <w:rPr>
          <w:rFonts w:ascii="Times New Roman" w:hAnsi="Times New Roman" w:cs="Times New Roman"/>
          <w:sz w:val="24"/>
          <w:szCs w:val="24"/>
        </w:rPr>
        <w:t xml:space="preserve">differ from </w:t>
      </w:r>
      <w:r>
        <w:rPr>
          <w:rFonts w:ascii="Times New Roman" w:hAnsi="Times New Roman" w:cs="Times New Roman"/>
          <w:sz w:val="24"/>
          <w:szCs w:val="24"/>
        </w:rPr>
        <w:t>ANCOVAs.</w:t>
      </w:r>
    </w:p>
    <w:p w14:paraId="356AF9B4" w14:textId="77777777" w:rsidR="00AE6628" w:rsidRPr="00FA72DF" w:rsidRDefault="00AE6628" w:rsidP="00AE6628">
      <w:pPr>
        <w:pStyle w:val="Body"/>
        <w:rPr>
          <w:rFonts w:ascii="Times New Roman" w:hAnsi="Times New Roman" w:cs="Times New Roman"/>
          <w:sz w:val="24"/>
          <w:szCs w:val="24"/>
        </w:rPr>
      </w:pPr>
      <w:r w:rsidRPr="003F66AF">
        <w:rPr>
          <w:rFonts w:ascii="Times New Roman" w:hAnsi="Times New Roman" w:cs="Times New Roman"/>
          <w:sz w:val="24"/>
          <w:szCs w:val="24"/>
        </w:rPr>
        <w:t>*</w:t>
      </w:r>
      <w:r w:rsidRPr="003F66AF">
        <w:rPr>
          <w:rFonts w:ascii="Times New Roman" w:hAnsi="Times New Roman" w:cs="Times New Roman"/>
          <w:i/>
          <w:sz w:val="24"/>
          <w:szCs w:val="24"/>
        </w:rPr>
        <w:t>p</w:t>
      </w:r>
      <w:r w:rsidRPr="003F66AF">
        <w:rPr>
          <w:rFonts w:ascii="Times New Roman" w:hAnsi="Times New Roman" w:cs="Times New Roman"/>
          <w:sz w:val="24"/>
          <w:szCs w:val="24"/>
        </w:rPr>
        <w:t xml:space="preserve"> &lt; .05. **</w:t>
      </w:r>
      <w:r w:rsidRPr="003F66AF">
        <w:rPr>
          <w:rFonts w:ascii="Times New Roman" w:hAnsi="Times New Roman" w:cs="Times New Roman"/>
          <w:i/>
          <w:iCs/>
          <w:sz w:val="24"/>
          <w:szCs w:val="24"/>
        </w:rPr>
        <w:t>p</w:t>
      </w:r>
      <w:r w:rsidRPr="003F66AF">
        <w:rPr>
          <w:rFonts w:ascii="Times New Roman" w:hAnsi="Times New Roman" w:cs="Times New Roman"/>
          <w:sz w:val="24"/>
          <w:szCs w:val="24"/>
        </w:rPr>
        <w:t xml:space="preserve"> &lt; .01.</w:t>
      </w:r>
    </w:p>
    <w:p w14:paraId="63FA2FA7" w14:textId="77777777" w:rsidR="00AE6628" w:rsidRDefault="00AE6628" w:rsidP="009E408D">
      <w:pPr>
        <w:rPr>
          <w:b/>
          <w:bCs/>
        </w:rPr>
      </w:pPr>
    </w:p>
    <w:p w14:paraId="1002FB87" w14:textId="77777777" w:rsidR="00AE6628" w:rsidRPr="00AE6628" w:rsidRDefault="00AE6628" w:rsidP="00AE6628">
      <w:pPr>
        <w:jc w:val="center"/>
        <w:rPr>
          <w:b/>
          <w:bCs/>
        </w:rPr>
      </w:pPr>
      <w:r w:rsidRPr="00AE6628">
        <w:rPr>
          <w:b/>
          <w:bCs/>
        </w:rPr>
        <w:t>References</w:t>
      </w:r>
    </w:p>
    <w:p w14:paraId="0738C0EB" w14:textId="77777777" w:rsidR="002B385F" w:rsidRDefault="002B385F" w:rsidP="002B385F">
      <w:pPr>
        <w:rPr>
          <w:highlight w:val="white"/>
        </w:rPr>
      </w:pPr>
      <w:r>
        <w:rPr>
          <w:highlight w:val="white"/>
        </w:rPr>
        <w:t xml:space="preserve">Achenbach, T., &amp; Rescorla, L. (2001). </w:t>
      </w:r>
      <w:r>
        <w:rPr>
          <w:i/>
          <w:highlight w:val="white"/>
        </w:rPr>
        <w:t>The manual for the ASEBA school-age forms &amp; profiles</w:t>
      </w:r>
      <w:r>
        <w:rPr>
          <w:highlight w:val="white"/>
        </w:rPr>
        <w:t xml:space="preserve">. </w:t>
      </w:r>
    </w:p>
    <w:p w14:paraId="74F8C8B5" w14:textId="67FC6B62" w:rsidR="002B385F" w:rsidRPr="002B385F" w:rsidRDefault="002B385F" w:rsidP="002B385F">
      <w:pPr>
        <w:ind w:left="720"/>
        <w:rPr>
          <w:highlight w:val="white"/>
        </w:rPr>
      </w:pPr>
      <w:r>
        <w:rPr>
          <w:highlight w:val="white"/>
        </w:rPr>
        <w:t>Burlington, VT: University of Vermont, Research Center for Children, Youth, &amp; Families.</w:t>
      </w:r>
    </w:p>
    <w:p w14:paraId="5D78260F" w14:textId="0A763C6D" w:rsidR="00AE6628" w:rsidRDefault="00AE6628" w:rsidP="00AE6628">
      <w:r>
        <w:t xml:space="preserve">Hawley, K. M., &amp; Weisz, J. R. (2005). Youth versus parent working alliance in usual clinical </w:t>
      </w:r>
    </w:p>
    <w:p w14:paraId="6558FA3E" w14:textId="77777777" w:rsidR="00AE6628" w:rsidRDefault="00AE6628" w:rsidP="00AE6628">
      <w:pPr>
        <w:ind w:left="720"/>
      </w:pPr>
      <w:r>
        <w:t xml:space="preserve">care: Distinctive associations with retention, satisfaction, and treatment outcome. </w:t>
      </w:r>
      <w:r w:rsidRPr="009E3B72">
        <w:rPr>
          <w:i/>
          <w:iCs/>
        </w:rPr>
        <w:t xml:space="preserve">Journal of </w:t>
      </w:r>
      <w:r>
        <w:rPr>
          <w:i/>
        </w:rPr>
        <w:t>Clinical Child and Adolescent Psychology, 34</w:t>
      </w:r>
      <w:r>
        <w:t xml:space="preserve">(1), 117–128. </w:t>
      </w:r>
      <w:hyperlink r:id="rId22" w:history="1">
        <w:r>
          <w:rPr>
            <w:rStyle w:val="Hyperlink"/>
          </w:rPr>
          <w:t>https://doi.org/10.1207/s15374424jccp3401_11</w:t>
        </w:r>
      </w:hyperlink>
    </w:p>
    <w:p w14:paraId="218512D6" w14:textId="77777777" w:rsidR="00AE6628" w:rsidRDefault="00AE6628" w:rsidP="009E408D">
      <w:pPr>
        <w:rPr>
          <w:b/>
          <w:bCs/>
        </w:rPr>
      </w:pPr>
    </w:p>
    <w:p w14:paraId="09306E51" w14:textId="77777777" w:rsidR="00AE6628" w:rsidRDefault="00AE6628" w:rsidP="009E408D">
      <w:pPr>
        <w:rPr>
          <w:b/>
          <w:bCs/>
        </w:rPr>
      </w:pPr>
    </w:p>
    <w:p w14:paraId="2204D359" w14:textId="77777777" w:rsidR="00AE6628" w:rsidRDefault="00AE6628" w:rsidP="009E408D">
      <w:pPr>
        <w:rPr>
          <w:b/>
          <w:bCs/>
        </w:rPr>
      </w:pPr>
    </w:p>
    <w:p w14:paraId="2E2CC078" w14:textId="77777777" w:rsidR="00AE6628" w:rsidRDefault="00AE6628" w:rsidP="009E408D">
      <w:pPr>
        <w:rPr>
          <w:b/>
          <w:bCs/>
        </w:rPr>
      </w:pPr>
    </w:p>
    <w:p w14:paraId="20A3C4D1" w14:textId="77777777" w:rsidR="0056129A" w:rsidRDefault="0056129A" w:rsidP="009E408D">
      <w:pPr>
        <w:rPr>
          <w:b/>
          <w:bCs/>
        </w:rPr>
      </w:pPr>
    </w:p>
    <w:p w14:paraId="7713B901" w14:textId="0CDD2C1E" w:rsidR="00C7166E" w:rsidRPr="00A71D14" w:rsidRDefault="00764036" w:rsidP="00C7166E">
      <w:pPr>
        <w:pStyle w:val="Body"/>
        <w:rPr>
          <w:rFonts w:ascii="Times New Roman" w:hAnsi="Times New Roman" w:cs="Times New Roman"/>
          <w:b/>
          <w:bCs/>
          <w:sz w:val="24"/>
          <w:szCs w:val="24"/>
        </w:rPr>
      </w:pPr>
      <w:r>
        <w:rPr>
          <w:rFonts w:ascii="Times New Roman" w:hAnsi="Times New Roman" w:cs="Times New Roman"/>
          <w:b/>
          <w:bCs/>
          <w:sz w:val="24"/>
          <w:szCs w:val="24"/>
        </w:rPr>
        <w:lastRenderedPageBreak/>
        <w:t>Supplemental Part II</w:t>
      </w:r>
      <w:r w:rsidR="00C7166E" w:rsidRPr="001A6031">
        <w:rPr>
          <w:rFonts w:ascii="Times New Roman" w:hAnsi="Times New Roman" w:cs="Times New Roman"/>
          <w:b/>
          <w:bCs/>
          <w:sz w:val="24"/>
          <w:szCs w:val="24"/>
        </w:rPr>
        <w:t xml:space="preserve">. Treatment Duration </w:t>
      </w:r>
      <w:r w:rsidR="00C7166E">
        <w:rPr>
          <w:rFonts w:ascii="Times New Roman" w:hAnsi="Times New Roman" w:cs="Times New Roman"/>
          <w:b/>
          <w:bCs/>
          <w:sz w:val="24"/>
          <w:szCs w:val="24"/>
        </w:rPr>
        <w:t>as an Indicator of Acceptability</w:t>
      </w:r>
    </w:p>
    <w:p w14:paraId="4AAD4FE0" w14:textId="300D0856" w:rsidR="00C7166E" w:rsidRPr="001A6031" w:rsidRDefault="00C7166E" w:rsidP="00C7166E">
      <w:pPr>
        <w:pStyle w:val="Body"/>
        <w:ind w:firstLine="720"/>
        <w:rPr>
          <w:rFonts w:ascii="Times New Roman" w:hAnsi="Times New Roman" w:cs="Times New Roman"/>
          <w:sz w:val="24"/>
          <w:szCs w:val="24"/>
        </w:rPr>
      </w:pPr>
      <w:r w:rsidRPr="001A6031">
        <w:rPr>
          <w:rFonts w:ascii="Times New Roman" w:hAnsi="Times New Roman" w:cs="Times New Roman"/>
          <w:sz w:val="24"/>
          <w:szCs w:val="24"/>
        </w:rPr>
        <w:t xml:space="preserve">Treatment duration, in days and sessions attended, was examined as a potential indicator of acceptability. Though youth psychotherapy duration is perhaps most robustly related to pretreatment characteristics (e.g., initial symptom severity; Brookman-Frazee et al., 2008), it has also been associated with youth- and caregiver-reported satisfaction (Garland et al., 2000; Garland et al., 2007). </w:t>
      </w:r>
      <w:r w:rsidR="00BA7F8D">
        <w:rPr>
          <w:rFonts w:ascii="Times New Roman" w:hAnsi="Times New Roman" w:cs="Times New Roman"/>
          <w:sz w:val="24"/>
          <w:szCs w:val="24"/>
        </w:rPr>
        <w:t>Mo</w:t>
      </w:r>
      <w:r w:rsidRPr="001A6031">
        <w:rPr>
          <w:rFonts w:ascii="Times New Roman" w:hAnsi="Times New Roman" w:cs="Times New Roman"/>
          <w:sz w:val="24"/>
          <w:szCs w:val="24"/>
        </w:rPr>
        <w:t>dular EST ha</w:t>
      </w:r>
      <w:r>
        <w:rPr>
          <w:rFonts w:ascii="Times New Roman" w:hAnsi="Times New Roman" w:cs="Times New Roman"/>
          <w:sz w:val="24"/>
          <w:szCs w:val="24"/>
        </w:rPr>
        <w:t>s</w:t>
      </w:r>
      <w:r w:rsidRPr="001A6031">
        <w:rPr>
          <w:rFonts w:ascii="Times New Roman" w:hAnsi="Times New Roman" w:cs="Times New Roman"/>
          <w:sz w:val="24"/>
          <w:szCs w:val="24"/>
        </w:rPr>
        <w:t xml:space="preserve"> been shown to be more efficient than standard ESTs</w:t>
      </w:r>
      <w:r>
        <w:rPr>
          <w:rFonts w:ascii="Times New Roman" w:hAnsi="Times New Roman" w:cs="Times New Roman"/>
          <w:sz w:val="24"/>
          <w:szCs w:val="24"/>
        </w:rPr>
        <w:t xml:space="preserve"> in one study</w:t>
      </w:r>
      <w:r w:rsidRPr="001A6031">
        <w:rPr>
          <w:rFonts w:ascii="Times New Roman" w:hAnsi="Times New Roman" w:cs="Times New Roman"/>
          <w:sz w:val="24"/>
          <w:szCs w:val="24"/>
        </w:rPr>
        <w:t xml:space="preserve"> (i.e., requiring fewer days/sessions; </w:t>
      </w:r>
      <w:proofErr w:type="spellStart"/>
      <w:r w:rsidRPr="001A6031">
        <w:rPr>
          <w:rFonts w:ascii="Times New Roman" w:hAnsi="Times New Roman" w:cs="Times New Roman"/>
          <w:sz w:val="24"/>
          <w:szCs w:val="24"/>
        </w:rPr>
        <w:t>Chorpita</w:t>
      </w:r>
      <w:proofErr w:type="spellEnd"/>
      <w:r w:rsidRPr="001A6031">
        <w:rPr>
          <w:rFonts w:ascii="Times New Roman" w:hAnsi="Times New Roman" w:cs="Times New Roman"/>
          <w:sz w:val="24"/>
          <w:szCs w:val="24"/>
        </w:rPr>
        <w:t xml:space="preserve"> et al., 2017)</w:t>
      </w:r>
      <w:r w:rsidR="00BA7F8D">
        <w:rPr>
          <w:rFonts w:ascii="Times New Roman" w:hAnsi="Times New Roman" w:cs="Times New Roman"/>
          <w:sz w:val="24"/>
          <w:szCs w:val="24"/>
        </w:rPr>
        <w:t>. However,</w:t>
      </w:r>
      <w:r w:rsidRPr="001A6031">
        <w:rPr>
          <w:rFonts w:ascii="Times New Roman" w:hAnsi="Times New Roman" w:cs="Times New Roman"/>
          <w:sz w:val="24"/>
          <w:szCs w:val="24"/>
        </w:rPr>
        <w:t xml:space="preserve"> duration did not vary </w:t>
      </w:r>
      <w:r>
        <w:rPr>
          <w:rFonts w:ascii="Times New Roman" w:hAnsi="Times New Roman" w:cs="Times New Roman"/>
          <w:sz w:val="24"/>
          <w:szCs w:val="24"/>
        </w:rPr>
        <w:t>across</w:t>
      </w:r>
      <w:r w:rsidRPr="001A6031">
        <w:rPr>
          <w:rFonts w:ascii="Times New Roman" w:hAnsi="Times New Roman" w:cs="Times New Roman"/>
          <w:sz w:val="24"/>
          <w:szCs w:val="24"/>
        </w:rPr>
        <w:t xml:space="preserve"> EST conditions in the present study, allowing for comparisons between GM and CG youth</w:t>
      </w:r>
      <w:r>
        <w:rPr>
          <w:rFonts w:ascii="Times New Roman" w:hAnsi="Times New Roman" w:cs="Times New Roman"/>
          <w:sz w:val="24"/>
          <w:szCs w:val="24"/>
        </w:rPr>
        <w:t xml:space="preserve"> regardless of EST condition</w:t>
      </w:r>
      <w:r w:rsidRPr="001A6031">
        <w:rPr>
          <w:rFonts w:ascii="Times New Roman" w:hAnsi="Times New Roman" w:cs="Times New Roman"/>
          <w:sz w:val="24"/>
          <w:szCs w:val="24"/>
        </w:rPr>
        <w:t xml:space="preserve">. </w:t>
      </w:r>
    </w:p>
    <w:p w14:paraId="75DE2F98" w14:textId="48C3F943" w:rsidR="00C7166E" w:rsidRPr="001A6031" w:rsidRDefault="00C7166E" w:rsidP="00C7166E">
      <w:pPr>
        <w:pStyle w:val="Body"/>
        <w:ind w:firstLine="720"/>
        <w:rPr>
          <w:rFonts w:ascii="Times New Roman" w:hAnsi="Times New Roman" w:cs="Times New Roman"/>
          <w:sz w:val="24"/>
          <w:szCs w:val="24"/>
        </w:rPr>
      </w:pPr>
      <w:r w:rsidRPr="001A6031">
        <w:rPr>
          <w:rFonts w:ascii="Times New Roman" w:hAnsi="Times New Roman" w:cs="Times New Roman"/>
          <w:sz w:val="24"/>
          <w:szCs w:val="24"/>
        </w:rPr>
        <w:t xml:space="preserve">Group differences in treatment duration were evaluated via ANCOVA, controlling for pretreatment symptom severity, as greater </w:t>
      </w:r>
      <w:r>
        <w:rPr>
          <w:rFonts w:ascii="Times New Roman" w:hAnsi="Times New Roman" w:cs="Times New Roman"/>
          <w:sz w:val="24"/>
          <w:szCs w:val="24"/>
        </w:rPr>
        <w:t xml:space="preserve">initial </w:t>
      </w:r>
      <w:r w:rsidRPr="001A6031">
        <w:rPr>
          <w:rFonts w:ascii="Times New Roman" w:hAnsi="Times New Roman" w:cs="Times New Roman"/>
          <w:sz w:val="24"/>
          <w:szCs w:val="24"/>
        </w:rPr>
        <w:t>symptom severity might necessitate more sessions and span more days.</w:t>
      </w:r>
      <w:r>
        <w:rPr>
          <w:rFonts w:ascii="Times New Roman" w:hAnsi="Times New Roman" w:cs="Times New Roman"/>
          <w:sz w:val="24"/>
          <w:szCs w:val="24"/>
        </w:rPr>
        <w:t xml:space="preserve"> </w:t>
      </w:r>
      <w:r w:rsidRPr="001A6031">
        <w:rPr>
          <w:rFonts w:ascii="Times New Roman" w:hAnsi="Times New Roman" w:cs="Times New Roman"/>
          <w:sz w:val="24"/>
          <w:szCs w:val="24"/>
        </w:rPr>
        <w:t>Across the full sample, duration ranged from 8 to 589 days (</w:t>
      </w:r>
      <w:r w:rsidRPr="00335A27">
        <w:rPr>
          <w:rFonts w:ascii="Times New Roman" w:hAnsi="Times New Roman" w:cs="Times New Roman"/>
          <w:i/>
          <w:iCs/>
          <w:sz w:val="24"/>
          <w:szCs w:val="24"/>
        </w:rPr>
        <w:t>M</w:t>
      </w:r>
      <w:r w:rsidRPr="001A6031">
        <w:rPr>
          <w:rFonts w:ascii="Times New Roman" w:hAnsi="Times New Roman" w:cs="Times New Roman"/>
          <w:sz w:val="24"/>
          <w:szCs w:val="24"/>
        </w:rPr>
        <w:t xml:space="preserve"> = 201.7, </w:t>
      </w:r>
      <w:r w:rsidRPr="00335A27">
        <w:rPr>
          <w:rFonts w:ascii="Times New Roman" w:hAnsi="Times New Roman" w:cs="Times New Roman"/>
          <w:i/>
          <w:iCs/>
          <w:sz w:val="24"/>
          <w:szCs w:val="24"/>
        </w:rPr>
        <w:t>SD</w:t>
      </w:r>
      <w:r w:rsidRPr="001A6031">
        <w:rPr>
          <w:rFonts w:ascii="Times New Roman" w:hAnsi="Times New Roman" w:cs="Times New Roman"/>
          <w:sz w:val="24"/>
          <w:szCs w:val="24"/>
        </w:rPr>
        <w:t xml:space="preserve"> = 111.5) and did not significantly differ between CG (</w:t>
      </w:r>
      <w:r w:rsidRPr="00335A27">
        <w:rPr>
          <w:rFonts w:ascii="Times New Roman" w:hAnsi="Times New Roman" w:cs="Times New Roman"/>
          <w:i/>
          <w:iCs/>
          <w:sz w:val="24"/>
          <w:szCs w:val="24"/>
        </w:rPr>
        <w:t>M</w:t>
      </w:r>
      <w:r w:rsidRPr="001A6031">
        <w:rPr>
          <w:rFonts w:ascii="Times New Roman" w:hAnsi="Times New Roman" w:cs="Times New Roman"/>
          <w:sz w:val="24"/>
          <w:szCs w:val="24"/>
        </w:rPr>
        <w:t xml:space="preserve"> = 202.7, </w:t>
      </w:r>
      <w:r w:rsidRPr="00335A27">
        <w:rPr>
          <w:rFonts w:ascii="Times New Roman" w:hAnsi="Times New Roman" w:cs="Times New Roman"/>
          <w:i/>
          <w:iCs/>
          <w:sz w:val="24"/>
          <w:szCs w:val="24"/>
        </w:rPr>
        <w:t>SD</w:t>
      </w:r>
      <w:r w:rsidRPr="001A6031">
        <w:rPr>
          <w:rFonts w:ascii="Times New Roman" w:hAnsi="Times New Roman" w:cs="Times New Roman"/>
          <w:sz w:val="24"/>
          <w:szCs w:val="24"/>
        </w:rPr>
        <w:t xml:space="preserve"> = 112.0) and GM (</w:t>
      </w:r>
      <w:r w:rsidRPr="00335A27">
        <w:rPr>
          <w:rFonts w:ascii="Times New Roman" w:hAnsi="Times New Roman" w:cs="Times New Roman"/>
          <w:i/>
          <w:iCs/>
          <w:sz w:val="24"/>
          <w:szCs w:val="24"/>
        </w:rPr>
        <w:t>M</w:t>
      </w:r>
      <w:r w:rsidRPr="001A6031">
        <w:rPr>
          <w:rFonts w:ascii="Times New Roman" w:hAnsi="Times New Roman" w:cs="Times New Roman"/>
          <w:sz w:val="24"/>
          <w:szCs w:val="24"/>
        </w:rPr>
        <w:t xml:space="preserve"> = 196.2, </w:t>
      </w:r>
      <w:r w:rsidRPr="00335A27">
        <w:rPr>
          <w:rFonts w:ascii="Times New Roman" w:hAnsi="Times New Roman" w:cs="Times New Roman"/>
          <w:i/>
          <w:iCs/>
          <w:sz w:val="24"/>
          <w:szCs w:val="24"/>
        </w:rPr>
        <w:t>SD</w:t>
      </w:r>
      <w:r w:rsidRPr="001A6031">
        <w:rPr>
          <w:rFonts w:ascii="Times New Roman" w:hAnsi="Times New Roman" w:cs="Times New Roman"/>
          <w:sz w:val="24"/>
          <w:szCs w:val="24"/>
        </w:rPr>
        <w:t xml:space="preserve"> = 109.8) youth (see Table S5). </w:t>
      </w:r>
      <w:r>
        <w:rPr>
          <w:rFonts w:ascii="Times New Roman" w:hAnsi="Times New Roman" w:cs="Times New Roman"/>
          <w:sz w:val="24"/>
          <w:szCs w:val="24"/>
        </w:rPr>
        <w:t>Similarly,</w:t>
      </w:r>
      <w:r w:rsidRPr="001A6031">
        <w:rPr>
          <w:rFonts w:ascii="Times New Roman" w:hAnsi="Times New Roman" w:cs="Times New Roman"/>
          <w:sz w:val="24"/>
          <w:szCs w:val="24"/>
        </w:rPr>
        <w:t xml:space="preserve"> number of sessions attended, rang</w:t>
      </w:r>
      <w:r>
        <w:rPr>
          <w:rFonts w:ascii="Times New Roman" w:hAnsi="Times New Roman" w:cs="Times New Roman"/>
          <w:sz w:val="24"/>
          <w:szCs w:val="24"/>
        </w:rPr>
        <w:t>ing</w:t>
      </w:r>
      <w:r w:rsidRPr="001A6031">
        <w:rPr>
          <w:rFonts w:ascii="Times New Roman" w:hAnsi="Times New Roman" w:cs="Times New Roman"/>
          <w:sz w:val="24"/>
          <w:szCs w:val="24"/>
        </w:rPr>
        <w:t xml:space="preserve"> from 1 to 87 sessions (</w:t>
      </w:r>
      <w:r w:rsidRPr="00335A27">
        <w:rPr>
          <w:rFonts w:ascii="Times New Roman" w:hAnsi="Times New Roman" w:cs="Times New Roman"/>
          <w:i/>
          <w:iCs/>
          <w:sz w:val="24"/>
          <w:szCs w:val="24"/>
        </w:rPr>
        <w:t>M</w:t>
      </w:r>
      <w:r w:rsidRPr="001A6031">
        <w:rPr>
          <w:rFonts w:ascii="Times New Roman" w:hAnsi="Times New Roman" w:cs="Times New Roman"/>
          <w:sz w:val="24"/>
          <w:szCs w:val="24"/>
        </w:rPr>
        <w:t xml:space="preserve"> = 14.5, </w:t>
      </w:r>
      <w:r w:rsidRPr="00335A27">
        <w:rPr>
          <w:rFonts w:ascii="Times New Roman" w:hAnsi="Times New Roman" w:cs="Times New Roman"/>
          <w:i/>
          <w:iCs/>
          <w:sz w:val="24"/>
          <w:szCs w:val="24"/>
        </w:rPr>
        <w:t>SD</w:t>
      </w:r>
      <w:r w:rsidRPr="001A6031">
        <w:rPr>
          <w:rFonts w:ascii="Times New Roman" w:hAnsi="Times New Roman" w:cs="Times New Roman"/>
          <w:sz w:val="24"/>
          <w:szCs w:val="24"/>
        </w:rPr>
        <w:t xml:space="preserve"> = 10.9), did not significantly vary across CG (</w:t>
      </w:r>
      <w:r w:rsidRPr="00335A27">
        <w:rPr>
          <w:rFonts w:ascii="Times New Roman" w:hAnsi="Times New Roman" w:cs="Times New Roman"/>
          <w:i/>
          <w:iCs/>
          <w:sz w:val="24"/>
          <w:szCs w:val="24"/>
        </w:rPr>
        <w:t>M</w:t>
      </w:r>
      <w:r w:rsidRPr="001A6031">
        <w:rPr>
          <w:rFonts w:ascii="Times New Roman" w:hAnsi="Times New Roman" w:cs="Times New Roman"/>
          <w:sz w:val="24"/>
          <w:szCs w:val="24"/>
        </w:rPr>
        <w:t xml:space="preserve"> = 14.6, </w:t>
      </w:r>
      <w:r w:rsidRPr="00335A27">
        <w:rPr>
          <w:rFonts w:ascii="Times New Roman" w:hAnsi="Times New Roman" w:cs="Times New Roman"/>
          <w:i/>
          <w:iCs/>
          <w:sz w:val="24"/>
          <w:szCs w:val="24"/>
        </w:rPr>
        <w:t>SD</w:t>
      </w:r>
      <w:r w:rsidRPr="001A6031">
        <w:rPr>
          <w:rFonts w:ascii="Times New Roman" w:hAnsi="Times New Roman" w:cs="Times New Roman"/>
          <w:sz w:val="24"/>
          <w:szCs w:val="24"/>
        </w:rPr>
        <w:t xml:space="preserve"> = 10.3) and GM (</w:t>
      </w:r>
      <w:r w:rsidRPr="001A6031">
        <w:rPr>
          <w:rFonts w:ascii="Times New Roman" w:hAnsi="Times New Roman" w:cs="Times New Roman"/>
          <w:i/>
          <w:iCs/>
          <w:sz w:val="24"/>
          <w:szCs w:val="24"/>
        </w:rPr>
        <w:t>M</w:t>
      </w:r>
      <w:r w:rsidRPr="001A6031">
        <w:rPr>
          <w:rFonts w:ascii="Times New Roman" w:hAnsi="Times New Roman" w:cs="Times New Roman"/>
          <w:sz w:val="24"/>
          <w:szCs w:val="24"/>
        </w:rPr>
        <w:t xml:space="preserve"> = 14.2, </w:t>
      </w:r>
      <w:r w:rsidRPr="001A6031">
        <w:rPr>
          <w:rFonts w:ascii="Times New Roman" w:hAnsi="Times New Roman" w:cs="Times New Roman"/>
          <w:i/>
          <w:iCs/>
          <w:sz w:val="24"/>
          <w:szCs w:val="24"/>
        </w:rPr>
        <w:t>SD</w:t>
      </w:r>
      <w:r w:rsidRPr="001A6031">
        <w:rPr>
          <w:rFonts w:ascii="Times New Roman" w:hAnsi="Times New Roman" w:cs="Times New Roman"/>
          <w:sz w:val="24"/>
          <w:szCs w:val="24"/>
        </w:rPr>
        <w:t xml:space="preserve"> = 14.1) groups (see Table S5).</w:t>
      </w:r>
    </w:p>
    <w:p w14:paraId="67D4D7A6" w14:textId="26FCDD28" w:rsidR="00C7166E" w:rsidRPr="001A6031" w:rsidRDefault="00C7166E" w:rsidP="00C7166E">
      <w:pPr>
        <w:ind w:firstLine="720"/>
      </w:pPr>
      <w:r>
        <w:t>Though treatment duration has been utilized as</w:t>
      </w:r>
      <w:r w:rsidRPr="001A6031">
        <w:t xml:space="preserve"> a</w:t>
      </w:r>
      <w:r w:rsidR="00BA7F8D">
        <w:t>n</w:t>
      </w:r>
      <w:r w:rsidRPr="001A6031">
        <w:t xml:space="preserve"> </w:t>
      </w:r>
      <w:r w:rsidR="00BA7F8D">
        <w:t>indicator</w:t>
      </w:r>
      <w:r w:rsidRPr="001A6031">
        <w:t xml:space="preserve"> of youth satisfaction with mental health treatment</w:t>
      </w:r>
      <w:r>
        <w:t xml:space="preserve"> previously</w:t>
      </w:r>
      <w:r w:rsidRPr="001A6031">
        <w:t xml:space="preserve"> (</w:t>
      </w:r>
      <w:r>
        <w:t xml:space="preserve">e.g., </w:t>
      </w:r>
      <w:r w:rsidRPr="001A6031">
        <w:t xml:space="preserve">Garland et al., 2007), the course and length of treatment is highly variable </w:t>
      </w:r>
      <w:r>
        <w:t>withi</w:t>
      </w:r>
      <w:r w:rsidRPr="001A6031">
        <w:t xml:space="preserve">n modular ESTs (the condition to which most </w:t>
      </w:r>
      <w:r>
        <w:t>youth</w:t>
      </w:r>
      <w:r w:rsidRPr="001A6031">
        <w:t xml:space="preserve"> were allocated</w:t>
      </w:r>
      <w:r>
        <w:t xml:space="preserve"> in the present study</w:t>
      </w:r>
      <w:r w:rsidRPr="001A6031">
        <w:t>), as therapists have flexibility in selecting and implementing the most appropriate modules (Weisz et al., 201</w:t>
      </w:r>
      <w:r>
        <w:t>9</w:t>
      </w:r>
      <w:r w:rsidRPr="001A6031">
        <w:t xml:space="preserve">). Thus, </w:t>
      </w:r>
      <w:r>
        <w:t>similar</w:t>
      </w:r>
      <w:r w:rsidRPr="001A6031">
        <w:t xml:space="preserve"> duration across </w:t>
      </w:r>
      <w:r>
        <w:t>CG and GM youth</w:t>
      </w:r>
      <w:r w:rsidRPr="001A6031">
        <w:t xml:space="preserve"> is difficult to interpret</w:t>
      </w:r>
      <w:r>
        <w:t>.</w:t>
      </w:r>
      <w:r w:rsidRPr="001A6031">
        <w:t xml:space="preserve"> </w:t>
      </w:r>
      <w:r w:rsidR="00BA7F8D">
        <w:t>While this finding may suggest comparable levels of satisfaction, it may be confounded by other factors associated with treatment duration, such as case complexity (e.g., comorbidity). Instead, treatment retention (</w:t>
      </w:r>
      <w:r w:rsidR="00127CC0">
        <w:t>i</w:t>
      </w:r>
      <w:r w:rsidR="00BA7F8D">
        <w:t>.</w:t>
      </w:r>
      <w:r w:rsidR="00127CC0">
        <w:t>e</w:t>
      </w:r>
      <w:r w:rsidR="00BA7F8D">
        <w:t xml:space="preserve">., the </w:t>
      </w:r>
      <w:r>
        <w:t xml:space="preserve">proportion of youth retained though completion), which was not </w:t>
      </w:r>
      <w:r w:rsidR="00BA7F8D">
        <w:t xml:space="preserve">collected </w:t>
      </w:r>
      <w:r>
        <w:t>consistently across RCTs</w:t>
      </w:r>
      <w:r w:rsidR="00BA7F8D">
        <w:t xml:space="preserve"> in the present study, </w:t>
      </w:r>
      <w:r>
        <w:t>might better reflect satisfaction and should be</w:t>
      </w:r>
      <w:r w:rsidR="00BA7F8D">
        <w:t xml:space="preserve"> examined</w:t>
      </w:r>
      <w:r>
        <w:t xml:space="preserve"> in future studies.     </w:t>
      </w:r>
    </w:p>
    <w:p w14:paraId="6B61D7D7" w14:textId="77777777" w:rsidR="00C7166E" w:rsidRPr="00E51B37" w:rsidRDefault="00C7166E" w:rsidP="00C7166E">
      <w:pPr>
        <w:pStyle w:val="Body"/>
        <w:ind w:firstLine="720"/>
        <w:rPr>
          <w:rFonts w:ascii="Times New Roman" w:hAnsi="Times New Roman" w:cs="Times New Roman"/>
          <w:b/>
          <w:bCs/>
          <w:sz w:val="24"/>
          <w:szCs w:val="24"/>
        </w:rPr>
      </w:pPr>
    </w:p>
    <w:p w14:paraId="23A23976" w14:textId="77777777" w:rsidR="00C7166E" w:rsidRDefault="00C7166E" w:rsidP="00C7166E">
      <w:pPr>
        <w:pStyle w:val="Body"/>
        <w:jc w:val="center"/>
        <w:rPr>
          <w:rFonts w:ascii="Times New Roman" w:hAnsi="Times New Roman"/>
          <w:b/>
          <w:bCs/>
          <w:sz w:val="24"/>
          <w:szCs w:val="24"/>
        </w:rPr>
      </w:pPr>
      <w:r>
        <w:rPr>
          <w:rFonts w:ascii="Times New Roman" w:hAnsi="Times New Roman"/>
          <w:b/>
          <w:bCs/>
          <w:sz w:val="24"/>
          <w:szCs w:val="24"/>
        </w:rPr>
        <w:t>References</w:t>
      </w:r>
    </w:p>
    <w:p w14:paraId="21831C24" w14:textId="77777777" w:rsidR="00C7166E" w:rsidRDefault="00C7166E" w:rsidP="00C7166E">
      <w:r>
        <w:t xml:space="preserve">Brookman-Frazee, L., </w:t>
      </w:r>
      <w:proofErr w:type="spellStart"/>
      <w:r>
        <w:t>Haine</w:t>
      </w:r>
      <w:proofErr w:type="spellEnd"/>
      <w:r>
        <w:t xml:space="preserve">, R. A., </w:t>
      </w:r>
      <w:proofErr w:type="spellStart"/>
      <w:r>
        <w:t>Gabayan</w:t>
      </w:r>
      <w:proofErr w:type="spellEnd"/>
      <w:r>
        <w:t xml:space="preserve">, E. N., &amp; Garland, A. F. (2008). Predicting </w:t>
      </w:r>
    </w:p>
    <w:p w14:paraId="3DDB545D" w14:textId="77777777" w:rsidR="00C7166E" w:rsidRDefault="00C7166E" w:rsidP="00C7166E">
      <w:pPr>
        <w:ind w:left="720"/>
      </w:pPr>
      <w:r>
        <w:t xml:space="preserve">frequency of treatment visits in community-based youth psychotherapy. </w:t>
      </w:r>
      <w:r w:rsidRPr="008001E0">
        <w:rPr>
          <w:i/>
          <w:iCs/>
        </w:rPr>
        <w:t>Psychological Services, 5</w:t>
      </w:r>
      <w:r w:rsidRPr="00817A12">
        <w:t>(</w:t>
      </w:r>
      <w:r>
        <w:t xml:space="preserve">2), 126–138. </w:t>
      </w:r>
      <w:hyperlink r:id="rId23" w:history="1">
        <w:r>
          <w:rPr>
            <w:rStyle w:val="Hyperlink"/>
          </w:rPr>
          <w:t>https://dx.doi.org/10.1037%2F1541-1559.5.2.126</w:t>
        </w:r>
      </w:hyperlink>
      <w:r>
        <w:t xml:space="preserve">   </w:t>
      </w:r>
    </w:p>
    <w:p w14:paraId="224051F9" w14:textId="77777777" w:rsidR="00C7166E" w:rsidRDefault="00C7166E" w:rsidP="00C7166E">
      <w:proofErr w:type="spellStart"/>
      <w:r>
        <w:t>Chorpita</w:t>
      </w:r>
      <w:proofErr w:type="spellEnd"/>
      <w:r>
        <w:t xml:space="preserve">, B. F., Daleiden, E. L., Park, A. L., Ward, A. M., Levy, M. C., </w:t>
      </w:r>
      <w:proofErr w:type="spellStart"/>
      <w:r>
        <w:t>Cromley</w:t>
      </w:r>
      <w:proofErr w:type="spellEnd"/>
      <w:r>
        <w:t xml:space="preserve">, T., Chiu, A. </w:t>
      </w:r>
    </w:p>
    <w:p w14:paraId="18957D4C" w14:textId="77777777" w:rsidR="00C7166E" w:rsidRDefault="00C7166E" w:rsidP="00C7166E">
      <w:pPr>
        <w:ind w:left="720"/>
      </w:pPr>
      <w:r>
        <w:t xml:space="preserve">W., </w:t>
      </w:r>
      <w:proofErr w:type="spellStart"/>
      <w:r>
        <w:t>Letamendi</w:t>
      </w:r>
      <w:proofErr w:type="spellEnd"/>
      <w:r>
        <w:t xml:space="preserve">, A. M., Tsai, K. H., &amp; Krull, J. L. (2017). Child STEPs in California: A cluster randomized effectiveness trial comparing modular treatment with community implemented treatment for youth with anxiety, depression, conduct problems, or traumatic stress. </w:t>
      </w:r>
      <w:r>
        <w:rPr>
          <w:i/>
        </w:rPr>
        <w:t>Journal of Consulting and Clinical Psychology,</w:t>
      </w:r>
      <w:r>
        <w:t xml:space="preserve"> </w:t>
      </w:r>
      <w:r>
        <w:rPr>
          <w:i/>
        </w:rPr>
        <w:t>85</w:t>
      </w:r>
      <w:r>
        <w:t xml:space="preserve">(1), 13–25. </w:t>
      </w:r>
      <w:hyperlink r:id="rId24" w:history="1">
        <w:r>
          <w:rPr>
            <w:rStyle w:val="Hyperlink"/>
          </w:rPr>
          <w:t>https://doi.org/10.1037/ccp0000133</w:t>
        </w:r>
      </w:hyperlink>
    </w:p>
    <w:p w14:paraId="39F49D28" w14:textId="77777777" w:rsidR="00C7166E" w:rsidRDefault="00C7166E" w:rsidP="00C7166E">
      <w:r>
        <w:t xml:space="preserve">Garland, A. F., Aarons, G. A., Saltzman, M. D., &amp; Kruse, M. I. (2000). Correlates of </w:t>
      </w:r>
    </w:p>
    <w:p w14:paraId="783DEB7C" w14:textId="77777777" w:rsidR="00C7166E" w:rsidRDefault="00C7166E" w:rsidP="00C7166E">
      <w:pPr>
        <w:ind w:left="720"/>
      </w:pPr>
      <w:r>
        <w:t xml:space="preserve">adolescents’ satisfaction with mental health services. </w:t>
      </w:r>
      <w:r w:rsidRPr="00F75F18">
        <w:rPr>
          <w:i/>
          <w:iCs/>
        </w:rPr>
        <w:t>Mental Health Services Research, 2</w:t>
      </w:r>
      <w:r>
        <w:t xml:space="preserve">(3), 127–139. </w:t>
      </w:r>
      <w:hyperlink r:id="rId25" w:history="1">
        <w:r>
          <w:rPr>
            <w:rStyle w:val="Hyperlink"/>
          </w:rPr>
          <w:t>https://doi.org/10.1023/a:1010137725958</w:t>
        </w:r>
      </w:hyperlink>
      <w:r>
        <w:t xml:space="preserve"> </w:t>
      </w:r>
    </w:p>
    <w:p w14:paraId="7A7FD9B9" w14:textId="77777777" w:rsidR="00C7166E" w:rsidRDefault="00C7166E" w:rsidP="00C7166E">
      <w:r>
        <w:t xml:space="preserve">Garland, A. F., </w:t>
      </w:r>
      <w:proofErr w:type="spellStart"/>
      <w:r>
        <w:t>Haine</w:t>
      </w:r>
      <w:proofErr w:type="spellEnd"/>
      <w:r>
        <w:t xml:space="preserve">, R. A., </w:t>
      </w:r>
      <w:proofErr w:type="spellStart"/>
      <w:r>
        <w:t>Lewczyk</w:t>
      </w:r>
      <w:proofErr w:type="spellEnd"/>
      <w:r>
        <w:t xml:space="preserve"> </w:t>
      </w:r>
      <w:proofErr w:type="spellStart"/>
      <w:r>
        <w:t>Boxmeyer</w:t>
      </w:r>
      <w:proofErr w:type="spellEnd"/>
      <w:r>
        <w:t xml:space="preserve">, C., &amp; Child and Adolescent Services </w:t>
      </w:r>
    </w:p>
    <w:p w14:paraId="15D07AC8" w14:textId="77777777" w:rsidR="00C7166E" w:rsidRDefault="00C7166E" w:rsidP="00C7166E">
      <w:pPr>
        <w:ind w:left="720"/>
      </w:pPr>
      <w:r>
        <w:t xml:space="preserve">Research Center. (2007). Determinants of youth and parent satisfaction in usual care psychotherapy. </w:t>
      </w:r>
      <w:r w:rsidRPr="00F75F18">
        <w:rPr>
          <w:i/>
          <w:iCs/>
        </w:rPr>
        <w:t>Evaluation and Program Planning, 30</w:t>
      </w:r>
      <w:r>
        <w:t xml:space="preserve">(1), 45–54. </w:t>
      </w:r>
      <w:hyperlink r:id="rId26" w:history="1">
        <w:r>
          <w:rPr>
            <w:rStyle w:val="Hyperlink"/>
          </w:rPr>
          <w:t>https://dx.doi.org/10.1016%2Fj.evalprogplan.2006.10.003</w:t>
        </w:r>
      </w:hyperlink>
      <w:r>
        <w:t xml:space="preserve"> </w:t>
      </w:r>
    </w:p>
    <w:p w14:paraId="7BEC139F" w14:textId="77777777" w:rsidR="00C7166E" w:rsidRDefault="00C7166E" w:rsidP="00C7166E">
      <w:r>
        <w:t xml:space="preserve">Weisz, J. R., Bearman, S. K., </w:t>
      </w:r>
      <w:proofErr w:type="spellStart"/>
      <w:r>
        <w:t>Ugueto</w:t>
      </w:r>
      <w:proofErr w:type="spellEnd"/>
      <w:r>
        <w:t xml:space="preserve">, A. M., </w:t>
      </w:r>
      <w:proofErr w:type="spellStart"/>
      <w:r>
        <w:t>Herren</w:t>
      </w:r>
      <w:proofErr w:type="spellEnd"/>
      <w:r>
        <w:t xml:space="preserve">, J. A., Evans, S. C., </w:t>
      </w:r>
      <w:proofErr w:type="spellStart"/>
      <w:r>
        <w:t>Cheron</w:t>
      </w:r>
      <w:proofErr w:type="spellEnd"/>
      <w:r>
        <w:t xml:space="preserve">, D. M., </w:t>
      </w:r>
    </w:p>
    <w:p w14:paraId="2AB9AAB5" w14:textId="77777777" w:rsidR="00C7166E" w:rsidRDefault="00C7166E" w:rsidP="00C7166E">
      <w:pPr>
        <w:ind w:left="720"/>
      </w:pPr>
      <w:r>
        <w:lastRenderedPageBreak/>
        <w:t xml:space="preserve">Alleyne, A. R., Weissman, A. S., Tweed, J. L., Pollack, A. A., Langer, D. A., Southam-Gerow, M. A., Wells, K. C., &amp; Jensen-Doss, A. (2019). Testing robustness of Child STEPs effects with children and adolescents: A randomized controlled effectiveness trial. </w:t>
      </w:r>
      <w:r>
        <w:rPr>
          <w:i/>
        </w:rPr>
        <w:t>Journal of Clinical Child and Adolescent Psychology</w:t>
      </w:r>
      <w:r>
        <w:t xml:space="preserve">. Advance online publication. </w:t>
      </w:r>
      <w:hyperlink r:id="rId27" w:history="1">
        <w:r>
          <w:rPr>
            <w:rStyle w:val="Hyperlink"/>
          </w:rPr>
          <w:t>https://doi.org/10.1080/15374416.2019.1655757</w:t>
        </w:r>
      </w:hyperlink>
    </w:p>
    <w:p w14:paraId="5F4AF5A5" w14:textId="77777777" w:rsidR="00105434" w:rsidRDefault="00105434" w:rsidP="00A31B25">
      <w:pPr>
        <w:pStyle w:val="Body"/>
        <w:rPr>
          <w:rFonts w:ascii="Times New Roman" w:hAnsi="Times New Roman"/>
          <w:b/>
          <w:bCs/>
          <w:sz w:val="24"/>
          <w:szCs w:val="24"/>
        </w:rPr>
      </w:pPr>
    </w:p>
    <w:p w14:paraId="5E2988F0" w14:textId="77777777" w:rsidR="001A6031" w:rsidRDefault="001A6031" w:rsidP="00A31B25">
      <w:pPr>
        <w:pStyle w:val="Body"/>
        <w:rPr>
          <w:rFonts w:ascii="Times New Roman" w:hAnsi="Times New Roman"/>
          <w:b/>
          <w:bCs/>
          <w:sz w:val="24"/>
          <w:szCs w:val="24"/>
        </w:rPr>
      </w:pPr>
    </w:p>
    <w:p w14:paraId="4CD8FBF0" w14:textId="77777777" w:rsidR="001A6031" w:rsidRDefault="001A6031" w:rsidP="00A31B25">
      <w:pPr>
        <w:pStyle w:val="Body"/>
        <w:rPr>
          <w:rFonts w:ascii="Times New Roman" w:hAnsi="Times New Roman"/>
          <w:b/>
          <w:bCs/>
          <w:sz w:val="24"/>
          <w:szCs w:val="24"/>
        </w:rPr>
      </w:pPr>
    </w:p>
    <w:p w14:paraId="0581F4FB" w14:textId="77777777" w:rsidR="001A6031" w:rsidRDefault="001A6031" w:rsidP="00A31B25">
      <w:pPr>
        <w:pStyle w:val="Body"/>
        <w:rPr>
          <w:rFonts w:ascii="Times New Roman" w:hAnsi="Times New Roman"/>
          <w:b/>
          <w:bCs/>
          <w:sz w:val="24"/>
          <w:szCs w:val="24"/>
        </w:rPr>
      </w:pPr>
    </w:p>
    <w:p w14:paraId="43DE900D" w14:textId="77777777" w:rsidR="001A6031" w:rsidRDefault="001A6031" w:rsidP="00A31B25">
      <w:pPr>
        <w:pStyle w:val="Body"/>
        <w:rPr>
          <w:rFonts w:ascii="Times New Roman" w:hAnsi="Times New Roman"/>
          <w:b/>
          <w:bCs/>
          <w:sz w:val="24"/>
          <w:szCs w:val="24"/>
        </w:rPr>
      </w:pPr>
    </w:p>
    <w:p w14:paraId="2AA31FF4" w14:textId="77777777" w:rsidR="001A6031" w:rsidRDefault="001A6031" w:rsidP="00A31B25">
      <w:pPr>
        <w:pStyle w:val="Body"/>
        <w:rPr>
          <w:rFonts w:ascii="Times New Roman" w:hAnsi="Times New Roman"/>
          <w:b/>
          <w:bCs/>
          <w:sz w:val="24"/>
          <w:szCs w:val="24"/>
        </w:rPr>
      </w:pPr>
    </w:p>
    <w:p w14:paraId="58697483" w14:textId="77777777" w:rsidR="001A6031" w:rsidRDefault="001A6031" w:rsidP="00A31B25">
      <w:pPr>
        <w:pStyle w:val="Body"/>
        <w:rPr>
          <w:rFonts w:ascii="Times New Roman" w:hAnsi="Times New Roman"/>
          <w:b/>
          <w:bCs/>
          <w:sz w:val="24"/>
          <w:szCs w:val="24"/>
        </w:rPr>
      </w:pPr>
    </w:p>
    <w:p w14:paraId="1CC0EC6D" w14:textId="77777777" w:rsidR="001A6031" w:rsidRDefault="001A6031" w:rsidP="00A31B25">
      <w:pPr>
        <w:pStyle w:val="Body"/>
        <w:rPr>
          <w:rFonts w:ascii="Times New Roman" w:hAnsi="Times New Roman"/>
          <w:b/>
          <w:bCs/>
          <w:sz w:val="24"/>
          <w:szCs w:val="24"/>
        </w:rPr>
      </w:pPr>
    </w:p>
    <w:p w14:paraId="59230186" w14:textId="77777777" w:rsidR="001A6031" w:rsidRDefault="001A6031" w:rsidP="00A31B25">
      <w:pPr>
        <w:pStyle w:val="Body"/>
        <w:rPr>
          <w:rFonts w:ascii="Times New Roman" w:hAnsi="Times New Roman"/>
          <w:b/>
          <w:bCs/>
          <w:sz w:val="24"/>
          <w:szCs w:val="24"/>
        </w:rPr>
      </w:pPr>
    </w:p>
    <w:p w14:paraId="6C3C83A4" w14:textId="77777777" w:rsidR="001A6031" w:rsidRDefault="001A6031" w:rsidP="00A31B25">
      <w:pPr>
        <w:pStyle w:val="Body"/>
        <w:rPr>
          <w:rFonts w:ascii="Times New Roman" w:hAnsi="Times New Roman"/>
          <w:b/>
          <w:bCs/>
          <w:sz w:val="24"/>
          <w:szCs w:val="24"/>
        </w:rPr>
      </w:pPr>
    </w:p>
    <w:p w14:paraId="700855F8" w14:textId="77777777" w:rsidR="001A6031" w:rsidRDefault="001A6031" w:rsidP="00A31B25">
      <w:pPr>
        <w:pStyle w:val="Body"/>
        <w:rPr>
          <w:rFonts w:ascii="Times New Roman" w:hAnsi="Times New Roman"/>
          <w:b/>
          <w:bCs/>
          <w:sz w:val="24"/>
          <w:szCs w:val="24"/>
        </w:rPr>
      </w:pPr>
    </w:p>
    <w:p w14:paraId="77888C64" w14:textId="77777777" w:rsidR="001A6031" w:rsidRDefault="001A6031" w:rsidP="00A31B25">
      <w:pPr>
        <w:pStyle w:val="Body"/>
        <w:rPr>
          <w:rFonts w:ascii="Times New Roman" w:hAnsi="Times New Roman"/>
          <w:b/>
          <w:bCs/>
          <w:sz w:val="24"/>
          <w:szCs w:val="24"/>
        </w:rPr>
      </w:pPr>
    </w:p>
    <w:p w14:paraId="3606F09B" w14:textId="77777777" w:rsidR="001A6031" w:rsidRDefault="001A6031" w:rsidP="00A31B25">
      <w:pPr>
        <w:pStyle w:val="Body"/>
        <w:rPr>
          <w:rFonts w:ascii="Times New Roman" w:hAnsi="Times New Roman"/>
          <w:b/>
          <w:bCs/>
          <w:sz w:val="24"/>
          <w:szCs w:val="24"/>
        </w:rPr>
      </w:pPr>
    </w:p>
    <w:p w14:paraId="694FFF70" w14:textId="77777777" w:rsidR="001A6031" w:rsidRDefault="001A6031" w:rsidP="00A31B25">
      <w:pPr>
        <w:pStyle w:val="Body"/>
        <w:rPr>
          <w:rFonts w:ascii="Times New Roman" w:hAnsi="Times New Roman"/>
          <w:b/>
          <w:bCs/>
          <w:sz w:val="24"/>
          <w:szCs w:val="24"/>
        </w:rPr>
      </w:pPr>
    </w:p>
    <w:p w14:paraId="5C0E71B0" w14:textId="77777777" w:rsidR="001A6031" w:rsidRDefault="001A6031" w:rsidP="00A31B25">
      <w:pPr>
        <w:pStyle w:val="Body"/>
        <w:rPr>
          <w:rFonts w:ascii="Times New Roman" w:hAnsi="Times New Roman"/>
          <w:b/>
          <w:bCs/>
          <w:sz w:val="24"/>
          <w:szCs w:val="24"/>
        </w:rPr>
      </w:pPr>
    </w:p>
    <w:p w14:paraId="0AA13219" w14:textId="77777777" w:rsidR="001A6031" w:rsidRDefault="001A6031" w:rsidP="00A31B25">
      <w:pPr>
        <w:pStyle w:val="Body"/>
        <w:rPr>
          <w:rFonts w:ascii="Times New Roman" w:hAnsi="Times New Roman"/>
          <w:b/>
          <w:bCs/>
          <w:sz w:val="24"/>
          <w:szCs w:val="24"/>
        </w:rPr>
      </w:pPr>
    </w:p>
    <w:p w14:paraId="0A0EC54A" w14:textId="77777777" w:rsidR="001A6031" w:rsidRDefault="001A6031" w:rsidP="00A31B25">
      <w:pPr>
        <w:pStyle w:val="Body"/>
        <w:rPr>
          <w:rFonts w:ascii="Times New Roman" w:hAnsi="Times New Roman"/>
          <w:b/>
          <w:bCs/>
          <w:sz w:val="24"/>
          <w:szCs w:val="24"/>
        </w:rPr>
      </w:pPr>
    </w:p>
    <w:p w14:paraId="412F5C54" w14:textId="77777777" w:rsidR="001A6031" w:rsidRDefault="001A6031" w:rsidP="00A31B25">
      <w:pPr>
        <w:pStyle w:val="Body"/>
        <w:rPr>
          <w:rFonts w:ascii="Times New Roman" w:hAnsi="Times New Roman"/>
          <w:b/>
          <w:bCs/>
          <w:sz w:val="24"/>
          <w:szCs w:val="24"/>
        </w:rPr>
      </w:pPr>
    </w:p>
    <w:p w14:paraId="03DC97AE" w14:textId="77777777" w:rsidR="001A6031" w:rsidRDefault="001A6031" w:rsidP="00A31B25">
      <w:pPr>
        <w:pStyle w:val="Body"/>
        <w:rPr>
          <w:rFonts w:ascii="Times New Roman" w:hAnsi="Times New Roman"/>
          <w:b/>
          <w:bCs/>
          <w:sz w:val="24"/>
          <w:szCs w:val="24"/>
        </w:rPr>
      </w:pPr>
    </w:p>
    <w:p w14:paraId="49008F92" w14:textId="77777777" w:rsidR="001A6031" w:rsidRDefault="001A6031" w:rsidP="00A31B25">
      <w:pPr>
        <w:pStyle w:val="Body"/>
        <w:rPr>
          <w:rFonts w:ascii="Times New Roman" w:hAnsi="Times New Roman"/>
          <w:b/>
          <w:bCs/>
          <w:sz w:val="24"/>
          <w:szCs w:val="24"/>
        </w:rPr>
      </w:pPr>
    </w:p>
    <w:p w14:paraId="0B9C14B5" w14:textId="77777777" w:rsidR="001A6031" w:rsidRDefault="001A6031" w:rsidP="00A31B25">
      <w:pPr>
        <w:pStyle w:val="Body"/>
        <w:rPr>
          <w:rFonts w:ascii="Times New Roman" w:hAnsi="Times New Roman"/>
          <w:b/>
          <w:bCs/>
          <w:sz w:val="24"/>
          <w:szCs w:val="24"/>
        </w:rPr>
      </w:pPr>
    </w:p>
    <w:p w14:paraId="23E49E7D" w14:textId="77777777" w:rsidR="001A6031" w:rsidRDefault="001A6031" w:rsidP="00A31B25">
      <w:pPr>
        <w:pStyle w:val="Body"/>
        <w:rPr>
          <w:rFonts w:ascii="Times New Roman" w:hAnsi="Times New Roman"/>
          <w:b/>
          <w:bCs/>
          <w:sz w:val="24"/>
          <w:szCs w:val="24"/>
        </w:rPr>
      </w:pPr>
    </w:p>
    <w:p w14:paraId="7E499E20" w14:textId="77777777" w:rsidR="001A6031" w:rsidRDefault="001A6031" w:rsidP="00A31B25">
      <w:pPr>
        <w:pStyle w:val="Body"/>
        <w:rPr>
          <w:rFonts w:ascii="Times New Roman" w:hAnsi="Times New Roman"/>
          <w:b/>
          <w:bCs/>
          <w:sz w:val="24"/>
          <w:szCs w:val="24"/>
        </w:rPr>
      </w:pPr>
    </w:p>
    <w:p w14:paraId="790D1A30" w14:textId="77777777" w:rsidR="001A6031" w:rsidRDefault="001A6031" w:rsidP="00A31B25">
      <w:pPr>
        <w:pStyle w:val="Body"/>
        <w:rPr>
          <w:rFonts w:ascii="Times New Roman" w:hAnsi="Times New Roman"/>
          <w:b/>
          <w:bCs/>
          <w:sz w:val="24"/>
          <w:szCs w:val="24"/>
        </w:rPr>
      </w:pPr>
    </w:p>
    <w:p w14:paraId="0F816DA4" w14:textId="77777777" w:rsidR="001A6031" w:rsidRDefault="001A6031" w:rsidP="00A31B25">
      <w:pPr>
        <w:pStyle w:val="Body"/>
        <w:rPr>
          <w:rFonts w:ascii="Times New Roman" w:hAnsi="Times New Roman"/>
          <w:b/>
          <w:bCs/>
          <w:sz w:val="24"/>
          <w:szCs w:val="24"/>
        </w:rPr>
      </w:pPr>
    </w:p>
    <w:p w14:paraId="0C5DF4B8" w14:textId="77777777" w:rsidR="001A6031" w:rsidRDefault="001A6031" w:rsidP="00A31B25">
      <w:pPr>
        <w:pStyle w:val="Body"/>
        <w:rPr>
          <w:rFonts w:ascii="Times New Roman" w:hAnsi="Times New Roman"/>
          <w:b/>
          <w:bCs/>
          <w:sz w:val="24"/>
          <w:szCs w:val="24"/>
        </w:rPr>
      </w:pPr>
    </w:p>
    <w:p w14:paraId="13884C22" w14:textId="77777777" w:rsidR="001A6031" w:rsidRDefault="001A6031" w:rsidP="00A31B25">
      <w:pPr>
        <w:pStyle w:val="Body"/>
        <w:rPr>
          <w:rFonts w:ascii="Times New Roman" w:hAnsi="Times New Roman"/>
          <w:b/>
          <w:bCs/>
          <w:sz w:val="24"/>
          <w:szCs w:val="24"/>
        </w:rPr>
      </w:pPr>
    </w:p>
    <w:p w14:paraId="424EDA5F" w14:textId="77777777" w:rsidR="001A6031" w:rsidRDefault="001A6031" w:rsidP="00A31B25">
      <w:pPr>
        <w:pStyle w:val="Body"/>
        <w:rPr>
          <w:rFonts w:ascii="Times New Roman" w:hAnsi="Times New Roman"/>
          <w:b/>
          <w:bCs/>
          <w:sz w:val="24"/>
          <w:szCs w:val="24"/>
        </w:rPr>
      </w:pPr>
    </w:p>
    <w:p w14:paraId="58FC40AF" w14:textId="77777777" w:rsidR="00105434" w:rsidRDefault="00105434" w:rsidP="00A31B25">
      <w:pPr>
        <w:pStyle w:val="Body"/>
        <w:rPr>
          <w:rFonts w:ascii="Times New Roman" w:hAnsi="Times New Roman"/>
          <w:b/>
          <w:bCs/>
          <w:sz w:val="24"/>
          <w:szCs w:val="24"/>
        </w:rPr>
      </w:pPr>
    </w:p>
    <w:p w14:paraId="1D666714" w14:textId="77777777" w:rsidR="00105434" w:rsidRDefault="00105434" w:rsidP="00A31B25">
      <w:pPr>
        <w:pStyle w:val="Body"/>
        <w:rPr>
          <w:rFonts w:ascii="Times New Roman" w:hAnsi="Times New Roman"/>
          <w:b/>
          <w:bCs/>
          <w:sz w:val="24"/>
          <w:szCs w:val="24"/>
        </w:rPr>
      </w:pPr>
    </w:p>
    <w:p w14:paraId="51BCDA04" w14:textId="77777777" w:rsidR="00105434" w:rsidRDefault="00105434" w:rsidP="00A31B25">
      <w:pPr>
        <w:pStyle w:val="Body"/>
        <w:rPr>
          <w:rFonts w:ascii="Times New Roman" w:hAnsi="Times New Roman"/>
          <w:b/>
          <w:bCs/>
          <w:sz w:val="24"/>
          <w:szCs w:val="24"/>
        </w:rPr>
      </w:pPr>
    </w:p>
    <w:p w14:paraId="2EB8FABF" w14:textId="77777777" w:rsidR="00105434" w:rsidRDefault="00105434" w:rsidP="00A31B25">
      <w:pPr>
        <w:pStyle w:val="Body"/>
        <w:rPr>
          <w:rFonts w:ascii="Times New Roman" w:hAnsi="Times New Roman"/>
          <w:b/>
          <w:bCs/>
          <w:sz w:val="24"/>
          <w:szCs w:val="24"/>
        </w:rPr>
      </w:pPr>
    </w:p>
    <w:p w14:paraId="0795A2DE" w14:textId="6B206556" w:rsidR="00105434" w:rsidRDefault="00105434" w:rsidP="00A31B25">
      <w:pPr>
        <w:pStyle w:val="Body"/>
        <w:rPr>
          <w:rFonts w:ascii="Times New Roman" w:hAnsi="Times New Roman"/>
          <w:b/>
          <w:bCs/>
          <w:sz w:val="24"/>
          <w:szCs w:val="24"/>
        </w:rPr>
      </w:pPr>
    </w:p>
    <w:p w14:paraId="54DC8E00" w14:textId="2C407649" w:rsidR="00A71D14" w:rsidRDefault="00A71D14" w:rsidP="00A31B25">
      <w:pPr>
        <w:pStyle w:val="Body"/>
        <w:rPr>
          <w:rFonts w:ascii="Times New Roman" w:hAnsi="Times New Roman"/>
          <w:b/>
          <w:bCs/>
          <w:sz w:val="24"/>
          <w:szCs w:val="24"/>
        </w:rPr>
      </w:pPr>
    </w:p>
    <w:p w14:paraId="400691A8" w14:textId="570EAA47" w:rsidR="00A71D14" w:rsidRDefault="00A71D14" w:rsidP="00A31B25">
      <w:pPr>
        <w:pStyle w:val="Body"/>
        <w:rPr>
          <w:rFonts w:ascii="Times New Roman" w:hAnsi="Times New Roman"/>
          <w:b/>
          <w:bCs/>
          <w:sz w:val="24"/>
          <w:szCs w:val="24"/>
        </w:rPr>
      </w:pPr>
    </w:p>
    <w:p w14:paraId="68A7543C" w14:textId="765777F5" w:rsidR="00A71D14" w:rsidRDefault="00A71D14" w:rsidP="00A31B25">
      <w:pPr>
        <w:pStyle w:val="Body"/>
        <w:rPr>
          <w:rFonts w:ascii="Times New Roman" w:hAnsi="Times New Roman"/>
          <w:b/>
          <w:bCs/>
          <w:sz w:val="24"/>
          <w:szCs w:val="24"/>
        </w:rPr>
      </w:pPr>
    </w:p>
    <w:p w14:paraId="14A1DD01" w14:textId="20A83187" w:rsidR="00A71D14" w:rsidRDefault="00A71D14" w:rsidP="00A31B25">
      <w:pPr>
        <w:pStyle w:val="Body"/>
        <w:rPr>
          <w:rFonts w:ascii="Times New Roman" w:hAnsi="Times New Roman"/>
          <w:b/>
          <w:bCs/>
          <w:sz w:val="24"/>
          <w:szCs w:val="24"/>
        </w:rPr>
      </w:pPr>
    </w:p>
    <w:p w14:paraId="6F80CA6D" w14:textId="3AE2B541" w:rsidR="00A71D14" w:rsidRDefault="00A71D14" w:rsidP="00A31B25">
      <w:pPr>
        <w:pStyle w:val="Body"/>
        <w:rPr>
          <w:rFonts w:ascii="Times New Roman" w:hAnsi="Times New Roman"/>
          <w:b/>
          <w:bCs/>
          <w:sz w:val="24"/>
          <w:szCs w:val="24"/>
        </w:rPr>
      </w:pPr>
    </w:p>
    <w:p w14:paraId="2650499E" w14:textId="26297381" w:rsidR="00A71D14" w:rsidRDefault="00A71D14" w:rsidP="00A31B25">
      <w:pPr>
        <w:pStyle w:val="Body"/>
        <w:rPr>
          <w:rFonts w:ascii="Times New Roman" w:hAnsi="Times New Roman"/>
          <w:b/>
          <w:bCs/>
          <w:sz w:val="24"/>
          <w:szCs w:val="24"/>
        </w:rPr>
      </w:pPr>
    </w:p>
    <w:p w14:paraId="1F40D7F5" w14:textId="15A99F68" w:rsidR="006118F3" w:rsidRDefault="006118F3" w:rsidP="00A31B25">
      <w:pPr>
        <w:pStyle w:val="Body"/>
        <w:rPr>
          <w:rFonts w:ascii="Times New Roman" w:hAnsi="Times New Roman"/>
          <w:b/>
          <w:bCs/>
          <w:sz w:val="24"/>
          <w:szCs w:val="24"/>
        </w:rPr>
      </w:pPr>
    </w:p>
    <w:p w14:paraId="4B0730EE" w14:textId="77777777" w:rsidR="00196453" w:rsidRDefault="00196453" w:rsidP="00A31B25">
      <w:pPr>
        <w:pStyle w:val="Body"/>
        <w:rPr>
          <w:rFonts w:ascii="Times New Roman" w:hAnsi="Times New Roman"/>
          <w:b/>
          <w:bCs/>
          <w:sz w:val="24"/>
          <w:szCs w:val="24"/>
        </w:rPr>
      </w:pPr>
    </w:p>
    <w:p w14:paraId="6FC7CCCA" w14:textId="4ACF4828" w:rsidR="00A31B25" w:rsidRPr="0056129A" w:rsidRDefault="00DE63FD" w:rsidP="00A31B25">
      <w:pPr>
        <w:pStyle w:val="Body"/>
        <w:rPr>
          <w:rFonts w:ascii="Times New Roman" w:hAnsi="Times New Roman"/>
          <w:b/>
          <w:bCs/>
          <w:sz w:val="24"/>
          <w:szCs w:val="24"/>
        </w:rPr>
      </w:pPr>
      <w:r>
        <w:rPr>
          <w:rFonts w:ascii="Times New Roman" w:hAnsi="Times New Roman"/>
          <w:b/>
          <w:bCs/>
          <w:sz w:val="24"/>
          <w:szCs w:val="24"/>
        </w:rPr>
        <w:lastRenderedPageBreak/>
        <w:t xml:space="preserve">Supplementary </w:t>
      </w:r>
      <w:r w:rsidR="00A31B25" w:rsidRPr="003F66AF">
        <w:rPr>
          <w:rFonts w:ascii="Times New Roman" w:hAnsi="Times New Roman"/>
          <w:b/>
          <w:bCs/>
          <w:sz w:val="24"/>
          <w:szCs w:val="24"/>
        </w:rPr>
        <w:t xml:space="preserve">Table </w:t>
      </w:r>
      <w:r w:rsidR="00A31B25">
        <w:rPr>
          <w:rFonts w:ascii="Times New Roman" w:hAnsi="Times New Roman"/>
          <w:b/>
          <w:bCs/>
          <w:sz w:val="24"/>
          <w:szCs w:val="24"/>
        </w:rPr>
        <w:t>S</w:t>
      </w:r>
      <w:r w:rsidR="00196453">
        <w:rPr>
          <w:rFonts w:ascii="Times New Roman" w:hAnsi="Times New Roman"/>
          <w:b/>
          <w:bCs/>
          <w:sz w:val="24"/>
          <w:szCs w:val="24"/>
        </w:rPr>
        <w:t>5</w:t>
      </w:r>
      <w:r w:rsidR="00A31B25">
        <w:rPr>
          <w:rFonts w:ascii="Times New Roman" w:hAnsi="Times New Roman"/>
          <w:b/>
          <w:bCs/>
          <w:sz w:val="24"/>
          <w:szCs w:val="24"/>
        </w:rPr>
        <w:t xml:space="preserve">. Treatment </w:t>
      </w:r>
      <w:r w:rsidR="00484429">
        <w:rPr>
          <w:rFonts w:ascii="Times New Roman" w:hAnsi="Times New Roman"/>
          <w:b/>
          <w:bCs/>
          <w:sz w:val="24"/>
          <w:szCs w:val="24"/>
        </w:rPr>
        <w:t>Duration</w:t>
      </w:r>
      <w:r w:rsidR="00A31B25" w:rsidRPr="0056129A">
        <w:rPr>
          <w:rFonts w:ascii="Times New Roman" w:hAnsi="Times New Roman"/>
          <w:b/>
          <w:bCs/>
          <w:sz w:val="24"/>
          <w:szCs w:val="24"/>
        </w:rPr>
        <w:t xml:space="preserve"> by GM Classification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0"/>
        <w:gridCol w:w="2700"/>
        <w:gridCol w:w="1710"/>
        <w:gridCol w:w="1800"/>
      </w:tblGrid>
      <w:tr w:rsidR="00A31B25" w14:paraId="60BC40F7" w14:textId="77777777" w:rsidTr="00127CC0">
        <w:trPr>
          <w:trHeight w:hRule="exact" w:val="360"/>
        </w:trPr>
        <w:tc>
          <w:tcPr>
            <w:tcW w:w="9360" w:type="dxa"/>
            <w:gridSpan w:val="4"/>
            <w:tcBorders>
              <w:top w:val="single" w:sz="4" w:space="0" w:color="auto"/>
            </w:tcBorders>
          </w:tcPr>
          <w:p w14:paraId="5F0852F9" w14:textId="15CA3389" w:rsidR="00A31B25" w:rsidRPr="00616477" w:rsidRDefault="00A31B25" w:rsidP="00127CC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sz w:val="24"/>
                <w:szCs w:val="24"/>
              </w:rPr>
              <w:t xml:space="preserve">ANCOVAs </w:t>
            </w:r>
            <w:r w:rsidR="00196453">
              <w:rPr>
                <w:rFonts w:ascii="Times New Roman" w:hAnsi="Times New Roman"/>
                <w:sz w:val="24"/>
                <w:szCs w:val="24"/>
              </w:rPr>
              <w:t xml:space="preserve">of Treatment Duration </w:t>
            </w:r>
            <w:r>
              <w:rPr>
                <w:rFonts w:ascii="Times New Roman" w:hAnsi="Times New Roman"/>
                <w:sz w:val="24"/>
                <w:szCs w:val="24"/>
              </w:rPr>
              <w:t>Controlling for Pretreatment Symptom Severity</w:t>
            </w:r>
          </w:p>
          <w:p w14:paraId="5D640262" w14:textId="77777777"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sz w:val="24"/>
                <w:szCs w:val="24"/>
              </w:rPr>
            </w:pPr>
            <w:r>
              <w:rPr>
                <w:rFonts w:ascii="Times New Roman" w:hAnsi="Times New Roman"/>
                <w:i/>
                <w:sz w:val="24"/>
                <w:szCs w:val="24"/>
              </w:rPr>
              <w:t xml:space="preserve"> </w:t>
            </w:r>
          </w:p>
        </w:tc>
      </w:tr>
      <w:tr w:rsidR="00484429" w14:paraId="44E8BC2D" w14:textId="77777777" w:rsidTr="00196453">
        <w:trPr>
          <w:trHeight w:hRule="exact" w:val="288"/>
        </w:trPr>
        <w:tc>
          <w:tcPr>
            <w:tcW w:w="9360" w:type="dxa"/>
            <w:gridSpan w:val="4"/>
          </w:tcPr>
          <w:p w14:paraId="506B715C" w14:textId="37B9A13B" w:rsidR="00484429" w:rsidRPr="005C0DD5" w:rsidRDefault="00196453" w:rsidP="001964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cs="Times New Roman"/>
                <w:bCs/>
                <w:sz w:val="24"/>
                <w:szCs w:val="24"/>
              </w:rPr>
            </w:pPr>
            <w:r>
              <w:rPr>
                <w:rFonts w:ascii="Times New Roman" w:hAnsi="Times New Roman"/>
                <w:sz w:val="24"/>
                <w:szCs w:val="24"/>
              </w:rPr>
              <w:t xml:space="preserve">Treatment Duration in </w:t>
            </w:r>
            <w:r w:rsidR="00484429">
              <w:rPr>
                <w:rFonts w:ascii="Times New Roman" w:hAnsi="Times New Roman"/>
                <w:sz w:val="24"/>
                <w:szCs w:val="24"/>
              </w:rPr>
              <w:t>Days</w:t>
            </w:r>
          </w:p>
        </w:tc>
      </w:tr>
      <w:tr w:rsidR="00484429" w14:paraId="0C280DCB" w14:textId="77777777" w:rsidTr="00196453">
        <w:trPr>
          <w:trHeight w:hRule="exact" w:val="288"/>
        </w:trPr>
        <w:tc>
          <w:tcPr>
            <w:tcW w:w="3150" w:type="dxa"/>
            <w:tcBorders>
              <w:bottom w:val="single" w:sz="4" w:space="0" w:color="auto"/>
            </w:tcBorders>
          </w:tcPr>
          <w:p w14:paraId="062C6CAB" w14:textId="1C292161" w:rsidR="00484429" w:rsidRDefault="00484429"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Variable</w:t>
            </w:r>
          </w:p>
        </w:tc>
        <w:tc>
          <w:tcPr>
            <w:tcW w:w="2700" w:type="dxa"/>
            <w:tcBorders>
              <w:bottom w:val="single" w:sz="4" w:space="0" w:color="auto"/>
            </w:tcBorders>
          </w:tcPr>
          <w:p w14:paraId="71518853" w14:textId="70F25356" w:rsidR="00484429" w:rsidRDefault="00484429" w:rsidP="001964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Type III Sum of Squares</w:t>
            </w:r>
          </w:p>
        </w:tc>
        <w:tc>
          <w:tcPr>
            <w:tcW w:w="1710" w:type="dxa"/>
            <w:tcBorders>
              <w:bottom w:val="single" w:sz="4" w:space="0" w:color="auto"/>
            </w:tcBorders>
          </w:tcPr>
          <w:p w14:paraId="5FE7DECC" w14:textId="3A492F19" w:rsidR="00484429" w:rsidRPr="003F66AF" w:rsidRDefault="00484429" w:rsidP="001964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sidRPr="003F66AF">
              <w:rPr>
                <w:rFonts w:ascii="Times New Roman" w:hAnsi="Times New Roman"/>
                <w:i/>
                <w:iCs/>
                <w:sz w:val="24"/>
                <w:szCs w:val="24"/>
              </w:rPr>
              <w:t>F</w:t>
            </w:r>
            <w:r>
              <w:rPr>
                <w:rFonts w:ascii="Times New Roman" w:hAnsi="Times New Roman"/>
                <w:sz w:val="24"/>
                <w:szCs w:val="24"/>
              </w:rPr>
              <w:t>(</w:t>
            </w:r>
            <w:proofErr w:type="gramEnd"/>
            <w:r>
              <w:rPr>
                <w:rFonts w:ascii="Times New Roman" w:hAnsi="Times New Roman"/>
                <w:sz w:val="24"/>
                <w:szCs w:val="24"/>
              </w:rPr>
              <w:t>1,</w:t>
            </w:r>
            <w:r w:rsidR="00CA4867">
              <w:rPr>
                <w:rFonts w:ascii="Times New Roman" w:hAnsi="Times New Roman"/>
                <w:sz w:val="24"/>
                <w:szCs w:val="24"/>
              </w:rPr>
              <w:t>402</w:t>
            </w:r>
            <w:r>
              <w:rPr>
                <w:rFonts w:ascii="Times New Roman" w:hAnsi="Times New Roman"/>
                <w:sz w:val="24"/>
                <w:szCs w:val="24"/>
              </w:rPr>
              <w:t>)</w:t>
            </w:r>
          </w:p>
        </w:tc>
        <w:tc>
          <w:tcPr>
            <w:tcW w:w="1800" w:type="dxa"/>
            <w:tcBorders>
              <w:bottom w:val="single" w:sz="4" w:space="0" w:color="auto"/>
            </w:tcBorders>
          </w:tcPr>
          <w:p w14:paraId="5D5B21AF" w14:textId="4D3A6F2A" w:rsidR="00484429" w:rsidRPr="005C0DD5" w:rsidRDefault="00484429"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cs="Times New Roman"/>
                <w:bCs/>
                <w:sz w:val="24"/>
                <w:szCs w:val="24"/>
              </w:rPr>
            </w:pPr>
            <w:r w:rsidRPr="005C0DD5">
              <w:rPr>
                <w:rFonts w:ascii="Times New Roman" w:hAnsi="Times New Roman" w:cs="Times New Roman"/>
                <w:bCs/>
                <w:sz w:val="24"/>
                <w:szCs w:val="24"/>
              </w:rPr>
              <w:t>η</w:t>
            </w:r>
            <w:r w:rsidRPr="007F33CC">
              <w:rPr>
                <w:rFonts w:ascii="Times New Roman" w:hAnsi="Times New Roman" w:cs="Times New Roman"/>
                <w:bCs/>
                <w:sz w:val="24"/>
                <w:szCs w:val="24"/>
                <w:vertAlign w:val="superscript"/>
              </w:rPr>
              <w:t>2</w:t>
            </w:r>
          </w:p>
        </w:tc>
      </w:tr>
      <w:tr w:rsidR="00A31B25" w14:paraId="217D2A37" w14:textId="77777777" w:rsidTr="00196453">
        <w:trPr>
          <w:trHeight w:hRule="exact" w:val="288"/>
        </w:trPr>
        <w:tc>
          <w:tcPr>
            <w:tcW w:w="3150" w:type="dxa"/>
            <w:tcBorders>
              <w:top w:val="single" w:sz="4" w:space="0" w:color="auto"/>
            </w:tcBorders>
          </w:tcPr>
          <w:p w14:paraId="4D09A92F" w14:textId="77777777"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1. Covariate (</w:t>
            </w:r>
            <w:proofErr w:type="spellStart"/>
            <w:r>
              <w:rPr>
                <w:rFonts w:ascii="Times New Roman" w:hAnsi="Times New Roman"/>
                <w:bCs/>
                <w:sz w:val="24"/>
                <w:szCs w:val="24"/>
              </w:rPr>
              <w:t>YSR</w:t>
            </w:r>
            <w:r w:rsidRPr="007F33CC">
              <w:rPr>
                <w:rFonts w:ascii="Times New Roman" w:hAnsi="Times New Roman"/>
                <w:bCs/>
                <w:sz w:val="24"/>
                <w:szCs w:val="24"/>
                <w:vertAlign w:val="subscript"/>
              </w:rPr>
              <w:t>int</w:t>
            </w:r>
            <w:proofErr w:type="spellEnd"/>
            <w:r>
              <w:rPr>
                <w:rFonts w:ascii="Times New Roman" w:hAnsi="Times New Roman"/>
                <w:bCs/>
                <w:sz w:val="24"/>
                <w:szCs w:val="24"/>
              </w:rPr>
              <w:t>)</w:t>
            </w:r>
          </w:p>
        </w:tc>
        <w:tc>
          <w:tcPr>
            <w:tcW w:w="2700" w:type="dxa"/>
            <w:tcBorders>
              <w:top w:val="single" w:sz="4" w:space="0" w:color="auto"/>
            </w:tcBorders>
          </w:tcPr>
          <w:p w14:paraId="06AC4A37" w14:textId="025BD496" w:rsidR="00A31B25"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95.5</w:t>
            </w:r>
          </w:p>
        </w:tc>
        <w:tc>
          <w:tcPr>
            <w:tcW w:w="1710" w:type="dxa"/>
            <w:tcBorders>
              <w:top w:val="single" w:sz="4" w:space="0" w:color="auto"/>
            </w:tcBorders>
          </w:tcPr>
          <w:p w14:paraId="1AA7E72A" w14:textId="77777777"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&lt;</w:t>
            </w:r>
            <w:r w:rsidRPr="00870193">
              <w:rPr>
                <w:rFonts w:ascii="Times New Roman" w:hAnsi="Times New Roman" w:cs="Times New Roman"/>
                <w:bCs/>
                <w:sz w:val="24"/>
                <w:szCs w:val="24"/>
              </w:rPr>
              <w:t>.0</w:t>
            </w:r>
            <w:r>
              <w:rPr>
                <w:rFonts w:ascii="Times New Roman" w:hAnsi="Times New Roman" w:cs="Times New Roman"/>
                <w:bCs/>
                <w:sz w:val="24"/>
                <w:szCs w:val="24"/>
              </w:rPr>
              <w:t>1</w:t>
            </w:r>
          </w:p>
        </w:tc>
        <w:tc>
          <w:tcPr>
            <w:tcW w:w="1800" w:type="dxa"/>
            <w:tcBorders>
              <w:top w:val="single" w:sz="4" w:space="0" w:color="auto"/>
            </w:tcBorders>
          </w:tcPr>
          <w:p w14:paraId="365BFF2A" w14:textId="77777777" w:rsidR="00A31B25" w:rsidRPr="00222784"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&lt;.</w:t>
            </w:r>
            <w:r w:rsidRPr="005C0DD5">
              <w:rPr>
                <w:rFonts w:ascii="Times New Roman" w:hAnsi="Times New Roman" w:cs="Times New Roman"/>
                <w:bCs/>
                <w:sz w:val="24"/>
                <w:szCs w:val="24"/>
              </w:rPr>
              <w:t>0</w:t>
            </w:r>
            <w:r>
              <w:rPr>
                <w:rFonts w:ascii="Times New Roman" w:hAnsi="Times New Roman" w:cs="Times New Roman"/>
                <w:bCs/>
                <w:sz w:val="24"/>
                <w:szCs w:val="24"/>
              </w:rPr>
              <w:t>01</w:t>
            </w:r>
          </w:p>
          <w:p w14:paraId="0258BDFC" w14:textId="77777777"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 xml:space="preserve"> </w:t>
            </w:r>
            <w:r w:rsidRPr="007F33CC">
              <w:rPr>
                <w:rFonts w:ascii="Times New Roman" w:hAnsi="Times New Roman" w:cs="Times New Roman"/>
                <w:bCs/>
                <w:sz w:val="24"/>
                <w:szCs w:val="24"/>
              </w:rPr>
              <w:t>.000</w:t>
            </w:r>
          </w:p>
        </w:tc>
      </w:tr>
      <w:tr w:rsidR="00A31B25" w14:paraId="5C16641E" w14:textId="77777777" w:rsidTr="00196453">
        <w:trPr>
          <w:trHeight w:hRule="exact" w:val="288"/>
        </w:trPr>
        <w:tc>
          <w:tcPr>
            <w:tcW w:w="3150" w:type="dxa"/>
          </w:tcPr>
          <w:p w14:paraId="59C94644" w14:textId="4E6911EF"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700" w:type="dxa"/>
          </w:tcPr>
          <w:p w14:paraId="199977B8" w14:textId="322283D0" w:rsidR="00A31B25"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2281.9</w:t>
            </w:r>
          </w:p>
        </w:tc>
        <w:tc>
          <w:tcPr>
            <w:tcW w:w="1710" w:type="dxa"/>
          </w:tcPr>
          <w:p w14:paraId="2F929F98" w14:textId="42FD0C33" w:rsidR="00A31B25" w:rsidRPr="00196453"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196453">
              <w:rPr>
                <w:rFonts w:ascii="Times New Roman" w:hAnsi="Times New Roman" w:cs="Times New Roman"/>
                <w:bCs/>
                <w:sz w:val="24"/>
                <w:szCs w:val="24"/>
              </w:rPr>
              <w:t>.18</w:t>
            </w:r>
          </w:p>
        </w:tc>
        <w:tc>
          <w:tcPr>
            <w:tcW w:w="1800" w:type="dxa"/>
          </w:tcPr>
          <w:p w14:paraId="6AAB26D1" w14:textId="77777777" w:rsidR="00A35656" w:rsidRPr="00222784" w:rsidRDefault="00A35656" w:rsidP="00A3565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&lt;.</w:t>
            </w:r>
            <w:r w:rsidRPr="005C0DD5">
              <w:rPr>
                <w:rFonts w:ascii="Times New Roman" w:hAnsi="Times New Roman" w:cs="Times New Roman"/>
                <w:bCs/>
                <w:sz w:val="24"/>
                <w:szCs w:val="24"/>
              </w:rPr>
              <w:t>0</w:t>
            </w:r>
            <w:r>
              <w:rPr>
                <w:rFonts w:ascii="Times New Roman" w:hAnsi="Times New Roman" w:cs="Times New Roman"/>
                <w:bCs/>
                <w:sz w:val="24"/>
                <w:szCs w:val="24"/>
              </w:rPr>
              <w:t>01</w:t>
            </w:r>
          </w:p>
          <w:p w14:paraId="76A2BC15" w14:textId="77777777" w:rsidR="00A31B25" w:rsidRPr="003E0A70"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cs="Times New Roman"/>
                <w:bCs/>
                <w:sz w:val="24"/>
                <w:szCs w:val="24"/>
              </w:rPr>
              <w:t xml:space="preserve">  </w:t>
            </w:r>
          </w:p>
        </w:tc>
      </w:tr>
      <w:tr w:rsidR="00A31B25" w14:paraId="389B43AC" w14:textId="77777777" w:rsidTr="00196453">
        <w:trPr>
          <w:trHeight w:hRule="exact" w:val="288"/>
        </w:trPr>
        <w:tc>
          <w:tcPr>
            <w:tcW w:w="3150" w:type="dxa"/>
          </w:tcPr>
          <w:p w14:paraId="620BC1B7" w14:textId="77777777"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7F33CC">
              <w:rPr>
                <w:rFonts w:ascii="Times New Roman" w:hAnsi="Times New Roman"/>
                <w:bCs/>
                <w:sz w:val="24"/>
                <w:szCs w:val="24"/>
              </w:rPr>
              <w:t xml:space="preserve">2. </w:t>
            </w:r>
            <w:r>
              <w:rPr>
                <w:rFonts w:ascii="Times New Roman" w:hAnsi="Times New Roman"/>
                <w:bCs/>
                <w:sz w:val="24"/>
                <w:szCs w:val="24"/>
              </w:rPr>
              <w:t>Covariate (</w:t>
            </w:r>
            <w:proofErr w:type="spellStart"/>
            <w:r>
              <w:rPr>
                <w:rFonts w:ascii="Times New Roman" w:hAnsi="Times New Roman"/>
                <w:bCs/>
                <w:sz w:val="24"/>
                <w:szCs w:val="24"/>
              </w:rPr>
              <w:t>YSR</w:t>
            </w:r>
            <w:r w:rsidRPr="007F33CC">
              <w:rPr>
                <w:rFonts w:ascii="Times New Roman" w:hAnsi="Times New Roman"/>
                <w:bCs/>
                <w:sz w:val="24"/>
                <w:szCs w:val="24"/>
                <w:vertAlign w:val="subscript"/>
              </w:rPr>
              <w:t>ex</w:t>
            </w:r>
            <w:r w:rsidRPr="00B42D8B">
              <w:rPr>
                <w:rFonts w:ascii="Times New Roman" w:hAnsi="Times New Roman"/>
                <w:bCs/>
                <w:sz w:val="24"/>
                <w:szCs w:val="24"/>
                <w:vertAlign w:val="subscript"/>
              </w:rPr>
              <w:t>t</w:t>
            </w:r>
            <w:proofErr w:type="spellEnd"/>
            <w:r>
              <w:rPr>
                <w:rFonts w:ascii="Times New Roman" w:hAnsi="Times New Roman"/>
                <w:bCs/>
                <w:sz w:val="24"/>
                <w:szCs w:val="24"/>
              </w:rPr>
              <w:t>)</w:t>
            </w:r>
          </w:p>
        </w:tc>
        <w:tc>
          <w:tcPr>
            <w:tcW w:w="2700" w:type="dxa"/>
          </w:tcPr>
          <w:p w14:paraId="78137C1E" w14:textId="51249D8C" w:rsidR="00A31B25"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41547.4</w:t>
            </w:r>
          </w:p>
        </w:tc>
        <w:tc>
          <w:tcPr>
            <w:tcW w:w="1710" w:type="dxa"/>
          </w:tcPr>
          <w:p w14:paraId="1E8D87A8" w14:textId="3D41A26B" w:rsidR="00A31B25"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3.35</w:t>
            </w:r>
          </w:p>
        </w:tc>
        <w:tc>
          <w:tcPr>
            <w:tcW w:w="1800" w:type="dxa"/>
          </w:tcPr>
          <w:p w14:paraId="4C6ACF30" w14:textId="54A1B03E" w:rsidR="00A31B25" w:rsidRPr="003E0A70"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&lt;.01</w:t>
            </w:r>
          </w:p>
        </w:tc>
      </w:tr>
      <w:tr w:rsidR="00A31B25" w14:paraId="7ED591FF" w14:textId="77777777" w:rsidTr="00196453">
        <w:trPr>
          <w:trHeight w:hRule="exact" w:val="288"/>
        </w:trPr>
        <w:tc>
          <w:tcPr>
            <w:tcW w:w="3150" w:type="dxa"/>
          </w:tcPr>
          <w:p w14:paraId="377FF227" w14:textId="2FE1D02C"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700" w:type="dxa"/>
          </w:tcPr>
          <w:p w14:paraId="4279A5BF" w14:textId="359A1257" w:rsidR="00A31B25"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4.14</w:t>
            </w:r>
          </w:p>
        </w:tc>
        <w:tc>
          <w:tcPr>
            <w:tcW w:w="1710" w:type="dxa"/>
          </w:tcPr>
          <w:p w14:paraId="4FD87996" w14:textId="7CF25DCC" w:rsidR="00A31B25" w:rsidRPr="00196453"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196453">
              <w:rPr>
                <w:rFonts w:ascii="Times New Roman" w:hAnsi="Times New Roman"/>
                <w:bCs/>
                <w:sz w:val="24"/>
                <w:szCs w:val="24"/>
              </w:rPr>
              <w:t>&lt;.001</w:t>
            </w:r>
          </w:p>
        </w:tc>
        <w:tc>
          <w:tcPr>
            <w:tcW w:w="1800" w:type="dxa"/>
          </w:tcPr>
          <w:p w14:paraId="3EBD4A3B" w14:textId="534B1631" w:rsidR="00A31B25" w:rsidRPr="00196453"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196453">
              <w:rPr>
                <w:rFonts w:ascii="Times New Roman" w:hAnsi="Times New Roman"/>
                <w:bCs/>
                <w:sz w:val="24"/>
                <w:szCs w:val="24"/>
              </w:rPr>
              <w:t>&lt;.001</w:t>
            </w:r>
          </w:p>
        </w:tc>
      </w:tr>
      <w:tr w:rsidR="00A31B25" w14:paraId="3552939B" w14:textId="77777777" w:rsidTr="00196453">
        <w:trPr>
          <w:trHeight w:hRule="exact" w:val="279"/>
        </w:trPr>
        <w:tc>
          <w:tcPr>
            <w:tcW w:w="3150" w:type="dxa"/>
          </w:tcPr>
          <w:p w14:paraId="624ED84C" w14:textId="77777777"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3</w:t>
            </w:r>
            <w:r w:rsidRPr="007F33CC">
              <w:rPr>
                <w:rFonts w:ascii="Times New Roman" w:hAnsi="Times New Roman"/>
                <w:bCs/>
                <w:sz w:val="24"/>
                <w:szCs w:val="24"/>
              </w:rPr>
              <w:t xml:space="preserve">. </w:t>
            </w:r>
            <w:r>
              <w:rPr>
                <w:rFonts w:ascii="Times New Roman" w:hAnsi="Times New Roman"/>
                <w:bCs/>
                <w:sz w:val="24"/>
                <w:szCs w:val="24"/>
              </w:rPr>
              <w:t>Covariate (</w:t>
            </w:r>
            <w:proofErr w:type="spellStart"/>
            <w:r>
              <w:rPr>
                <w:rFonts w:ascii="Times New Roman" w:hAnsi="Times New Roman"/>
                <w:bCs/>
                <w:sz w:val="24"/>
                <w:szCs w:val="24"/>
              </w:rPr>
              <w:t>CBCL</w:t>
            </w:r>
            <w:r w:rsidRPr="00B42D8B">
              <w:rPr>
                <w:rFonts w:ascii="Times New Roman" w:hAnsi="Times New Roman"/>
                <w:bCs/>
                <w:sz w:val="24"/>
                <w:szCs w:val="24"/>
                <w:vertAlign w:val="subscript"/>
              </w:rPr>
              <w:t>int</w:t>
            </w:r>
            <w:proofErr w:type="spellEnd"/>
            <w:r>
              <w:rPr>
                <w:rFonts w:ascii="Times New Roman" w:hAnsi="Times New Roman"/>
                <w:bCs/>
                <w:sz w:val="24"/>
                <w:szCs w:val="24"/>
              </w:rPr>
              <w:t>)</w:t>
            </w:r>
          </w:p>
        </w:tc>
        <w:tc>
          <w:tcPr>
            <w:tcW w:w="2700" w:type="dxa"/>
          </w:tcPr>
          <w:p w14:paraId="05CCD4C6" w14:textId="4B3ADC6E" w:rsidR="00A31B25"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92279.1</w:t>
            </w:r>
          </w:p>
        </w:tc>
        <w:tc>
          <w:tcPr>
            <w:tcW w:w="1710" w:type="dxa"/>
          </w:tcPr>
          <w:p w14:paraId="1E0B5865" w14:textId="0110B8BD" w:rsidR="00A31B25" w:rsidRPr="00196453"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bCs/>
                <w:sz w:val="24"/>
                <w:szCs w:val="24"/>
              </w:rPr>
            </w:pPr>
            <w:r w:rsidRPr="00196453">
              <w:rPr>
                <w:rFonts w:ascii="Times New Roman" w:hAnsi="Times New Roman"/>
                <w:b/>
                <w:bCs/>
                <w:sz w:val="24"/>
                <w:szCs w:val="24"/>
              </w:rPr>
              <w:t>7.52**</w:t>
            </w:r>
          </w:p>
        </w:tc>
        <w:tc>
          <w:tcPr>
            <w:tcW w:w="1800" w:type="dxa"/>
          </w:tcPr>
          <w:p w14:paraId="344AD177" w14:textId="2A52F3CA" w:rsidR="00A31B25" w:rsidRPr="00196453"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bCs/>
                <w:sz w:val="24"/>
                <w:szCs w:val="24"/>
              </w:rPr>
            </w:pPr>
            <w:r w:rsidRPr="00196453">
              <w:rPr>
                <w:rFonts w:ascii="Times New Roman" w:hAnsi="Times New Roman"/>
                <w:b/>
                <w:bCs/>
                <w:sz w:val="24"/>
                <w:szCs w:val="24"/>
              </w:rPr>
              <w:t>.02</w:t>
            </w:r>
          </w:p>
        </w:tc>
      </w:tr>
      <w:tr w:rsidR="00A31B25" w14:paraId="168C2165" w14:textId="77777777" w:rsidTr="00196453">
        <w:trPr>
          <w:trHeight w:hRule="exact" w:val="288"/>
        </w:trPr>
        <w:tc>
          <w:tcPr>
            <w:tcW w:w="3150" w:type="dxa"/>
          </w:tcPr>
          <w:p w14:paraId="3BF55ED3" w14:textId="04FBF35E"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700" w:type="dxa"/>
          </w:tcPr>
          <w:p w14:paraId="4F43A35C" w14:textId="4E1AA566" w:rsidR="00A31B25"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3.38</w:t>
            </w:r>
          </w:p>
        </w:tc>
        <w:tc>
          <w:tcPr>
            <w:tcW w:w="1710" w:type="dxa"/>
          </w:tcPr>
          <w:p w14:paraId="70DEF109" w14:textId="3DA86D69" w:rsidR="00A31B25" w:rsidRPr="00AE6628"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8001E0">
              <w:rPr>
                <w:rFonts w:ascii="Times New Roman" w:hAnsi="Times New Roman"/>
                <w:bCs/>
                <w:sz w:val="24"/>
                <w:szCs w:val="24"/>
              </w:rPr>
              <w:t>&lt;.001</w:t>
            </w:r>
          </w:p>
        </w:tc>
        <w:tc>
          <w:tcPr>
            <w:tcW w:w="1800" w:type="dxa"/>
          </w:tcPr>
          <w:p w14:paraId="33D1E6B3" w14:textId="017A3CC6" w:rsidR="00A31B25" w:rsidRPr="000F1BEA" w:rsidRDefault="00A35656"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
                <w:sz w:val="24"/>
                <w:szCs w:val="24"/>
              </w:rPr>
            </w:pPr>
            <w:r w:rsidRPr="008001E0">
              <w:rPr>
                <w:rFonts w:ascii="Times New Roman" w:hAnsi="Times New Roman"/>
                <w:bCs/>
                <w:sz w:val="24"/>
                <w:szCs w:val="24"/>
              </w:rPr>
              <w:t>&lt;.001</w:t>
            </w:r>
          </w:p>
        </w:tc>
      </w:tr>
      <w:tr w:rsidR="00A31B25" w14:paraId="717CA056" w14:textId="77777777" w:rsidTr="00196453">
        <w:trPr>
          <w:trHeight w:hRule="exact" w:val="279"/>
        </w:trPr>
        <w:tc>
          <w:tcPr>
            <w:tcW w:w="3150" w:type="dxa"/>
          </w:tcPr>
          <w:p w14:paraId="18E9D44B" w14:textId="77777777"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4</w:t>
            </w:r>
            <w:r w:rsidRPr="007F33CC">
              <w:rPr>
                <w:rFonts w:ascii="Times New Roman" w:hAnsi="Times New Roman"/>
                <w:bCs/>
                <w:sz w:val="24"/>
                <w:szCs w:val="24"/>
              </w:rPr>
              <w:t xml:space="preserve">. </w:t>
            </w:r>
            <w:r>
              <w:rPr>
                <w:rFonts w:ascii="Times New Roman" w:hAnsi="Times New Roman"/>
                <w:bCs/>
                <w:sz w:val="24"/>
                <w:szCs w:val="24"/>
              </w:rPr>
              <w:t>Covariate (</w:t>
            </w:r>
            <w:proofErr w:type="spellStart"/>
            <w:r>
              <w:rPr>
                <w:rFonts w:ascii="Times New Roman" w:hAnsi="Times New Roman"/>
                <w:bCs/>
                <w:sz w:val="24"/>
                <w:szCs w:val="24"/>
              </w:rPr>
              <w:t>CBCL</w:t>
            </w:r>
            <w:r>
              <w:rPr>
                <w:rFonts w:ascii="Times New Roman" w:hAnsi="Times New Roman"/>
                <w:bCs/>
                <w:sz w:val="24"/>
                <w:szCs w:val="24"/>
                <w:vertAlign w:val="subscript"/>
              </w:rPr>
              <w:t>ext</w:t>
            </w:r>
            <w:proofErr w:type="spellEnd"/>
            <w:r>
              <w:rPr>
                <w:rFonts w:ascii="Times New Roman" w:hAnsi="Times New Roman"/>
                <w:bCs/>
                <w:sz w:val="24"/>
                <w:szCs w:val="24"/>
              </w:rPr>
              <w:t>)</w:t>
            </w:r>
          </w:p>
        </w:tc>
        <w:tc>
          <w:tcPr>
            <w:tcW w:w="2700" w:type="dxa"/>
          </w:tcPr>
          <w:p w14:paraId="5D82085A" w14:textId="0057B697" w:rsidR="00A31B25" w:rsidRDefault="00CE52DA"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123.3</w:t>
            </w:r>
          </w:p>
        </w:tc>
        <w:tc>
          <w:tcPr>
            <w:tcW w:w="1710" w:type="dxa"/>
          </w:tcPr>
          <w:p w14:paraId="60874CFE" w14:textId="69F7EA58" w:rsidR="00A31B25" w:rsidRDefault="00CE52DA"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.01</w:t>
            </w:r>
          </w:p>
        </w:tc>
        <w:tc>
          <w:tcPr>
            <w:tcW w:w="1800" w:type="dxa"/>
          </w:tcPr>
          <w:p w14:paraId="41A1A67B" w14:textId="1BF36EA6" w:rsidR="00A31B25" w:rsidRPr="003E0A70" w:rsidRDefault="00CE52DA"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001E0">
              <w:rPr>
                <w:rFonts w:ascii="Times New Roman" w:hAnsi="Times New Roman"/>
                <w:bCs/>
                <w:sz w:val="24"/>
                <w:szCs w:val="24"/>
              </w:rPr>
              <w:t>&lt;.001</w:t>
            </w:r>
          </w:p>
        </w:tc>
      </w:tr>
      <w:tr w:rsidR="00A31B25" w14:paraId="792AA6CD" w14:textId="77777777" w:rsidTr="00196453">
        <w:trPr>
          <w:trHeight w:hRule="exact" w:val="279"/>
        </w:trPr>
        <w:tc>
          <w:tcPr>
            <w:tcW w:w="3150" w:type="dxa"/>
            <w:tcBorders>
              <w:bottom w:val="single" w:sz="4" w:space="0" w:color="auto"/>
            </w:tcBorders>
          </w:tcPr>
          <w:p w14:paraId="551FF369" w14:textId="50B40649" w:rsidR="00A31B25" w:rsidRDefault="00A31B25"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bCs/>
                <w:sz w:val="24"/>
                <w:szCs w:val="24"/>
              </w:rPr>
              <w:t xml:space="preserve">    Group (CG v. GM youth)</w:t>
            </w:r>
          </w:p>
        </w:tc>
        <w:tc>
          <w:tcPr>
            <w:tcW w:w="2700" w:type="dxa"/>
            <w:tcBorders>
              <w:bottom w:val="single" w:sz="4" w:space="0" w:color="auto"/>
            </w:tcBorders>
          </w:tcPr>
          <w:p w14:paraId="45C9D9D6" w14:textId="07D95501" w:rsidR="00A31B25" w:rsidRDefault="00CE52DA"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2260.3</w:t>
            </w:r>
          </w:p>
        </w:tc>
        <w:tc>
          <w:tcPr>
            <w:tcW w:w="1710" w:type="dxa"/>
            <w:tcBorders>
              <w:bottom w:val="single" w:sz="4" w:space="0" w:color="auto"/>
            </w:tcBorders>
          </w:tcPr>
          <w:p w14:paraId="6BB6C6A6" w14:textId="07C1A40A" w:rsidR="00A31B25" w:rsidRPr="00196453" w:rsidRDefault="00CE52DA"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196453">
              <w:rPr>
                <w:rFonts w:ascii="Times New Roman" w:hAnsi="Times New Roman"/>
                <w:bCs/>
                <w:sz w:val="24"/>
                <w:szCs w:val="24"/>
              </w:rPr>
              <w:t>.18</w:t>
            </w:r>
          </w:p>
        </w:tc>
        <w:tc>
          <w:tcPr>
            <w:tcW w:w="1800" w:type="dxa"/>
            <w:tcBorders>
              <w:bottom w:val="single" w:sz="4" w:space="0" w:color="auto"/>
            </w:tcBorders>
          </w:tcPr>
          <w:p w14:paraId="50F24414" w14:textId="7215EE6F" w:rsidR="00A31B25" w:rsidRPr="003E0A70" w:rsidRDefault="00CE52DA" w:rsidP="005113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8001E0">
              <w:rPr>
                <w:rFonts w:ascii="Times New Roman" w:hAnsi="Times New Roman"/>
                <w:bCs/>
                <w:sz w:val="24"/>
                <w:szCs w:val="24"/>
              </w:rPr>
              <w:t>&lt;.001</w:t>
            </w:r>
          </w:p>
        </w:tc>
      </w:tr>
      <w:tr w:rsidR="00484429" w14:paraId="3ECDBA83" w14:textId="77777777" w:rsidTr="00196453">
        <w:trPr>
          <w:trHeight w:hRule="exact" w:val="279"/>
        </w:trPr>
        <w:tc>
          <w:tcPr>
            <w:tcW w:w="9360" w:type="dxa"/>
            <w:gridSpan w:val="4"/>
            <w:tcBorders>
              <w:top w:val="single" w:sz="4" w:space="0" w:color="auto"/>
            </w:tcBorders>
          </w:tcPr>
          <w:p w14:paraId="4A69256E" w14:textId="762CEB26" w:rsidR="00484429" w:rsidRPr="000F1BEA" w:rsidRDefault="00196453" w:rsidP="0019645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rPr>
                <w:rFonts w:ascii="Times New Roman" w:hAnsi="Times New Roman" w:cs="Times New Roman"/>
                <w:b/>
                <w:sz w:val="24"/>
                <w:szCs w:val="24"/>
              </w:rPr>
            </w:pPr>
            <w:r>
              <w:rPr>
                <w:rFonts w:ascii="Times New Roman" w:hAnsi="Times New Roman"/>
                <w:sz w:val="24"/>
                <w:szCs w:val="24"/>
              </w:rPr>
              <w:t xml:space="preserve">Treatment Duration in Number of </w:t>
            </w:r>
            <w:r w:rsidR="00484429">
              <w:rPr>
                <w:rFonts w:ascii="Times New Roman" w:hAnsi="Times New Roman"/>
                <w:sz w:val="24"/>
                <w:szCs w:val="24"/>
              </w:rPr>
              <w:t>Sessions</w:t>
            </w:r>
          </w:p>
        </w:tc>
      </w:tr>
      <w:tr w:rsidR="00BD3D91" w14:paraId="5276E0F6" w14:textId="77777777" w:rsidTr="00196453">
        <w:trPr>
          <w:trHeight w:hRule="exact" w:val="279"/>
        </w:trPr>
        <w:tc>
          <w:tcPr>
            <w:tcW w:w="3150" w:type="dxa"/>
            <w:tcBorders>
              <w:bottom w:val="single" w:sz="4" w:space="0" w:color="auto"/>
            </w:tcBorders>
          </w:tcPr>
          <w:p w14:paraId="58F51A06" w14:textId="22E71F4B" w:rsidR="00BD3D91" w:rsidRDefault="00BD3D91" w:rsidP="00BD3D9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sz w:val="24"/>
                <w:szCs w:val="24"/>
              </w:rPr>
              <w:t>Variable</w:t>
            </w:r>
          </w:p>
        </w:tc>
        <w:tc>
          <w:tcPr>
            <w:tcW w:w="2700" w:type="dxa"/>
            <w:tcBorders>
              <w:bottom w:val="single" w:sz="4" w:space="0" w:color="auto"/>
            </w:tcBorders>
          </w:tcPr>
          <w:p w14:paraId="4DF43923" w14:textId="1C463C4C" w:rsidR="00BD3D91" w:rsidRDefault="00BD3D91" w:rsidP="00BD3D9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sz w:val="24"/>
                <w:szCs w:val="24"/>
              </w:rPr>
              <w:t>Type III Sum of Squares</w:t>
            </w:r>
          </w:p>
        </w:tc>
        <w:tc>
          <w:tcPr>
            <w:tcW w:w="1710" w:type="dxa"/>
            <w:tcBorders>
              <w:bottom w:val="single" w:sz="4" w:space="0" w:color="auto"/>
            </w:tcBorders>
          </w:tcPr>
          <w:p w14:paraId="2D40CF34" w14:textId="5B1AEF8F" w:rsidR="00BD3D91" w:rsidRPr="00AE6628" w:rsidRDefault="00BD3D91" w:rsidP="00BD3D9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proofErr w:type="gramStart"/>
            <w:r w:rsidRPr="003F66AF">
              <w:rPr>
                <w:rFonts w:ascii="Times New Roman" w:hAnsi="Times New Roman"/>
                <w:i/>
                <w:iCs/>
                <w:sz w:val="24"/>
                <w:szCs w:val="24"/>
              </w:rPr>
              <w:t>F</w:t>
            </w:r>
            <w:r>
              <w:rPr>
                <w:rFonts w:ascii="Times New Roman" w:hAnsi="Times New Roman"/>
                <w:sz w:val="24"/>
                <w:szCs w:val="24"/>
              </w:rPr>
              <w:t>(</w:t>
            </w:r>
            <w:proofErr w:type="gramEnd"/>
            <w:r>
              <w:rPr>
                <w:rFonts w:ascii="Times New Roman" w:hAnsi="Times New Roman"/>
                <w:sz w:val="24"/>
                <w:szCs w:val="24"/>
              </w:rPr>
              <w:t>1,</w:t>
            </w:r>
            <w:r w:rsidR="00CE52DA">
              <w:rPr>
                <w:rFonts w:ascii="Times New Roman" w:hAnsi="Times New Roman"/>
                <w:sz w:val="24"/>
                <w:szCs w:val="24"/>
              </w:rPr>
              <w:t>418</w:t>
            </w:r>
            <w:r>
              <w:rPr>
                <w:rFonts w:ascii="Times New Roman" w:hAnsi="Times New Roman"/>
                <w:sz w:val="24"/>
                <w:szCs w:val="24"/>
              </w:rPr>
              <w:t>)</w:t>
            </w:r>
          </w:p>
        </w:tc>
        <w:tc>
          <w:tcPr>
            <w:tcW w:w="1800" w:type="dxa"/>
            <w:tcBorders>
              <w:bottom w:val="single" w:sz="4" w:space="0" w:color="auto"/>
            </w:tcBorders>
          </w:tcPr>
          <w:p w14:paraId="2A59CF6A" w14:textId="589D09CD" w:rsidR="00BD3D91" w:rsidRPr="000F1BEA" w:rsidRDefault="00BD3D91" w:rsidP="00BD3D9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sidRPr="005C0DD5">
              <w:rPr>
                <w:rFonts w:ascii="Times New Roman" w:hAnsi="Times New Roman" w:cs="Times New Roman"/>
                <w:bCs/>
                <w:sz w:val="24"/>
                <w:szCs w:val="24"/>
              </w:rPr>
              <w:t>η</w:t>
            </w:r>
            <w:r w:rsidRPr="007F33CC">
              <w:rPr>
                <w:rFonts w:ascii="Times New Roman" w:hAnsi="Times New Roman" w:cs="Times New Roman"/>
                <w:bCs/>
                <w:sz w:val="24"/>
                <w:szCs w:val="24"/>
                <w:vertAlign w:val="superscript"/>
              </w:rPr>
              <w:t>2</w:t>
            </w:r>
          </w:p>
        </w:tc>
      </w:tr>
      <w:tr w:rsidR="00484429" w14:paraId="4807AFEE" w14:textId="77777777" w:rsidTr="00196453">
        <w:trPr>
          <w:trHeight w:hRule="exact" w:val="279"/>
        </w:trPr>
        <w:tc>
          <w:tcPr>
            <w:tcW w:w="3150" w:type="dxa"/>
            <w:tcBorders>
              <w:top w:val="single" w:sz="4" w:space="0" w:color="auto"/>
            </w:tcBorders>
          </w:tcPr>
          <w:p w14:paraId="0808B85E" w14:textId="17A85165" w:rsidR="00484429" w:rsidRDefault="00484429"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bCs/>
                <w:sz w:val="24"/>
                <w:szCs w:val="24"/>
              </w:rPr>
              <w:t>1. Covariate (</w:t>
            </w:r>
            <w:proofErr w:type="spellStart"/>
            <w:r>
              <w:rPr>
                <w:rFonts w:ascii="Times New Roman" w:hAnsi="Times New Roman"/>
                <w:bCs/>
                <w:sz w:val="24"/>
                <w:szCs w:val="24"/>
              </w:rPr>
              <w:t>YSR</w:t>
            </w:r>
            <w:r w:rsidRPr="007F33CC">
              <w:rPr>
                <w:rFonts w:ascii="Times New Roman" w:hAnsi="Times New Roman"/>
                <w:bCs/>
                <w:sz w:val="24"/>
                <w:szCs w:val="24"/>
                <w:vertAlign w:val="subscript"/>
              </w:rPr>
              <w:t>int</w:t>
            </w:r>
            <w:proofErr w:type="spellEnd"/>
            <w:r>
              <w:rPr>
                <w:rFonts w:ascii="Times New Roman" w:hAnsi="Times New Roman"/>
                <w:bCs/>
                <w:sz w:val="24"/>
                <w:szCs w:val="24"/>
              </w:rPr>
              <w:t>)</w:t>
            </w:r>
          </w:p>
        </w:tc>
        <w:tc>
          <w:tcPr>
            <w:tcW w:w="2700" w:type="dxa"/>
            <w:tcBorders>
              <w:top w:val="single" w:sz="4" w:space="0" w:color="auto"/>
            </w:tcBorders>
          </w:tcPr>
          <w:p w14:paraId="51959A48" w14:textId="7A4D3931" w:rsidR="00484429" w:rsidRDefault="00CE52DA"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178.7</w:t>
            </w:r>
          </w:p>
        </w:tc>
        <w:tc>
          <w:tcPr>
            <w:tcW w:w="1710" w:type="dxa"/>
            <w:tcBorders>
              <w:top w:val="single" w:sz="4" w:space="0" w:color="auto"/>
            </w:tcBorders>
          </w:tcPr>
          <w:p w14:paraId="734C9578" w14:textId="64D1305D" w:rsidR="00484429" w:rsidRPr="00196453" w:rsidRDefault="00CE52DA"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196453">
              <w:rPr>
                <w:rFonts w:ascii="Times New Roman" w:hAnsi="Times New Roman" w:cs="Times New Roman"/>
                <w:bCs/>
                <w:sz w:val="24"/>
                <w:szCs w:val="24"/>
              </w:rPr>
              <w:t>1.50</w:t>
            </w:r>
          </w:p>
        </w:tc>
        <w:tc>
          <w:tcPr>
            <w:tcW w:w="1800" w:type="dxa"/>
            <w:tcBorders>
              <w:top w:val="single" w:sz="4" w:space="0" w:color="auto"/>
            </w:tcBorders>
          </w:tcPr>
          <w:p w14:paraId="5C0F0A36" w14:textId="09FBF972" w:rsidR="00484429" w:rsidRPr="000F1BEA" w:rsidRDefault="00CE52DA"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Pr>
                <w:rFonts w:ascii="Times New Roman" w:hAnsi="Times New Roman"/>
                <w:sz w:val="24"/>
                <w:szCs w:val="24"/>
              </w:rPr>
              <w:t>&lt;.01</w:t>
            </w:r>
          </w:p>
        </w:tc>
      </w:tr>
      <w:tr w:rsidR="00484429" w14:paraId="02FAB4C6" w14:textId="77777777" w:rsidTr="00196453">
        <w:trPr>
          <w:trHeight w:hRule="exact" w:val="279"/>
        </w:trPr>
        <w:tc>
          <w:tcPr>
            <w:tcW w:w="3150" w:type="dxa"/>
          </w:tcPr>
          <w:p w14:paraId="69F51008" w14:textId="2561EDA5" w:rsidR="00484429" w:rsidRDefault="00484429"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bCs/>
                <w:sz w:val="24"/>
                <w:szCs w:val="24"/>
              </w:rPr>
              <w:t xml:space="preserve">    Group (CG v. GM youth)</w:t>
            </w:r>
          </w:p>
        </w:tc>
        <w:tc>
          <w:tcPr>
            <w:tcW w:w="2700" w:type="dxa"/>
          </w:tcPr>
          <w:p w14:paraId="7974E330" w14:textId="63D0B715" w:rsidR="00484429" w:rsidRDefault="00CE52DA"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39.5</w:t>
            </w:r>
          </w:p>
        </w:tc>
        <w:tc>
          <w:tcPr>
            <w:tcW w:w="1710" w:type="dxa"/>
          </w:tcPr>
          <w:p w14:paraId="143C91F1" w14:textId="5F94EFF8" w:rsidR="00484429" w:rsidRPr="00196453" w:rsidRDefault="00CE52DA"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196453">
              <w:rPr>
                <w:rFonts w:ascii="Times New Roman" w:hAnsi="Times New Roman" w:cs="Times New Roman"/>
                <w:bCs/>
                <w:sz w:val="24"/>
                <w:szCs w:val="24"/>
              </w:rPr>
              <w:t>.33</w:t>
            </w:r>
          </w:p>
        </w:tc>
        <w:tc>
          <w:tcPr>
            <w:tcW w:w="1800" w:type="dxa"/>
          </w:tcPr>
          <w:p w14:paraId="72B7746F" w14:textId="1D58D2F3" w:rsidR="00484429" w:rsidRPr="000F1BEA" w:rsidRDefault="00CE52DA" w:rsidP="0048442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Pr>
                <w:rFonts w:ascii="Times New Roman" w:hAnsi="Times New Roman"/>
                <w:sz w:val="24"/>
                <w:szCs w:val="24"/>
              </w:rPr>
              <w:t>&lt;.01</w:t>
            </w:r>
          </w:p>
        </w:tc>
      </w:tr>
      <w:tr w:rsidR="00CE52DA" w14:paraId="1C9E71F1" w14:textId="77777777" w:rsidTr="00196453">
        <w:trPr>
          <w:trHeight w:hRule="exact" w:val="279"/>
        </w:trPr>
        <w:tc>
          <w:tcPr>
            <w:tcW w:w="3150" w:type="dxa"/>
          </w:tcPr>
          <w:p w14:paraId="45199E55" w14:textId="60078AD4"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sidRPr="007F33CC">
              <w:rPr>
                <w:rFonts w:ascii="Times New Roman" w:hAnsi="Times New Roman"/>
                <w:bCs/>
                <w:sz w:val="24"/>
                <w:szCs w:val="24"/>
              </w:rPr>
              <w:t xml:space="preserve">2. </w:t>
            </w:r>
            <w:r>
              <w:rPr>
                <w:rFonts w:ascii="Times New Roman" w:hAnsi="Times New Roman"/>
                <w:bCs/>
                <w:sz w:val="24"/>
                <w:szCs w:val="24"/>
              </w:rPr>
              <w:t>Covariate (</w:t>
            </w:r>
            <w:proofErr w:type="spellStart"/>
            <w:r>
              <w:rPr>
                <w:rFonts w:ascii="Times New Roman" w:hAnsi="Times New Roman"/>
                <w:bCs/>
                <w:sz w:val="24"/>
                <w:szCs w:val="24"/>
              </w:rPr>
              <w:t>YSR</w:t>
            </w:r>
            <w:r w:rsidRPr="007F33CC">
              <w:rPr>
                <w:rFonts w:ascii="Times New Roman" w:hAnsi="Times New Roman"/>
                <w:bCs/>
                <w:sz w:val="24"/>
                <w:szCs w:val="24"/>
                <w:vertAlign w:val="subscript"/>
              </w:rPr>
              <w:t>ex</w:t>
            </w:r>
            <w:r w:rsidRPr="00B42D8B">
              <w:rPr>
                <w:rFonts w:ascii="Times New Roman" w:hAnsi="Times New Roman"/>
                <w:bCs/>
                <w:sz w:val="24"/>
                <w:szCs w:val="24"/>
                <w:vertAlign w:val="subscript"/>
              </w:rPr>
              <w:t>t</w:t>
            </w:r>
            <w:proofErr w:type="spellEnd"/>
            <w:r>
              <w:rPr>
                <w:rFonts w:ascii="Times New Roman" w:hAnsi="Times New Roman"/>
                <w:bCs/>
                <w:sz w:val="24"/>
                <w:szCs w:val="24"/>
              </w:rPr>
              <w:t>)</w:t>
            </w:r>
          </w:p>
        </w:tc>
        <w:tc>
          <w:tcPr>
            <w:tcW w:w="2700" w:type="dxa"/>
          </w:tcPr>
          <w:p w14:paraId="02DBEAE4" w14:textId="50FFD397"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333.6</w:t>
            </w:r>
          </w:p>
        </w:tc>
        <w:tc>
          <w:tcPr>
            <w:tcW w:w="1710" w:type="dxa"/>
          </w:tcPr>
          <w:p w14:paraId="49CECF4B" w14:textId="2C9CD23C" w:rsidR="00CE52DA" w:rsidRPr="00196453"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196453">
              <w:rPr>
                <w:rFonts w:ascii="Times New Roman" w:hAnsi="Times New Roman" w:cs="Times New Roman"/>
                <w:bCs/>
                <w:sz w:val="24"/>
                <w:szCs w:val="24"/>
              </w:rPr>
              <w:t>2.81</w:t>
            </w:r>
          </w:p>
        </w:tc>
        <w:tc>
          <w:tcPr>
            <w:tcW w:w="1800" w:type="dxa"/>
          </w:tcPr>
          <w:p w14:paraId="1DF35F5F" w14:textId="7C74129D" w:rsidR="00CE52DA" w:rsidRPr="000F1BE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Pr>
                <w:rFonts w:ascii="Times New Roman" w:hAnsi="Times New Roman"/>
                <w:sz w:val="24"/>
                <w:szCs w:val="24"/>
              </w:rPr>
              <w:t>&lt;.01</w:t>
            </w:r>
          </w:p>
        </w:tc>
      </w:tr>
      <w:tr w:rsidR="00CE52DA" w14:paraId="27E24C48" w14:textId="77777777" w:rsidTr="00196453">
        <w:trPr>
          <w:trHeight w:hRule="exact" w:val="279"/>
        </w:trPr>
        <w:tc>
          <w:tcPr>
            <w:tcW w:w="3150" w:type="dxa"/>
          </w:tcPr>
          <w:p w14:paraId="0585E765" w14:textId="38E6A597"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bCs/>
                <w:sz w:val="24"/>
                <w:szCs w:val="24"/>
              </w:rPr>
              <w:t xml:space="preserve">    Group (CG v. GM youth)</w:t>
            </w:r>
          </w:p>
        </w:tc>
        <w:tc>
          <w:tcPr>
            <w:tcW w:w="2700" w:type="dxa"/>
          </w:tcPr>
          <w:p w14:paraId="7D0AD40C" w14:textId="793B2066"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1.88</w:t>
            </w:r>
          </w:p>
        </w:tc>
        <w:tc>
          <w:tcPr>
            <w:tcW w:w="1710" w:type="dxa"/>
          </w:tcPr>
          <w:p w14:paraId="2375BFB4" w14:textId="065BAF0E" w:rsidR="00CE52DA" w:rsidRPr="00196453"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196453">
              <w:rPr>
                <w:rFonts w:ascii="Times New Roman" w:hAnsi="Times New Roman" w:cs="Times New Roman"/>
                <w:bCs/>
                <w:sz w:val="24"/>
                <w:szCs w:val="24"/>
              </w:rPr>
              <w:t>.02</w:t>
            </w:r>
          </w:p>
        </w:tc>
        <w:tc>
          <w:tcPr>
            <w:tcW w:w="1800" w:type="dxa"/>
          </w:tcPr>
          <w:p w14:paraId="7748333B" w14:textId="5F7B9A2F" w:rsidR="00CE52DA" w:rsidRPr="000F1BE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sidRPr="008001E0">
              <w:rPr>
                <w:rFonts w:ascii="Times New Roman" w:hAnsi="Times New Roman"/>
                <w:bCs/>
                <w:sz w:val="24"/>
                <w:szCs w:val="24"/>
              </w:rPr>
              <w:t>&lt;.001</w:t>
            </w:r>
          </w:p>
        </w:tc>
      </w:tr>
      <w:tr w:rsidR="00CE52DA" w14:paraId="009AEC92" w14:textId="77777777" w:rsidTr="00196453">
        <w:trPr>
          <w:trHeight w:hRule="exact" w:val="279"/>
        </w:trPr>
        <w:tc>
          <w:tcPr>
            <w:tcW w:w="3150" w:type="dxa"/>
          </w:tcPr>
          <w:p w14:paraId="2F9524B9" w14:textId="09E31DDC"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bCs/>
                <w:sz w:val="24"/>
                <w:szCs w:val="24"/>
              </w:rPr>
              <w:t>3</w:t>
            </w:r>
            <w:r w:rsidRPr="007F33CC">
              <w:rPr>
                <w:rFonts w:ascii="Times New Roman" w:hAnsi="Times New Roman"/>
                <w:bCs/>
                <w:sz w:val="24"/>
                <w:szCs w:val="24"/>
              </w:rPr>
              <w:t xml:space="preserve">. </w:t>
            </w:r>
            <w:r>
              <w:rPr>
                <w:rFonts w:ascii="Times New Roman" w:hAnsi="Times New Roman"/>
                <w:bCs/>
                <w:sz w:val="24"/>
                <w:szCs w:val="24"/>
              </w:rPr>
              <w:t>Covariate (</w:t>
            </w:r>
            <w:proofErr w:type="spellStart"/>
            <w:r>
              <w:rPr>
                <w:rFonts w:ascii="Times New Roman" w:hAnsi="Times New Roman"/>
                <w:bCs/>
                <w:sz w:val="24"/>
                <w:szCs w:val="24"/>
              </w:rPr>
              <w:t>CBCL</w:t>
            </w:r>
            <w:r w:rsidRPr="00B42D8B">
              <w:rPr>
                <w:rFonts w:ascii="Times New Roman" w:hAnsi="Times New Roman"/>
                <w:bCs/>
                <w:sz w:val="24"/>
                <w:szCs w:val="24"/>
                <w:vertAlign w:val="subscript"/>
              </w:rPr>
              <w:t>int</w:t>
            </w:r>
            <w:proofErr w:type="spellEnd"/>
            <w:r>
              <w:rPr>
                <w:rFonts w:ascii="Times New Roman" w:hAnsi="Times New Roman"/>
                <w:bCs/>
                <w:sz w:val="24"/>
                <w:szCs w:val="24"/>
              </w:rPr>
              <w:t>)</w:t>
            </w:r>
          </w:p>
        </w:tc>
        <w:tc>
          <w:tcPr>
            <w:tcW w:w="2700" w:type="dxa"/>
          </w:tcPr>
          <w:p w14:paraId="07AE9A63" w14:textId="2E739D72"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2619.0</w:t>
            </w:r>
          </w:p>
        </w:tc>
        <w:tc>
          <w:tcPr>
            <w:tcW w:w="1710" w:type="dxa"/>
          </w:tcPr>
          <w:p w14:paraId="50657EE3" w14:textId="02C9AAEA" w:rsidR="00CE52DA" w:rsidRPr="00AE6628"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Pr>
                <w:rFonts w:ascii="Times New Roman" w:hAnsi="Times New Roman" w:cs="Times New Roman"/>
                <w:b/>
                <w:sz w:val="24"/>
                <w:szCs w:val="24"/>
              </w:rPr>
              <w:t>23.1**</w:t>
            </w:r>
          </w:p>
        </w:tc>
        <w:tc>
          <w:tcPr>
            <w:tcW w:w="1800" w:type="dxa"/>
          </w:tcPr>
          <w:p w14:paraId="60C1A9C6" w14:textId="30263BAA" w:rsidR="00CE52DA" w:rsidRPr="000F1BE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Pr>
                <w:rFonts w:ascii="Times New Roman" w:hAnsi="Times New Roman" w:cs="Times New Roman"/>
                <w:b/>
                <w:sz w:val="24"/>
                <w:szCs w:val="24"/>
              </w:rPr>
              <w:t>.05</w:t>
            </w:r>
          </w:p>
        </w:tc>
      </w:tr>
      <w:tr w:rsidR="00CE52DA" w14:paraId="79C18868" w14:textId="77777777" w:rsidTr="00196453">
        <w:trPr>
          <w:trHeight w:hRule="exact" w:val="279"/>
        </w:trPr>
        <w:tc>
          <w:tcPr>
            <w:tcW w:w="3150" w:type="dxa"/>
          </w:tcPr>
          <w:p w14:paraId="52725622" w14:textId="036B52BF"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bCs/>
                <w:sz w:val="24"/>
                <w:szCs w:val="24"/>
              </w:rPr>
              <w:t xml:space="preserve">    Group (CG v. GM youth)</w:t>
            </w:r>
          </w:p>
        </w:tc>
        <w:tc>
          <w:tcPr>
            <w:tcW w:w="2700" w:type="dxa"/>
          </w:tcPr>
          <w:p w14:paraId="075F3FEE" w14:textId="6F5E087A"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23.0</w:t>
            </w:r>
          </w:p>
        </w:tc>
        <w:tc>
          <w:tcPr>
            <w:tcW w:w="1710" w:type="dxa"/>
          </w:tcPr>
          <w:p w14:paraId="6C2449C7" w14:textId="551732E1" w:rsidR="00CE52DA" w:rsidRPr="00196453"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196453">
              <w:rPr>
                <w:rFonts w:ascii="Times New Roman" w:hAnsi="Times New Roman" w:cs="Times New Roman"/>
                <w:bCs/>
                <w:sz w:val="24"/>
                <w:szCs w:val="24"/>
              </w:rPr>
              <w:t>.20</w:t>
            </w:r>
          </w:p>
        </w:tc>
        <w:tc>
          <w:tcPr>
            <w:tcW w:w="1800" w:type="dxa"/>
          </w:tcPr>
          <w:p w14:paraId="472F3999" w14:textId="122F8622" w:rsidR="00CE52DA" w:rsidRPr="000F1BEA" w:rsidRDefault="00010034"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
                <w:sz w:val="24"/>
                <w:szCs w:val="24"/>
              </w:rPr>
            </w:pPr>
            <w:r w:rsidRPr="008001E0">
              <w:rPr>
                <w:rFonts w:ascii="Times New Roman" w:hAnsi="Times New Roman"/>
                <w:bCs/>
                <w:sz w:val="24"/>
                <w:szCs w:val="24"/>
              </w:rPr>
              <w:t>&lt;.001</w:t>
            </w:r>
          </w:p>
        </w:tc>
      </w:tr>
      <w:tr w:rsidR="00CE52DA" w14:paraId="318321E5" w14:textId="77777777" w:rsidTr="00196453">
        <w:trPr>
          <w:trHeight w:hRule="exact" w:val="279"/>
        </w:trPr>
        <w:tc>
          <w:tcPr>
            <w:tcW w:w="3150" w:type="dxa"/>
          </w:tcPr>
          <w:p w14:paraId="221A5D01" w14:textId="3F50DECD"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bCs/>
                <w:sz w:val="24"/>
                <w:szCs w:val="24"/>
              </w:rPr>
              <w:t>4</w:t>
            </w:r>
            <w:r w:rsidRPr="007F33CC">
              <w:rPr>
                <w:rFonts w:ascii="Times New Roman" w:hAnsi="Times New Roman"/>
                <w:bCs/>
                <w:sz w:val="24"/>
                <w:szCs w:val="24"/>
              </w:rPr>
              <w:t xml:space="preserve">. </w:t>
            </w:r>
            <w:r>
              <w:rPr>
                <w:rFonts w:ascii="Times New Roman" w:hAnsi="Times New Roman"/>
                <w:bCs/>
                <w:sz w:val="24"/>
                <w:szCs w:val="24"/>
              </w:rPr>
              <w:t>Covariate (</w:t>
            </w:r>
            <w:proofErr w:type="spellStart"/>
            <w:r>
              <w:rPr>
                <w:rFonts w:ascii="Times New Roman" w:hAnsi="Times New Roman"/>
                <w:bCs/>
                <w:sz w:val="24"/>
                <w:szCs w:val="24"/>
              </w:rPr>
              <w:t>CBCL</w:t>
            </w:r>
            <w:r>
              <w:rPr>
                <w:rFonts w:ascii="Times New Roman" w:hAnsi="Times New Roman"/>
                <w:bCs/>
                <w:sz w:val="24"/>
                <w:szCs w:val="24"/>
                <w:vertAlign w:val="subscript"/>
              </w:rPr>
              <w:t>ext</w:t>
            </w:r>
            <w:proofErr w:type="spellEnd"/>
            <w:r>
              <w:rPr>
                <w:rFonts w:ascii="Times New Roman" w:hAnsi="Times New Roman"/>
                <w:bCs/>
                <w:sz w:val="24"/>
                <w:szCs w:val="24"/>
              </w:rPr>
              <w:t>)</w:t>
            </w:r>
          </w:p>
        </w:tc>
        <w:tc>
          <w:tcPr>
            <w:tcW w:w="2700" w:type="dxa"/>
          </w:tcPr>
          <w:p w14:paraId="686EC06F" w14:textId="13957C94" w:rsidR="00CE52DA" w:rsidRDefault="00010034"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23.4</w:t>
            </w:r>
          </w:p>
        </w:tc>
        <w:tc>
          <w:tcPr>
            <w:tcW w:w="1710" w:type="dxa"/>
          </w:tcPr>
          <w:p w14:paraId="7BD950B1" w14:textId="7127576C" w:rsidR="00CE52DA" w:rsidRPr="00196453" w:rsidRDefault="00010034"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196453">
              <w:rPr>
                <w:rFonts w:ascii="Times New Roman" w:hAnsi="Times New Roman" w:cs="Times New Roman"/>
                <w:bCs/>
                <w:sz w:val="24"/>
                <w:szCs w:val="24"/>
              </w:rPr>
              <w:t>.20</w:t>
            </w:r>
          </w:p>
        </w:tc>
        <w:tc>
          <w:tcPr>
            <w:tcW w:w="1800" w:type="dxa"/>
          </w:tcPr>
          <w:p w14:paraId="5AF9857E" w14:textId="253FBACD" w:rsidR="00CE52DA" w:rsidRPr="00196453" w:rsidRDefault="00010034"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8001E0">
              <w:rPr>
                <w:rFonts w:ascii="Times New Roman" w:hAnsi="Times New Roman"/>
                <w:bCs/>
                <w:sz w:val="24"/>
                <w:szCs w:val="24"/>
              </w:rPr>
              <w:t>&lt;.001</w:t>
            </w:r>
          </w:p>
        </w:tc>
      </w:tr>
      <w:tr w:rsidR="00CE52DA" w14:paraId="67EE8C5A" w14:textId="77777777" w:rsidTr="00196453">
        <w:trPr>
          <w:trHeight w:hRule="exact" w:val="279"/>
        </w:trPr>
        <w:tc>
          <w:tcPr>
            <w:tcW w:w="3150" w:type="dxa"/>
            <w:tcBorders>
              <w:bottom w:val="single" w:sz="4" w:space="0" w:color="auto"/>
            </w:tcBorders>
          </w:tcPr>
          <w:p w14:paraId="321A27C8" w14:textId="47522867" w:rsidR="00CE52DA" w:rsidRDefault="00CE52DA"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bCs/>
                <w:sz w:val="24"/>
                <w:szCs w:val="24"/>
              </w:rPr>
            </w:pPr>
            <w:r>
              <w:rPr>
                <w:rFonts w:ascii="Times New Roman" w:hAnsi="Times New Roman"/>
                <w:bCs/>
                <w:sz w:val="24"/>
                <w:szCs w:val="24"/>
              </w:rPr>
              <w:t xml:space="preserve">    Group (CG v. GM youth)</w:t>
            </w:r>
          </w:p>
        </w:tc>
        <w:tc>
          <w:tcPr>
            <w:tcW w:w="2700" w:type="dxa"/>
            <w:tcBorders>
              <w:bottom w:val="single" w:sz="4" w:space="0" w:color="auto"/>
            </w:tcBorders>
          </w:tcPr>
          <w:p w14:paraId="3074FF72" w14:textId="0E4C5B4C" w:rsidR="00CE52DA" w:rsidRDefault="00010034"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Pr>
                <w:rFonts w:ascii="Times New Roman" w:hAnsi="Times New Roman" w:cs="Times New Roman"/>
                <w:bCs/>
                <w:sz w:val="24"/>
                <w:szCs w:val="24"/>
              </w:rPr>
              <w:t>4.20</w:t>
            </w:r>
          </w:p>
        </w:tc>
        <w:tc>
          <w:tcPr>
            <w:tcW w:w="1710" w:type="dxa"/>
            <w:tcBorders>
              <w:bottom w:val="single" w:sz="4" w:space="0" w:color="auto"/>
            </w:tcBorders>
          </w:tcPr>
          <w:p w14:paraId="13787F73" w14:textId="544A8396" w:rsidR="00CE52DA" w:rsidRPr="00196453" w:rsidRDefault="00010034"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196453">
              <w:rPr>
                <w:rFonts w:ascii="Times New Roman" w:hAnsi="Times New Roman" w:cs="Times New Roman"/>
                <w:bCs/>
                <w:sz w:val="24"/>
                <w:szCs w:val="24"/>
              </w:rPr>
              <w:t>.04</w:t>
            </w:r>
          </w:p>
        </w:tc>
        <w:tc>
          <w:tcPr>
            <w:tcW w:w="1800" w:type="dxa"/>
            <w:tcBorders>
              <w:bottom w:val="single" w:sz="4" w:space="0" w:color="auto"/>
            </w:tcBorders>
          </w:tcPr>
          <w:p w14:paraId="10BE19C0" w14:textId="18EE0DC3" w:rsidR="00CE52DA" w:rsidRPr="00196453" w:rsidRDefault="00010034" w:rsidP="00CE52DA">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cs="Times New Roman"/>
                <w:bCs/>
                <w:sz w:val="24"/>
                <w:szCs w:val="24"/>
              </w:rPr>
            </w:pPr>
            <w:r w:rsidRPr="008001E0">
              <w:rPr>
                <w:rFonts w:ascii="Times New Roman" w:hAnsi="Times New Roman"/>
                <w:bCs/>
                <w:sz w:val="24"/>
                <w:szCs w:val="24"/>
              </w:rPr>
              <w:t>&lt;.001</w:t>
            </w:r>
          </w:p>
        </w:tc>
      </w:tr>
    </w:tbl>
    <w:p w14:paraId="5FA061C6" w14:textId="77777777" w:rsidR="00196453" w:rsidRDefault="00BD3D91" w:rsidP="00196453">
      <w:r w:rsidRPr="00196453">
        <w:rPr>
          <w:i/>
          <w:iCs/>
        </w:rPr>
        <w:t>Note</w:t>
      </w:r>
      <w:r w:rsidRPr="00196453">
        <w:t>.</w:t>
      </w:r>
      <w:r w:rsidR="005113C3">
        <w:t xml:space="preserve"> Treatment </w:t>
      </w:r>
      <w:r w:rsidR="00151D8E">
        <w:t>duration</w:t>
      </w:r>
      <w:r w:rsidR="00196453">
        <w:t>, in days and number of sessions, did not significantly differ across CG and GM youth when controlling for pretreatment symptom severity.</w:t>
      </w:r>
    </w:p>
    <w:p w14:paraId="26D3C1A6" w14:textId="77777777" w:rsidR="00196453" w:rsidRDefault="00196453" w:rsidP="00196453">
      <w:r>
        <w:t>**</w:t>
      </w:r>
      <w:r w:rsidRPr="00335A27">
        <w:rPr>
          <w:i/>
          <w:iCs/>
        </w:rPr>
        <w:t>p</w:t>
      </w:r>
      <w:r>
        <w:t xml:space="preserve"> &lt; .01.</w:t>
      </w:r>
    </w:p>
    <w:p w14:paraId="16B2FCC6" w14:textId="6B97FD63" w:rsidR="00697C49" w:rsidRDefault="00697C49" w:rsidP="009E408D"/>
    <w:p w14:paraId="343B0FEB" w14:textId="77777777" w:rsidR="00196453" w:rsidRPr="002B385F" w:rsidRDefault="00196453" w:rsidP="00196453">
      <w:pPr>
        <w:jc w:val="center"/>
        <w:rPr>
          <w:b/>
          <w:bCs/>
        </w:rPr>
      </w:pPr>
      <w:r w:rsidRPr="002B385F">
        <w:rPr>
          <w:b/>
          <w:bCs/>
        </w:rPr>
        <w:t>References</w:t>
      </w:r>
    </w:p>
    <w:p w14:paraId="58DE8435" w14:textId="77777777" w:rsidR="00196453" w:rsidRDefault="00196453" w:rsidP="00196453">
      <w:pPr>
        <w:rPr>
          <w:highlight w:val="white"/>
        </w:rPr>
      </w:pPr>
      <w:r>
        <w:rPr>
          <w:highlight w:val="white"/>
        </w:rPr>
        <w:t xml:space="preserve">Achenbach, T., &amp; Rescorla, L. (2001). </w:t>
      </w:r>
      <w:r>
        <w:rPr>
          <w:i/>
          <w:highlight w:val="white"/>
        </w:rPr>
        <w:t>The manual for the ASEBA school-age forms &amp; profiles</w:t>
      </w:r>
      <w:r>
        <w:rPr>
          <w:highlight w:val="white"/>
        </w:rPr>
        <w:t xml:space="preserve">. </w:t>
      </w:r>
    </w:p>
    <w:p w14:paraId="6B82DD49" w14:textId="77777777" w:rsidR="00196453" w:rsidRPr="002B385F" w:rsidRDefault="00196453" w:rsidP="00196453">
      <w:pPr>
        <w:ind w:left="720"/>
        <w:rPr>
          <w:highlight w:val="white"/>
        </w:rPr>
      </w:pPr>
      <w:r>
        <w:rPr>
          <w:highlight w:val="white"/>
        </w:rPr>
        <w:t>Burlington, VT: University of Vermont, Research Center for Children, Youth, &amp; Families.</w:t>
      </w:r>
    </w:p>
    <w:p w14:paraId="33813825" w14:textId="77777777" w:rsidR="00A31B25" w:rsidRDefault="00A31B25" w:rsidP="009E408D">
      <w:pPr>
        <w:rPr>
          <w:b/>
          <w:bCs/>
        </w:rPr>
      </w:pPr>
    </w:p>
    <w:p w14:paraId="47ABA632" w14:textId="77777777" w:rsidR="00A31B25" w:rsidRDefault="00A31B25" w:rsidP="009E408D">
      <w:pPr>
        <w:rPr>
          <w:b/>
          <w:bCs/>
        </w:rPr>
      </w:pPr>
    </w:p>
    <w:p w14:paraId="4E1F59B1" w14:textId="77777777" w:rsidR="00A31B25" w:rsidRDefault="00A31B25" w:rsidP="009E408D">
      <w:pPr>
        <w:rPr>
          <w:b/>
          <w:bCs/>
        </w:rPr>
      </w:pPr>
    </w:p>
    <w:p w14:paraId="34C3A2CD" w14:textId="77777777" w:rsidR="00A31B25" w:rsidRDefault="00A31B25" w:rsidP="009E408D">
      <w:pPr>
        <w:rPr>
          <w:b/>
          <w:bCs/>
        </w:rPr>
      </w:pPr>
    </w:p>
    <w:p w14:paraId="296BA627" w14:textId="77777777" w:rsidR="00A31B25" w:rsidRDefault="00A31B25" w:rsidP="009E408D">
      <w:pPr>
        <w:rPr>
          <w:b/>
          <w:bCs/>
        </w:rPr>
      </w:pPr>
    </w:p>
    <w:p w14:paraId="0EF86E2E" w14:textId="77777777" w:rsidR="00A31B25" w:rsidRDefault="00A31B25" w:rsidP="009E408D">
      <w:pPr>
        <w:rPr>
          <w:b/>
          <w:bCs/>
        </w:rPr>
      </w:pPr>
    </w:p>
    <w:p w14:paraId="169092E8" w14:textId="77777777" w:rsidR="00A31B25" w:rsidRDefault="00A31B25" w:rsidP="009E408D">
      <w:pPr>
        <w:rPr>
          <w:b/>
          <w:bCs/>
        </w:rPr>
      </w:pPr>
    </w:p>
    <w:p w14:paraId="676D4C02" w14:textId="77777777" w:rsidR="00A31B25" w:rsidRDefault="00A31B25" w:rsidP="009E408D">
      <w:pPr>
        <w:rPr>
          <w:b/>
          <w:bCs/>
        </w:rPr>
      </w:pPr>
    </w:p>
    <w:p w14:paraId="024B035C" w14:textId="77777777" w:rsidR="00A31B25" w:rsidRDefault="00A31B25" w:rsidP="009E408D">
      <w:pPr>
        <w:rPr>
          <w:b/>
          <w:bCs/>
        </w:rPr>
      </w:pPr>
    </w:p>
    <w:p w14:paraId="4F4C9978" w14:textId="77777777" w:rsidR="00A31B25" w:rsidRDefault="00A31B25" w:rsidP="009E408D">
      <w:pPr>
        <w:rPr>
          <w:b/>
          <w:bCs/>
        </w:rPr>
      </w:pPr>
    </w:p>
    <w:p w14:paraId="7E336B13" w14:textId="77777777" w:rsidR="00A31B25" w:rsidRDefault="00A31B25" w:rsidP="009E408D">
      <w:pPr>
        <w:rPr>
          <w:b/>
          <w:bCs/>
        </w:rPr>
      </w:pPr>
    </w:p>
    <w:p w14:paraId="2883F6DE" w14:textId="77777777" w:rsidR="00A31B25" w:rsidRDefault="00A31B25" w:rsidP="009E408D">
      <w:pPr>
        <w:rPr>
          <w:b/>
          <w:bCs/>
        </w:rPr>
      </w:pPr>
    </w:p>
    <w:p w14:paraId="19523BCD" w14:textId="77777777" w:rsidR="00A31B25" w:rsidRDefault="00A31B25" w:rsidP="009E408D">
      <w:pPr>
        <w:rPr>
          <w:b/>
          <w:bCs/>
        </w:rPr>
      </w:pPr>
    </w:p>
    <w:p w14:paraId="095FBDCA" w14:textId="77777777" w:rsidR="00A31B25" w:rsidRDefault="00A31B25" w:rsidP="009E408D">
      <w:pPr>
        <w:rPr>
          <w:b/>
          <w:bCs/>
        </w:rPr>
      </w:pPr>
    </w:p>
    <w:p w14:paraId="65C79AAF" w14:textId="77777777" w:rsidR="00A31B25" w:rsidRDefault="00A31B25" w:rsidP="009E408D">
      <w:pPr>
        <w:rPr>
          <w:b/>
          <w:bCs/>
        </w:rPr>
      </w:pPr>
    </w:p>
    <w:p w14:paraId="0BD3042D" w14:textId="77777777" w:rsidR="00697C49" w:rsidRDefault="00697C49" w:rsidP="009E408D">
      <w:pPr>
        <w:rPr>
          <w:b/>
          <w:bCs/>
        </w:rPr>
      </w:pPr>
    </w:p>
    <w:p w14:paraId="0F8857CF" w14:textId="5DF22A77" w:rsidR="00151D8E" w:rsidRDefault="00DE63FD" w:rsidP="009E408D">
      <w:pPr>
        <w:rPr>
          <w:b/>
          <w:bCs/>
        </w:rPr>
      </w:pPr>
      <w:r>
        <w:rPr>
          <w:b/>
          <w:bCs/>
        </w:rPr>
        <w:lastRenderedPageBreak/>
        <w:t xml:space="preserve">Supplementary </w:t>
      </w:r>
      <w:r w:rsidR="00196453">
        <w:rPr>
          <w:b/>
          <w:bCs/>
        </w:rPr>
        <w:t xml:space="preserve">Table S6. Symptom Severity and Improvement in </w:t>
      </w:r>
      <w:r w:rsidR="0028656C">
        <w:rPr>
          <w:b/>
          <w:bCs/>
        </w:rPr>
        <w:t>CG Youth by Birth-assigned Sex</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0"/>
        <w:gridCol w:w="2250"/>
        <w:gridCol w:w="2250"/>
        <w:gridCol w:w="1710"/>
        <w:gridCol w:w="360"/>
        <w:gridCol w:w="1260"/>
      </w:tblGrid>
      <w:tr w:rsidR="00FB6EB8" w14:paraId="402731EF" w14:textId="77777777" w:rsidTr="00444888">
        <w:trPr>
          <w:trHeight w:val="620"/>
        </w:trPr>
        <w:tc>
          <w:tcPr>
            <w:tcW w:w="1530" w:type="dxa"/>
            <w:tcBorders>
              <w:top w:val="single" w:sz="4" w:space="0" w:color="auto"/>
              <w:bottom w:val="single" w:sz="4" w:space="0" w:color="auto"/>
            </w:tcBorders>
          </w:tcPr>
          <w:p w14:paraId="65BEC886" w14:textId="79F06FBB"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Variable</w:t>
            </w:r>
          </w:p>
        </w:tc>
        <w:tc>
          <w:tcPr>
            <w:tcW w:w="2250" w:type="dxa"/>
            <w:tcBorders>
              <w:top w:val="single" w:sz="4" w:space="0" w:color="auto"/>
              <w:bottom w:val="single" w:sz="4" w:space="0" w:color="auto"/>
            </w:tcBorders>
          </w:tcPr>
          <w:p w14:paraId="631F9EAF" w14:textId="3B0EAB15"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Birth-assigned boys</w:t>
            </w:r>
          </w:p>
          <w:p w14:paraId="4F178FE4" w14:textId="0BD4909A"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w:t>
            </w:r>
            <w:r w:rsidRPr="00A859AD">
              <w:rPr>
                <w:rFonts w:ascii="Times New Roman" w:hAnsi="Times New Roman"/>
                <w:i/>
                <w:sz w:val="24"/>
                <w:szCs w:val="24"/>
              </w:rPr>
              <w:t>n</w:t>
            </w:r>
            <w:r>
              <w:rPr>
                <w:rFonts w:ascii="Times New Roman" w:hAnsi="Times New Roman"/>
                <w:sz w:val="24"/>
                <w:szCs w:val="24"/>
              </w:rPr>
              <w:t xml:space="preserve"> = </w:t>
            </w:r>
            <w:r w:rsidR="00F95866">
              <w:rPr>
                <w:rFonts w:ascii="Times New Roman" w:hAnsi="Times New Roman"/>
                <w:sz w:val="24"/>
                <w:szCs w:val="24"/>
              </w:rPr>
              <w:t>206</w:t>
            </w:r>
            <w:r>
              <w:rPr>
                <w:rFonts w:ascii="Times New Roman" w:hAnsi="Times New Roman"/>
                <w:sz w:val="24"/>
                <w:szCs w:val="24"/>
              </w:rPr>
              <w:t>)</w:t>
            </w:r>
          </w:p>
        </w:tc>
        <w:tc>
          <w:tcPr>
            <w:tcW w:w="2250" w:type="dxa"/>
            <w:tcBorders>
              <w:top w:val="single" w:sz="4" w:space="0" w:color="auto"/>
              <w:bottom w:val="single" w:sz="4" w:space="0" w:color="auto"/>
            </w:tcBorders>
          </w:tcPr>
          <w:p w14:paraId="55F80262" w14:textId="1EE2883A"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Birth-assigned girls</w:t>
            </w:r>
          </w:p>
          <w:p w14:paraId="26803A4D" w14:textId="24D29BA0"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w:t>
            </w:r>
            <w:r w:rsidRPr="00A859AD">
              <w:rPr>
                <w:rFonts w:ascii="Times New Roman" w:hAnsi="Times New Roman"/>
                <w:i/>
                <w:sz w:val="24"/>
                <w:szCs w:val="24"/>
              </w:rPr>
              <w:t>n</w:t>
            </w:r>
            <w:r>
              <w:rPr>
                <w:rFonts w:ascii="Times New Roman" w:hAnsi="Times New Roman"/>
                <w:sz w:val="24"/>
                <w:szCs w:val="24"/>
              </w:rPr>
              <w:t xml:space="preserve"> = </w:t>
            </w:r>
            <w:r w:rsidR="00F95866">
              <w:rPr>
                <w:rFonts w:ascii="Times New Roman" w:hAnsi="Times New Roman"/>
                <w:sz w:val="24"/>
                <w:szCs w:val="24"/>
              </w:rPr>
              <w:t>162</w:t>
            </w:r>
            <w:r>
              <w:rPr>
                <w:rFonts w:ascii="Times New Roman" w:hAnsi="Times New Roman"/>
                <w:sz w:val="24"/>
                <w:szCs w:val="24"/>
              </w:rPr>
              <w:t>)</w:t>
            </w:r>
          </w:p>
        </w:tc>
        <w:tc>
          <w:tcPr>
            <w:tcW w:w="1710" w:type="dxa"/>
            <w:tcBorders>
              <w:top w:val="single" w:sz="4" w:space="0" w:color="auto"/>
              <w:bottom w:val="single" w:sz="4" w:space="0" w:color="auto"/>
            </w:tcBorders>
          </w:tcPr>
          <w:p w14:paraId="20496781" w14:textId="1A170B57" w:rsidR="00151D8E" w:rsidRPr="00C24763" w:rsidRDefault="00151D8E"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sidRPr="005640D8">
              <w:rPr>
                <w:rFonts w:ascii="Times New Roman" w:hAnsi="Times New Roman"/>
                <w:i/>
                <w:sz w:val="24"/>
                <w:szCs w:val="24"/>
              </w:rPr>
              <w:t>t</w:t>
            </w:r>
            <w:r>
              <w:rPr>
                <w:rFonts w:ascii="Times New Roman" w:hAnsi="Times New Roman"/>
                <w:sz w:val="24"/>
                <w:szCs w:val="24"/>
              </w:rPr>
              <w:t>(df)</w:t>
            </w:r>
          </w:p>
        </w:tc>
        <w:tc>
          <w:tcPr>
            <w:tcW w:w="360" w:type="dxa"/>
            <w:tcBorders>
              <w:top w:val="single" w:sz="4" w:space="0" w:color="auto"/>
              <w:bottom w:val="single" w:sz="4" w:space="0" w:color="auto"/>
            </w:tcBorders>
          </w:tcPr>
          <w:p w14:paraId="3B1476F0" w14:textId="77777777" w:rsidR="00151D8E" w:rsidRPr="003E0A70" w:rsidRDefault="00151D8E"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iCs/>
                <w:sz w:val="24"/>
                <w:szCs w:val="24"/>
              </w:rPr>
              <w:t>ES</w:t>
            </w:r>
          </w:p>
        </w:tc>
        <w:tc>
          <w:tcPr>
            <w:tcW w:w="1260" w:type="dxa"/>
            <w:tcBorders>
              <w:top w:val="single" w:sz="4" w:space="0" w:color="auto"/>
              <w:bottom w:val="single" w:sz="4" w:space="0" w:color="auto"/>
            </w:tcBorders>
          </w:tcPr>
          <w:p w14:paraId="1B239C12" w14:textId="77777777" w:rsidR="00151D8E" w:rsidRPr="00C24763"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sz w:val="24"/>
                <w:szCs w:val="24"/>
              </w:rPr>
            </w:pPr>
            <w:r>
              <w:rPr>
                <w:rFonts w:ascii="Times New Roman" w:hAnsi="Times New Roman"/>
                <w:sz w:val="24"/>
                <w:szCs w:val="24"/>
              </w:rPr>
              <w:t xml:space="preserve">95% CI </w:t>
            </w:r>
          </w:p>
        </w:tc>
      </w:tr>
      <w:tr w:rsidR="00CA22FC" w14:paraId="77C6102D" w14:textId="77777777" w:rsidTr="000E6CEC">
        <w:trPr>
          <w:trHeight w:hRule="exact" w:val="279"/>
        </w:trPr>
        <w:tc>
          <w:tcPr>
            <w:tcW w:w="9360" w:type="dxa"/>
            <w:gridSpan w:val="6"/>
            <w:tcBorders>
              <w:top w:val="single" w:sz="4" w:space="0" w:color="auto"/>
            </w:tcBorders>
          </w:tcPr>
          <w:p w14:paraId="0095395B" w14:textId="34FC43CE" w:rsidR="00CA22FC" w:rsidRPr="003E0A70" w:rsidRDefault="00CA22FC"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 xml:space="preserve">Pretreatment symptom severity </w:t>
            </w:r>
          </w:p>
        </w:tc>
      </w:tr>
      <w:tr w:rsidR="00FB6EB8" w14:paraId="3B8E8778" w14:textId="77777777" w:rsidTr="00444888">
        <w:trPr>
          <w:trHeight w:hRule="exact" w:val="279"/>
        </w:trPr>
        <w:tc>
          <w:tcPr>
            <w:tcW w:w="1530" w:type="dxa"/>
          </w:tcPr>
          <w:p w14:paraId="0467906E" w14:textId="787D0E2F"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sidRPr="007F33CC">
              <w:rPr>
                <w:rFonts w:ascii="Times New Roman" w:hAnsi="Times New Roman"/>
                <w:bCs/>
                <w:sz w:val="24"/>
                <w:szCs w:val="24"/>
                <w:vertAlign w:val="subscript"/>
              </w:rPr>
              <w:t>int</w:t>
            </w:r>
            <w:proofErr w:type="spellEnd"/>
          </w:p>
        </w:tc>
        <w:tc>
          <w:tcPr>
            <w:tcW w:w="2250" w:type="dxa"/>
          </w:tcPr>
          <w:p w14:paraId="141C7134" w14:textId="76CC70A3"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56.</w:t>
            </w:r>
            <w:r w:rsidR="00F95866">
              <w:rPr>
                <w:rFonts w:ascii="Times New Roman" w:hAnsi="Times New Roman"/>
                <w:sz w:val="24"/>
                <w:szCs w:val="24"/>
              </w:rPr>
              <w:t>9</w:t>
            </w:r>
            <w:r>
              <w:rPr>
                <w:rFonts w:ascii="Times New Roman" w:hAnsi="Times New Roman"/>
                <w:sz w:val="24"/>
                <w:szCs w:val="24"/>
              </w:rPr>
              <w:t>(10.8)</w:t>
            </w:r>
          </w:p>
        </w:tc>
        <w:tc>
          <w:tcPr>
            <w:tcW w:w="2250" w:type="dxa"/>
          </w:tcPr>
          <w:p w14:paraId="222F95EF" w14:textId="08A4E384"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w:t>
            </w:r>
            <w:r w:rsidR="00F95866">
              <w:rPr>
                <w:rFonts w:ascii="Times New Roman" w:hAnsi="Times New Roman"/>
                <w:sz w:val="24"/>
                <w:szCs w:val="24"/>
              </w:rPr>
              <w:t>55</w:t>
            </w:r>
            <w:r>
              <w:rPr>
                <w:rFonts w:ascii="Times New Roman" w:hAnsi="Times New Roman"/>
                <w:sz w:val="24"/>
                <w:szCs w:val="24"/>
              </w:rPr>
              <w:t>.</w:t>
            </w:r>
            <w:r w:rsidR="00F95866">
              <w:rPr>
                <w:rFonts w:ascii="Times New Roman" w:hAnsi="Times New Roman"/>
                <w:sz w:val="24"/>
                <w:szCs w:val="24"/>
              </w:rPr>
              <w:t>1</w:t>
            </w:r>
            <w:r>
              <w:rPr>
                <w:rFonts w:ascii="Times New Roman" w:hAnsi="Times New Roman"/>
                <w:sz w:val="24"/>
                <w:szCs w:val="24"/>
              </w:rPr>
              <w:t>(</w:t>
            </w:r>
            <w:r w:rsidR="00F95866">
              <w:rPr>
                <w:rFonts w:ascii="Times New Roman" w:hAnsi="Times New Roman"/>
                <w:sz w:val="24"/>
                <w:szCs w:val="24"/>
              </w:rPr>
              <w:t>10</w:t>
            </w:r>
            <w:r>
              <w:rPr>
                <w:rFonts w:ascii="Times New Roman" w:hAnsi="Times New Roman"/>
                <w:sz w:val="24"/>
                <w:szCs w:val="24"/>
              </w:rPr>
              <w:t>.</w:t>
            </w:r>
            <w:r w:rsidR="00F95866">
              <w:rPr>
                <w:rFonts w:ascii="Times New Roman" w:hAnsi="Times New Roman"/>
                <w:sz w:val="24"/>
                <w:szCs w:val="24"/>
              </w:rPr>
              <w:t>8</w:t>
            </w:r>
            <w:r>
              <w:rPr>
                <w:rFonts w:ascii="Times New Roman" w:hAnsi="Times New Roman"/>
                <w:sz w:val="24"/>
                <w:szCs w:val="24"/>
              </w:rPr>
              <w:t>)</w:t>
            </w:r>
          </w:p>
        </w:tc>
        <w:tc>
          <w:tcPr>
            <w:tcW w:w="1710" w:type="dxa"/>
          </w:tcPr>
          <w:p w14:paraId="1697B497" w14:textId="1ED0F269" w:rsidR="00151D8E" w:rsidRPr="00F95866" w:rsidRDefault="00F95866"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366) = 1.57</w:t>
            </w:r>
          </w:p>
        </w:tc>
        <w:tc>
          <w:tcPr>
            <w:tcW w:w="360" w:type="dxa"/>
          </w:tcPr>
          <w:p w14:paraId="54F7B243" w14:textId="6B247576" w:rsidR="00151D8E" w:rsidRPr="003E0A70" w:rsidRDefault="00854722"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.17</w:t>
            </w:r>
          </w:p>
        </w:tc>
        <w:tc>
          <w:tcPr>
            <w:tcW w:w="1260" w:type="dxa"/>
          </w:tcPr>
          <w:p w14:paraId="3D7E9107" w14:textId="0832EB1F" w:rsidR="00151D8E" w:rsidRPr="003E0A70" w:rsidRDefault="00151D8E"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w:t>
            </w:r>
            <w:r w:rsidR="00854722">
              <w:rPr>
                <w:rFonts w:ascii="Times New Roman" w:hAnsi="Times New Roman"/>
                <w:sz w:val="24"/>
                <w:szCs w:val="24"/>
              </w:rPr>
              <w:t>-.45</w:t>
            </w:r>
            <w:r>
              <w:rPr>
                <w:rFonts w:ascii="Times New Roman" w:hAnsi="Times New Roman"/>
                <w:sz w:val="24"/>
                <w:szCs w:val="24"/>
              </w:rPr>
              <w:t xml:space="preserve">, </w:t>
            </w:r>
            <w:r w:rsidR="00854722">
              <w:rPr>
                <w:rFonts w:ascii="Times New Roman" w:hAnsi="Times New Roman"/>
                <w:sz w:val="24"/>
                <w:szCs w:val="24"/>
              </w:rPr>
              <w:t>4.01</w:t>
            </w:r>
            <w:r>
              <w:rPr>
                <w:rFonts w:ascii="Times New Roman" w:hAnsi="Times New Roman"/>
                <w:sz w:val="24"/>
                <w:szCs w:val="24"/>
              </w:rPr>
              <w:t>]</w:t>
            </w:r>
          </w:p>
        </w:tc>
      </w:tr>
      <w:tr w:rsidR="00FB6EB8" w14:paraId="00611BAD" w14:textId="77777777" w:rsidTr="00444888">
        <w:trPr>
          <w:trHeight w:hRule="exact" w:val="279"/>
        </w:trPr>
        <w:tc>
          <w:tcPr>
            <w:tcW w:w="1530" w:type="dxa"/>
          </w:tcPr>
          <w:p w14:paraId="65EFDCD6" w14:textId="6CB818B9"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Pr>
                <w:rFonts w:ascii="Times New Roman" w:hAnsi="Times New Roman"/>
                <w:bCs/>
                <w:sz w:val="24"/>
                <w:szCs w:val="24"/>
                <w:vertAlign w:val="subscript"/>
              </w:rPr>
              <w:t>ext</w:t>
            </w:r>
            <w:proofErr w:type="spellEnd"/>
          </w:p>
        </w:tc>
        <w:tc>
          <w:tcPr>
            <w:tcW w:w="2250" w:type="dxa"/>
          </w:tcPr>
          <w:p w14:paraId="3DF7DA34" w14:textId="49426EF8"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52.</w:t>
            </w:r>
            <w:r w:rsidR="00F95866">
              <w:rPr>
                <w:rFonts w:ascii="Times New Roman" w:hAnsi="Times New Roman"/>
                <w:sz w:val="24"/>
                <w:szCs w:val="24"/>
              </w:rPr>
              <w:t>9</w:t>
            </w:r>
            <w:r>
              <w:rPr>
                <w:rFonts w:ascii="Times New Roman" w:hAnsi="Times New Roman"/>
                <w:sz w:val="24"/>
                <w:szCs w:val="24"/>
              </w:rPr>
              <w:t>(</w:t>
            </w:r>
            <w:r w:rsidR="00F95866">
              <w:rPr>
                <w:rFonts w:ascii="Times New Roman" w:hAnsi="Times New Roman"/>
                <w:sz w:val="24"/>
                <w:szCs w:val="24"/>
              </w:rPr>
              <w:t>11</w:t>
            </w:r>
            <w:r>
              <w:rPr>
                <w:rFonts w:ascii="Times New Roman" w:hAnsi="Times New Roman"/>
                <w:sz w:val="24"/>
                <w:szCs w:val="24"/>
              </w:rPr>
              <w:t>.</w:t>
            </w:r>
            <w:r w:rsidR="00F95866">
              <w:rPr>
                <w:rFonts w:ascii="Times New Roman" w:hAnsi="Times New Roman"/>
                <w:sz w:val="24"/>
                <w:szCs w:val="24"/>
              </w:rPr>
              <w:t>0</w:t>
            </w:r>
            <w:r>
              <w:rPr>
                <w:rFonts w:ascii="Times New Roman" w:hAnsi="Times New Roman"/>
                <w:sz w:val="24"/>
                <w:szCs w:val="24"/>
              </w:rPr>
              <w:t>)</w:t>
            </w:r>
          </w:p>
        </w:tc>
        <w:tc>
          <w:tcPr>
            <w:tcW w:w="2250" w:type="dxa"/>
          </w:tcPr>
          <w:p w14:paraId="687ADC46" w14:textId="01B7377A"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495604">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5</w:t>
            </w:r>
            <w:r w:rsidR="00F95866">
              <w:rPr>
                <w:rFonts w:ascii="Times New Roman" w:hAnsi="Times New Roman"/>
                <w:sz w:val="24"/>
                <w:szCs w:val="24"/>
              </w:rPr>
              <w:t>1</w:t>
            </w:r>
            <w:r>
              <w:rPr>
                <w:rFonts w:ascii="Times New Roman" w:hAnsi="Times New Roman"/>
                <w:sz w:val="24"/>
                <w:szCs w:val="24"/>
              </w:rPr>
              <w:t>.</w:t>
            </w:r>
            <w:r w:rsidR="00F95866">
              <w:rPr>
                <w:rFonts w:ascii="Times New Roman" w:hAnsi="Times New Roman"/>
                <w:sz w:val="24"/>
                <w:szCs w:val="24"/>
              </w:rPr>
              <w:t>1</w:t>
            </w:r>
            <w:r>
              <w:rPr>
                <w:rFonts w:ascii="Times New Roman" w:hAnsi="Times New Roman"/>
                <w:sz w:val="24"/>
                <w:szCs w:val="24"/>
              </w:rPr>
              <w:t>(10.</w:t>
            </w:r>
            <w:r w:rsidR="00F95866">
              <w:rPr>
                <w:rFonts w:ascii="Times New Roman" w:hAnsi="Times New Roman"/>
                <w:sz w:val="24"/>
                <w:szCs w:val="24"/>
              </w:rPr>
              <w:t>4</w:t>
            </w:r>
            <w:r>
              <w:rPr>
                <w:rFonts w:ascii="Times New Roman" w:hAnsi="Times New Roman"/>
                <w:sz w:val="24"/>
                <w:szCs w:val="24"/>
              </w:rPr>
              <w:t>)</w:t>
            </w:r>
          </w:p>
        </w:tc>
        <w:tc>
          <w:tcPr>
            <w:tcW w:w="1710" w:type="dxa"/>
          </w:tcPr>
          <w:p w14:paraId="4C614C09" w14:textId="1E3815D9" w:rsidR="00151D8E" w:rsidRPr="00196453" w:rsidRDefault="00F95866"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366) = 1.64</w:t>
            </w:r>
          </w:p>
        </w:tc>
        <w:tc>
          <w:tcPr>
            <w:tcW w:w="360" w:type="dxa"/>
          </w:tcPr>
          <w:p w14:paraId="4BAED09B" w14:textId="5D0C640B" w:rsidR="00151D8E" w:rsidRPr="003E0A70" w:rsidRDefault="00854722"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.17</w:t>
            </w:r>
          </w:p>
        </w:tc>
        <w:tc>
          <w:tcPr>
            <w:tcW w:w="1260" w:type="dxa"/>
          </w:tcPr>
          <w:p w14:paraId="0C85B443" w14:textId="1E31B55D" w:rsidR="00151D8E" w:rsidRPr="003E0A70" w:rsidRDefault="0019020B"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w:t>
            </w:r>
            <w:r w:rsidR="00854722">
              <w:rPr>
                <w:rFonts w:ascii="Times New Roman" w:hAnsi="Times New Roman"/>
                <w:sz w:val="24"/>
                <w:szCs w:val="24"/>
              </w:rPr>
              <w:t>-.36, 4.09</w:t>
            </w:r>
            <w:r w:rsidR="00151D8E">
              <w:rPr>
                <w:rFonts w:ascii="Times New Roman" w:hAnsi="Times New Roman"/>
                <w:sz w:val="24"/>
                <w:szCs w:val="24"/>
              </w:rPr>
              <w:t>]</w:t>
            </w:r>
          </w:p>
        </w:tc>
      </w:tr>
      <w:tr w:rsidR="00FB6EB8" w14:paraId="24312FBF" w14:textId="77777777" w:rsidTr="00444888">
        <w:trPr>
          <w:trHeight w:hRule="exact" w:val="279"/>
        </w:trPr>
        <w:tc>
          <w:tcPr>
            <w:tcW w:w="1530" w:type="dxa"/>
          </w:tcPr>
          <w:p w14:paraId="2F42F37B" w14:textId="34F7DECD" w:rsidR="00151D8E" w:rsidRP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sidR="005F6C7A">
              <w:rPr>
                <w:rFonts w:ascii="Times New Roman" w:hAnsi="Times New Roman"/>
                <w:bCs/>
                <w:sz w:val="24"/>
                <w:szCs w:val="24"/>
              </w:rPr>
              <w:t>CBCL</w:t>
            </w:r>
            <w:r w:rsidR="005F6C7A" w:rsidRPr="007F33CC">
              <w:rPr>
                <w:rFonts w:ascii="Times New Roman" w:hAnsi="Times New Roman"/>
                <w:bCs/>
                <w:sz w:val="24"/>
                <w:szCs w:val="24"/>
                <w:vertAlign w:val="subscript"/>
              </w:rPr>
              <w:t>int</w:t>
            </w:r>
            <w:proofErr w:type="spellEnd"/>
          </w:p>
        </w:tc>
        <w:tc>
          <w:tcPr>
            <w:tcW w:w="2250" w:type="dxa"/>
          </w:tcPr>
          <w:p w14:paraId="36838E66" w14:textId="65126428" w:rsidR="00151D8E" w:rsidRDefault="00083F6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w:t>
            </w:r>
            <w:r w:rsidR="00FB6EB8">
              <w:rPr>
                <w:rFonts w:ascii="Times New Roman" w:hAnsi="Times New Roman"/>
                <w:sz w:val="24"/>
                <w:szCs w:val="24"/>
              </w:rPr>
              <w:t>66.0</w:t>
            </w:r>
            <w:r>
              <w:rPr>
                <w:rFonts w:ascii="Times New Roman" w:hAnsi="Times New Roman"/>
                <w:sz w:val="24"/>
                <w:szCs w:val="24"/>
              </w:rPr>
              <w:t>(</w:t>
            </w:r>
            <w:r w:rsidR="00FB6EB8">
              <w:rPr>
                <w:rFonts w:ascii="Times New Roman" w:hAnsi="Times New Roman"/>
                <w:sz w:val="24"/>
                <w:szCs w:val="24"/>
              </w:rPr>
              <w:t>8.5</w:t>
            </w:r>
            <w:r>
              <w:rPr>
                <w:rFonts w:ascii="Times New Roman" w:hAnsi="Times New Roman"/>
                <w:sz w:val="24"/>
                <w:szCs w:val="24"/>
              </w:rPr>
              <w:t>)</w:t>
            </w:r>
          </w:p>
        </w:tc>
        <w:tc>
          <w:tcPr>
            <w:tcW w:w="2250" w:type="dxa"/>
          </w:tcPr>
          <w:p w14:paraId="6FFABB4A" w14:textId="5ABFB03A" w:rsidR="00151D8E" w:rsidRDefault="00FB6EB8"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67.0(7.8)</w:t>
            </w:r>
          </w:p>
        </w:tc>
        <w:tc>
          <w:tcPr>
            <w:tcW w:w="1710" w:type="dxa"/>
          </w:tcPr>
          <w:p w14:paraId="00EFF6BB" w14:textId="76378967" w:rsidR="00151D8E" w:rsidRDefault="00FB6EB8"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366) = 1.15</w:t>
            </w:r>
          </w:p>
        </w:tc>
        <w:tc>
          <w:tcPr>
            <w:tcW w:w="360" w:type="dxa"/>
          </w:tcPr>
          <w:p w14:paraId="10D90654" w14:textId="760D6371" w:rsidR="00151D8E" w:rsidRPr="003E0A70" w:rsidRDefault="00CA22FC"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.12</w:t>
            </w:r>
          </w:p>
        </w:tc>
        <w:tc>
          <w:tcPr>
            <w:tcW w:w="1260" w:type="dxa"/>
          </w:tcPr>
          <w:p w14:paraId="70D4864D" w14:textId="0C3EB649" w:rsidR="00151D8E" w:rsidRPr="003E0A70" w:rsidRDefault="00CA22FC" w:rsidP="00151D8E">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[-2.69, .71]</w:t>
            </w:r>
          </w:p>
        </w:tc>
      </w:tr>
      <w:tr w:rsidR="00F272AF" w14:paraId="4D579EAF" w14:textId="77777777" w:rsidTr="00444888">
        <w:trPr>
          <w:trHeight w:hRule="exact" w:val="279"/>
        </w:trPr>
        <w:tc>
          <w:tcPr>
            <w:tcW w:w="1530" w:type="dxa"/>
          </w:tcPr>
          <w:p w14:paraId="0E0186AF" w14:textId="5FD232BD" w:rsidR="00151D8E" w:rsidRDefault="00151D8E"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sidR="005F6C7A">
              <w:rPr>
                <w:rFonts w:ascii="Times New Roman" w:hAnsi="Times New Roman"/>
                <w:bCs/>
                <w:sz w:val="24"/>
                <w:szCs w:val="24"/>
              </w:rPr>
              <w:t>CBCL</w:t>
            </w:r>
            <w:r w:rsidR="005F6C7A">
              <w:rPr>
                <w:rFonts w:ascii="Times New Roman" w:hAnsi="Times New Roman"/>
                <w:bCs/>
                <w:sz w:val="24"/>
                <w:szCs w:val="24"/>
                <w:vertAlign w:val="subscript"/>
              </w:rPr>
              <w:t>ext</w:t>
            </w:r>
            <w:proofErr w:type="spellEnd"/>
          </w:p>
        </w:tc>
        <w:tc>
          <w:tcPr>
            <w:tcW w:w="2250" w:type="dxa"/>
          </w:tcPr>
          <w:p w14:paraId="6B98A84F" w14:textId="36D2068B" w:rsidR="00151D8E" w:rsidRDefault="00FB6EB8"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66.1(8.5)</w:t>
            </w:r>
          </w:p>
        </w:tc>
        <w:tc>
          <w:tcPr>
            <w:tcW w:w="2250" w:type="dxa"/>
          </w:tcPr>
          <w:p w14:paraId="5A7DDC81" w14:textId="29ACC8C5" w:rsidR="00151D8E" w:rsidRDefault="00FB6EB8"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63.1(10.2)</w:t>
            </w:r>
          </w:p>
        </w:tc>
        <w:tc>
          <w:tcPr>
            <w:tcW w:w="1710" w:type="dxa"/>
          </w:tcPr>
          <w:p w14:paraId="298119CE" w14:textId="2F0BED62" w:rsidR="00151D8E" w:rsidRDefault="00FB6EB8"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gramStart"/>
            <w:r w:rsidRPr="00196453">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311.4) = 2.98**</w:t>
            </w:r>
          </w:p>
        </w:tc>
        <w:tc>
          <w:tcPr>
            <w:tcW w:w="360" w:type="dxa"/>
          </w:tcPr>
          <w:p w14:paraId="58C7BE9D" w14:textId="43DF2999" w:rsidR="00151D8E" w:rsidRPr="003E0A70" w:rsidRDefault="00CA22FC"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.31</w:t>
            </w:r>
          </w:p>
        </w:tc>
        <w:tc>
          <w:tcPr>
            <w:tcW w:w="1260" w:type="dxa"/>
          </w:tcPr>
          <w:p w14:paraId="01E87185" w14:textId="686B83C3" w:rsidR="00151D8E" w:rsidRPr="003E0A70" w:rsidRDefault="00CA22FC" w:rsidP="00151D8E">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[1.05, 4.87]</w:t>
            </w:r>
          </w:p>
        </w:tc>
      </w:tr>
      <w:tr w:rsidR="00CA22FC" w14:paraId="4F8F6660" w14:textId="77777777" w:rsidTr="000E6CEC">
        <w:trPr>
          <w:trHeight w:hRule="exact" w:val="279"/>
        </w:trPr>
        <w:tc>
          <w:tcPr>
            <w:tcW w:w="9360" w:type="dxa"/>
            <w:gridSpan w:val="6"/>
          </w:tcPr>
          <w:p w14:paraId="75BF8648" w14:textId="1AC4EA5C" w:rsidR="00CA22FC" w:rsidRDefault="00CA22FC"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MLM-predicted pre-post treatment symptom improvement</w:t>
            </w:r>
          </w:p>
        </w:tc>
      </w:tr>
      <w:tr w:rsidR="00F272AF" w14:paraId="6835435C" w14:textId="77777777" w:rsidTr="00444888">
        <w:trPr>
          <w:trHeight w:hRule="exact" w:val="279"/>
        </w:trPr>
        <w:tc>
          <w:tcPr>
            <w:tcW w:w="1530" w:type="dxa"/>
          </w:tcPr>
          <w:p w14:paraId="308863C4" w14:textId="49B34C2D"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sidRPr="007F33CC">
              <w:rPr>
                <w:rFonts w:ascii="Times New Roman" w:hAnsi="Times New Roman"/>
                <w:bCs/>
                <w:sz w:val="24"/>
                <w:szCs w:val="24"/>
                <w:vertAlign w:val="subscript"/>
              </w:rPr>
              <w:t>int</w:t>
            </w:r>
            <w:proofErr w:type="spellEnd"/>
          </w:p>
        </w:tc>
        <w:tc>
          <w:tcPr>
            <w:tcW w:w="2250" w:type="dxa"/>
          </w:tcPr>
          <w:p w14:paraId="7B682B18" w14:textId="55E99472" w:rsidR="00F95866" w:rsidRPr="001673E8"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13.8(6.2)</w:t>
            </w:r>
          </w:p>
        </w:tc>
        <w:tc>
          <w:tcPr>
            <w:tcW w:w="2250" w:type="dxa"/>
          </w:tcPr>
          <w:p w14:paraId="664A3034" w14:textId="7CF0CF0C" w:rsidR="00F95866" w:rsidRPr="00495604"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13.8(6.0)</w:t>
            </w:r>
          </w:p>
        </w:tc>
        <w:tc>
          <w:tcPr>
            <w:tcW w:w="1710" w:type="dxa"/>
          </w:tcPr>
          <w:p w14:paraId="472817BA" w14:textId="1621D2FE"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366) =</w:t>
            </w:r>
            <w:r w:rsidR="00083F6E">
              <w:rPr>
                <w:rFonts w:ascii="Times New Roman" w:hAnsi="Times New Roman"/>
                <w:sz w:val="24"/>
                <w:szCs w:val="24"/>
              </w:rPr>
              <w:t xml:space="preserve"> .01</w:t>
            </w:r>
          </w:p>
        </w:tc>
        <w:tc>
          <w:tcPr>
            <w:tcW w:w="360" w:type="dxa"/>
          </w:tcPr>
          <w:p w14:paraId="6823166E" w14:textId="3B7FA881" w:rsidR="00F95866" w:rsidRDefault="00854722"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.01</w:t>
            </w:r>
          </w:p>
        </w:tc>
        <w:tc>
          <w:tcPr>
            <w:tcW w:w="1260" w:type="dxa"/>
          </w:tcPr>
          <w:p w14:paraId="25206E54" w14:textId="289E28C8" w:rsidR="00F95866" w:rsidRDefault="00F272AF"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[-1.25,</w:t>
            </w:r>
            <w:r w:rsidR="00755098">
              <w:rPr>
                <w:rFonts w:ascii="Times New Roman" w:hAnsi="Times New Roman"/>
                <w:sz w:val="24"/>
                <w:szCs w:val="24"/>
              </w:rPr>
              <w:t xml:space="preserve"> </w:t>
            </w:r>
            <w:r>
              <w:rPr>
                <w:rFonts w:ascii="Times New Roman" w:hAnsi="Times New Roman"/>
                <w:sz w:val="24"/>
                <w:szCs w:val="24"/>
              </w:rPr>
              <w:t>1.26]</w:t>
            </w:r>
          </w:p>
        </w:tc>
      </w:tr>
      <w:tr w:rsidR="00F272AF" w14:paraId="644B8304" w14:textId="77777777" w:rsidTr="00444888">
        <w:trPr>
          <w:trHeight w:hRule="exact" w:val="279"/>
        </w:trPr>
        <w:tc>
          <w:tcPr>
            <w:tcW w:w="1530" w:type="dxa"/>
          </w:tcPr>
          <w:p w14:paraId="77C2CDE3" w14:textId="7E7E3E4C"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Pr>
                <w:rFonts w:ascii="Times New Roman" w:hAnsi="Times New Roman"/>
                <w:bCs/>
                <w:sz w:val="24"/>
                <w:szCs w:val="24"/>
                <w:vertAlign w:val="subscript"/>
              </w:rPr>
              <w:t>ext</w:t>
            </w:r>
            <w:proofErr w:type="spellEnd"/>
          </w:p>
        </w:tc>
        <w:tc>
          <w:tcPr>
            <w:tcW w:w="2250" w:type="dxa"/>
          </w:tcPr>
          <w:p w14:paraId="07618636" w14:textId="3D44064E" w:rsidR="00F95866" w:rsidRPr="001673E8"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7.52(3.1)</w:t>
            </w:r>
          </w:p>
        </w:tc>
        <w:tc>
          <w:tcPr>
            <w:tcW w:w="2250" w:type="dxa"/>
          </w:tcPr>
          <w:p w14:paraId="43668C20" w14:textId="75B2BD6B" w:rsidR="00F95866" w:rsidRPr="00495604"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7.92(2.8)</w:t>
            </w:r>
          </w:p>
        </w:tc>
        <w:tc>
          <w:tcPr>
            <w:tcW w:w="1710" w:type="dxa"/>
          </w:tcPr>
          <w:p w14:paraId="501A7E8B" w14:textId="5B95B402"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366) =</w:t>
            </w:r>
            <w:r w:rsidR="00083F6E">
              <w:rPr>
                <w:rFonts w:ascii="Times New Roman" w:hAnsi="Times New Roman"/>
                <w:sz w:val="24"/>
                <w:szCs w:val="24"/>
              </w:rPr>
              <w:t xml:space="preserve"> 1.30</w:t>
            </w:r>
          </w:p>
        </w:tc>
        <w:tc>
          <w:tcPr>
            <w:tcW w:w="360" w:type="dxa"/>
          </w:tcPr>
          <w:p w14:paraId="237568F3" w14:textId="3378769D" w:rsidR="00F95866" w:rsidRDefault="00854722"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.13</w:t>
            </w:r>
          </w:p>
        </w:tc>
        <w:tc>
          <w:tcPr>
            <w:tcW w:w="1260" w:type="dxa"/>
          </w:tcPr>
          <w:p w14:paraId="6A47EC92" w14:textId="3A3688CD" w:rsidR="00F95866" w:rsidRDefault="00F272AF"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[-.21, 1.01]</w:t>
            </w:r>
          </w:p>
        </w:tc>
      </w:tr>
      <w:tr w:rsidR="00F272AF" w14:paraId="25C7A99E" w14:textId="77777777" w:rsidTr="00444888">
        <w:trPr>
          <w:trHeight w:hRule="exact" w:val="279"/>
        </w:trPr>
        <w:tc>
          <w:tcPr>
            <w:tcW w:w="1530" w:type="dxa"/>
          </w:tcPr>
          <w:p w14:paraId="33CF34C8" w14:textId="4C28F5A6"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CBCL</w:t>
            </w:r>
            <w:r w:rsidRPr="007F33CC">
              <w:rPr>
                <w:rFonts w:ascii="Times New Roman" w:hAnsi="Times New Roman"/>
                <w:bCs/>
                <w:sz w:val="24"/>
                <w:szCs w:val="24"/>
                <w:vertAlign w:val="subscript"/>
              </w:rPr>
              <w:t>int</w:t>
            </w:r>
            <w:proofErr w:type="spellEnd"/>
          </w:p>
        </w:tc>
        <w:tc>
          <w:tcPr>
            <w:tcW w:w="2250" w:type="dxa"/>
          </w:tcPr>
          <w:p w14:paraId="2F28B812" w14:textId="65199EF7" w:rsidR="00F95866" w:rsidRPr="001673E8"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12.1(6.6)</w:t>
            </w:r>
          </w:p>
        </w:tc>
        <w:tc>
          <w:tcPr>
            <w:tcW w:w="2250" w:type="dxa"/>
          </w:tcPr>
          <w:p w14:paraId="482A5518" w14:textId="22F4558E" w:rsidR="00F95866" w:rsidRPr="00495604"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12.4(6.9)</w:t>
            </w:r>
          </w:p>
        </w:tc>
        <w:tc>
          <w:tcPr>
            <w:tcW w:w="1710" w:type="dxa"/>
          </w:tcPr>
          <w:p w14:paraId="1B0F494C" w14:textId="21D59672"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366) =</w:t>
            </w:r>
            <w:r w:rsidR="00083F6E">
              <w:rPr>
                <w:rFonts w:ascii="Times New Roman" w:hAnsi="Times New Roman"/>
                <w:sz w:val="24"/>
                <w:szCs w:val="24"/>
              </w:rPr>
              <w:t xml:space="preserve"> .44</w:t>
            </w:r>
          </w:p>
        </w:tc>
        <w:tc>
          <w:tcPr>
            <w:tcW w:w="360" w:type="dxa"/>
          </w:tcPr>
          <w:p w14:paraId="347B9857" w14:textId="0B812FFD" w:rsidR="00F95866" w:rsidRDefault="00854722"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.04</w:t>
            </w:r>
          </w:p>
        </w:tc>
        <w:tc>
          <w:tcPr>
            <w:tcW w:w="1260" w:type="dxa"/>
          </w:tcPr>
          <w:p w14:paraId="04901022" w14:textId="423C0E8D" w:rsidR="00F95866" w:rsidRDefault="00F272AF"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[-1.08, 1.70]</w:t>
            </w:r>
          </w:p>
        </w:tc>
      </w:tr>
      <w:tr w:rsidR="00F272AF" w14:paraId="23B8EA2E" w14:textId="77777777" w:rsidTr="00444888">
        <w:trPr>
          <w:trHeight w:hRule="exact" w:val="279"/>
        </w:trPr>
        <w:tc>
          <w:tcPr>
            <w:tcW w:w="1530" w:type="dxa"/>
            <w:tcBorders>
              <w:bottom w:val="single" w:sz="4" w:space="0" w:color="auto"/>
            </w:tcBorders>
          </w:tcPr>
          <w:p w14:paraId="602E035C" w14:textId="5A64CDE0"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CBCL</w:t>
            </w:r>
            <w:r>
              <w:rPr>
                <w:rFonts w:ascii="Times New Roman" w:hAnsi="Times New Roman"/>
                <w:bCs/>
                <w:sz w:val="24"/>
                <w:szCs w:val="24"/>
                <w:vertAlign w:val="subscript"/>
              </w:rPr>
              <w:t>ext</w:t>
            </w:r>
            <w:proofErr w:type="spellEnd"/>
          </w:p>
        </w:tc>
        <w:tc>
          <w:tcPr>
            <w:tcW w:w="2250" w:type="dxa"/>
            <w:tcBorders>
              <w:bottom w:val="single" w:sz="4" w:space="0" w:color="auto"/>
            </w:tcBorders>
          </w:tcPr>
          <w:p w14:paraId="6043C2F3" w14:textId="1282EAAD" w:rsidR="00F95866" w:rsidRPr="001673E8"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9.05(6.1)</w:t>
            </w:r>
          </w:p>
        </w:tc>
        <w:tc>
          <w:tcPr>
            <w:tcW w:w="2250" w:type="dxa"/>
            <w:tcBorders>
              <w:bottom w:val="single" w:sz="4" w:space="0" w:color="auto"/>
            </w:tcBorders>
          </w:tcPr>
          <w:p w14:paraId="229ADF03" w14:textId="4371AA44" w:rsidR="00F95866" w:rsidRPr="00495604"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8.75(6.3)</w:t>
            </w:r>
          </w:p>
        </w:tc>
        <w:tc>
          <w:tcPr>
            <w:tcW w:w="1710" w:type="dxa"/>
            <w:tcBorders>
              <w:bottom w:val="single" w:sz="4" w:space="0" w:color="auto"/>
            </w:tcBorders>
          </w:tcPr>
          <w:p w14:paraId="2A6A3DCC" w14:textId="048142EC" w:rsidR="00F95866" w:rsidRDefault="00F95866"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366) =</w:t>
            </w:r>
            <w:r w:rsidR="00083F6E">
              <w:rPr>
                <w:rFonts w:ascii="Times New Roman" w:hAnsi="Times New Roman"/>
                <w:sz w:val="24"/>
                <w:szCs w:val="24"/>
              </w:rPr>
              <w:t xml:space="preserve"> .46</w:t>
            </w:r>
          </w:p>
        </w:tc>
        <w:tc>
          <w:tcPr>
            <w:tcW w:w="360" w:type="dxa"/>
            <w:tcBorders>
              <w:bottom w:val="single" w:sz="4" w:space="0" w:color="auto"/>
            </w:tcBorders>
          </w:tcPr>
          <w:p w14:paraId="48D18E6E" w14:textId="1CDD7EE1" w:rsidR="00F95866" w:rsidRDefault="00854722"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.05</w:t>
            </w:r>
          </w:p>
        </w:tc>
        <w:tc>
          <w:tcPr>
            <w:tcW w:w="1260" w:type="dxa"/>
            <w:tcBorders>
              <w:bottom w:val="single" w:sz="4" w:space="0" w:color="auto"/>
            </w:tcBorders>
          </w:tcPr>
          <w:p w14:paraId="2A51EB34" w14:textId="01B2C917" w:rsidR="00F95866" w:rsidRDefault="00F272AF" w:rsidP="00F9586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w:t>
            </w:r>
            <w:r w:rsidR="00854722">
              <w:rPr>
                <w:rFonts w:ascii="Times New Roman" w:hAnsi="Times New Roman"/>
                <w:sz w:val="24"/>
                <w:szCs w:val="24"/>
              </w:rPr>
              <w:t>-1.57, .98]</w:t>
            </w:r>
          </w:p>
        </w:tc>
      </w:tr>
    </w:tbl>
    <w:p w14:paraId="1990D892" w14:textId="34D84F4B" w:rsidR="00196453" w:rsidRDefault="00196453" w:rsidP="00196453">
      <w:r w:rsidRPr="00196453">
        <w:rPr>
          <w:i/>
          <w:iCs/>
        </w:rPr>
        <w:t>Note</w:t>
      </w:r>
      <w:r w:rsidRPr="00196453">
        <w:t>.</w:t>
      </w:r>
      <w:r>
        <w:t xml:space="preserve"> For CG youth, birth-assigned boys had significantly higher caregiver-reported pretreatment externalizing problems than birth-assigned girls</w:t>
      </w:r>
      <w:r w:rsidR="00436CA0">
        <w:t>, consistent with previous research (Nock et al., 2006)</w:t>
      </w:r>
      <w:r>
        <w:t>. YSR/CBCL internalizing/externalizing problems (</w:t>
      </w:r>
      <w:r w:rsidRPr="00AE3D17">
        <w:rPr>
          <w:highlight w:val="white"/>
        </w:rPr>
        <w:t>Achenbach</w:t>
      </w:r>
      <w:r>
        <w:rPr>
          <w:highlight w:val="white"/>
        </w:rPr>
        <w:t xml:space="preserve"> </w:t>
      </w:r>
      <w:r w:rsidRPr="00AE3D17">
        <w:rPr>
          <w:highlight w:val="white"/>
        </w:rPr>
        <w:t xml:space="preserve">&amp; Rescorla, </w:t>
      </w:r>
      <w:r>
        <w:t xml:space="preserve">2001) represent (a) pretreatment symptom severity and (b) improvement in youth- and caregiver-reported problems over treatment (i.e., MLM-predicted pre-post pretreatment change, with higher scores indicating more improvement), respectively. Effect sizes are reported as Cohen’s </w:t>
      </w:r>
      <w:r w:rsidRPr="005B2CBE">
        <w:rPr>
          <w:i/>
          <w:iCs/>
        </w:rPr>
        <w:t>d</w:t>
      </w:r>
      <w:r>
        <w:t>.</w:t>
      </w:r>
    </w:p>
    <w:p w14:paraId="64D129F6" w14:textId="77777777" w:rsidR="00196453" w:rsidRPr="00196453" w:rsidRDefault="00196453" w:rsidP="00196453">
      <w:r>
        <w:t>**</w:t>
      </w:r>
      <w:r w:rsidRPr="00196453">
        <w:rPr>
          <w:i/>
          <w:iCs/>
        </w:rPr>
        <w:t>p</w:t>
      </w:r>
      <w:r>
        <w:t xml:space="preserve"> &lt; .01.</w:t>
      </w:r>
    </w:p>
    <w:p w14:paraId="3E519AF9" w14:textId="20247FB5" w:rsidR="00151D8E" w:rsidRDefault="00151D8E" w:rsidP="009E408D">
      <w:pPr>
        <w:rPr>
          <w:b/>
          <w:bCs/>
        </w:rPr>
      </w:pPr>
    </w:p>
    <w:p w14:paraId="2AF00CD3" w14:textId="77777777" w:rsidR="00196453" w:rsidRPr="002B385F" w:rsidRDefault="00196453" w:rsidP="00196453">
      <w:pPr>
        <w:jc w:val="center"/>
        <w:rPr>
          <w:b/>
          <w:bCs/>
        </w:rPr>
      </w:pPr>
      <w:r w:rsidRPr="002B385F">
        <w:rPr>
          <w:b/>
          <w:bCs/>
        </w:rPr>
        <w:t>References</w:t>
      </w:r>
    </w:p>
    <w:p w14:paraId="5628C44E" w14:textId="77777777" w:rsidR="00196453" w:rsidRDefault="00196453" w:rsidP="00196453">
      <w:pPr>
        <w:rPr>
          <w:highlight w:val="white"/>
        </w:rPr>
      </w:pPr>
      <w:r>
        <w:rPr>
          <w:highlight w:val="white"/>
        </w:rPr>
        <w:t xml:space="preserve">Achenbach, T., &amp; Rescorla, L. (2001). </w:t>
      </w:r>
      <w:r>
        <w:rPr>
          <w:i/>
          <w:highlight w:val="white"/>
        </w:rPr>
        <w:t>The manual for the ASEBA school-age forms &amp; profiles</w:t>
      </w:r>
      <w:r>
        <w:rPr>
          <w:highlight w:val="white"/>
        </w:rPr>
        <w:t xml:space="preserve">. </w:t>
      </w:r>
    </w:p>
    <w:p w14:paraId="74FFD360" w14:textId="393400B2" w:rsidR="00196453" w:rsidRDefault="00196453" w:rsidP="00196453">
      <w:pPr>
        <w:ind w:left="720"/>
        <w:rPr>
          <w:highlight w:val="white"/>
        </w:rPr>
      </w:pPr>
      <w:r>
        <w:rPr>
          <w:highlight w:val="white"/>
        </w:rPr>
        <w:t>Burlington, VT: University of Vermont, Research Center for Children, Youth, &amp; Families.</w:t>
      </w:r>
    </w:p>
    <w:p w14:paraId="234AFF03" w14:textId="77777777" w:rsidR="00436CA0" w:rsidRPr="00BF5922" w:rsidRDefault="00436CA0" w:rsidP="00436CA0">
      <w:r w:rsidRPr="00BF5922">
        <w:t xml:space="preserve">Nock, M. K., </w:t>
      </w:r>
      <w:proofErr w:type="spellStart"/>
      <w:r w:rsidRPr="00BF5922">
        <w:t>Kazdin</w:t>
      </w:r>
      <w:proofErr w:type="spellEnd"/>
      <w:r w:rsidRPr="00BF5922">
        <w:t xml:space="preserve">, A. E., </w:t>
      </w:r>
      <w:proofErr w:type="spellStart"/>
      <w:r w:rsidRPr="00BF5922">
        <w:t>Hiripi</w:t>
      </w:r>
      <w:proofErr w:type="spellEnd"/>
      <w:r w:rsidRPr="00BF5922">
        <w:t xml:space="preserve">, E., &amp; Kessler, R. C. (2006). Prevalence, subtypes, and </w:t>
      </w:r>
    </w:p>
    <w:p w14:paraId="0F25E405" w14:textId="77777777" w:rsidR="00436CA0" w:rsidRPr="00BF5922" w:rsidRDefault="00436CA0" w:rsidP="00436CA0">
      <w:pPr>
        <w:ind w:left="720"/>
      </w:pPr>
      <w:r w:rsidRPr="00BF5922">
        <w:t xml:space="preserve">correlates of DSM-IV conduct disorder in the National Comorbidity Survey Replication. </w:t>
      </w:r>
      <w:r w:rsidRPr="00BF5922">
        <w:rPr>
          <w:i/>
          <w:iCs/>
        </w:rPr>
        <w:t>Psychological Medicine, 36</w:t>
      </w:r>
      <w:r w:rsidRPr="00BF5922">
        <w:t xml:space="preserve">(5), 669–710. </w:t>
      </w:r>
      <w:hyperlink r:id="rId28" w:history="1">
        <w:r w:rsidRPr="00BF5922">
          <w:rPr>
            <w:rStyle w:val="Hyperlink"/>
          </w:rPr>
          <w:t>https://dx.doi.org/10.1017%2FS0033291706007082</w:t>
        </w:r>
      </w:hyperlink>
      <w:r>
        <w:t xml:space="preserve"> </w:t>
      </w:r>
    </w:p>
    <w:p w14:paraId="1DBB309C" w14:textId="31448413" w:rsidR="000E6CEC" w:rsidRDefault="000E6CEC" w:rsidP="009E408D">
      <w:pPr>
        <w:rPr>
          <w:b/>
          <w:bCs/>
        </w:rPr>
      </w:pPr>
    </w:p>
    <w:p w14:paraId="2C8B979B" w14:textId="0243F2D3" w:rsidR="000E6CEC" w:rsidRDefault="000E6CEC" w:rsidP="009E408D">
      <w:pPr>
        <w:rPr>
          <w:b/>
          <w:bCs/>
        </w:rPr>
      </w:pPr>
    </w:p>
    <w:p w14:paraId="03C73025" w14:textId="0B8EA45C" w:rsidR="000E6CEC" w:rsidRDefault="000E6CEC" w:rsidP="009E408D">
      <w:pPr>
        <w:rPr>
          <w:b/>
          <w:bCs/>
        </w:rPr>
      </w:pPr>
    </w:p>
    <w:p w14:paraId="7A440845" w14:textId="1EFE2C1E" w:rsidR="000E6CEC" w:rsidRDefault="000E6CEC" w:rsidP="009E408D">
      <w:pPr>
        <w:rPr>
          <w:b/>
          <w:bCs/>
        </w:rPr>
      </w:pPr>
    </w:p>
    <w:p w14:paraId="17EF40CF" w14:textId="50960ABB" w:rsidR="000E6CEC" w:rsidRDefault="000E6CEC" w:rsidP="009E408D">
      <w:pPr>
        <w:rPr>
          <w:b/>
          <w:bCs/>
        </w:rPr>
      </w:pPr>
    </w:p>
    <w:p w14:paraId="2726975B" w14:textId="0E89355C" w:rsidR="000E6CEC" w:rsidRDefault="000E6CEC" w:rsidP="009E408D">
      <w:pPr>
        <w:rPr>
          <w:b/>
          <w:bCs/>
        </w:rPr>
      </w:pPr>
    </w:p>
    <w:p w14:paraId="40D0BFD9" w14:textId="235CAEDE" w:rsidR="000E6CEC" w:rsidRDefault="000E6CEC" w:rsidP="009E408D">
      <w:pPr>
        <w:rPr>
          <w:b/>
          <w:bCs/>
        </w:rPr>
      </w:pPr>
    </w:p>
    <w:p w14:paraId="35AD359E" w14:textId="50EEC65D" w:rsidR="000E6CEC" w:rsidRDefault="000E6CEC" w:rsidP="009E408D">
      <w:pPr>
        <w:rPr>
          <w:b/>
          <w:bCs/>
        </w:rPr>
      </w:pPr>
    </w:p>
    <w:p w14:paraId="733CC110" w14:textId="7CC77680" w:rsidR="000E6CEC" w:rsidRDefault="000E6CEC" w:rsidP="009E408D">
      <w:pPr>
        <w:rPr>
          <w:b/>
          <w:bCs/>
        </w:rPr>
      </w:pPr>
    </w:p>
    <w:p w14:paraId="0B19F7BA" w14:textId="7E414B58" w:rsidR="000E6CEC" w:rsidRDefault="000E6CEC" w:rsidP="009E408D">
      <w:pPr>
        <w:rPr>
          <w:b/>
          <w:bCs/>
        </w:rPr>
      </w:pPr>
    </w:p>
    <w:p w14:paraId="29F478B0" w14:textId="22C6CC62" w:rsidR="000E6CEC" w:rsidRDefault="000E6CEC" w:rsidP="009E408D">
      <w:pPr>
        <w:rPr>
          <w:b/>
          <w:bCs/>
        </w:rPr>
      </w:pPr>
    </w:p>
    <w:p w14:paraId="3F9B9A47" w14:textId="4F7A64FE" w:rsidR="000E6CEC" w:rsidRDefault="000E6CEC" w:rsidP="009E408D">
      <w:pPr>
        <w:rPr>
          <w:b/>
          <w:bCs/>
        </w:rPr>
      </w:pPr>
    </w:p>
    <w:p w14:paraId="25813DE4" w14:textId="6A301098" w:rsidR="000E6CEC" w:rsidRDefault="000E6CEC" w:rsidP="009E408D">
      <w:pPr>
        <w:rPr>
          <w:b/>
          <w:bCs/>
        </w:rPr>
      </w:pPr>
    </w:p>
    <w:p w14:paraId="50F97CF8" w14:textId="0E3C2990" w:rsidR="000E6CEC" w:rsidRDefault="000E6CEC" w:rsidP="009E408D">
      <w:pPr>
        <w:rPr>
          <w:b/>
          <w:bCs/>
        </w:rPr>
      </w:pPr>
    </w:p>
    <w:p w14:paraId="35132945" w14:textId="3B22F922" w:rsidR="000E6CEC" w:rsidRDefault="000E6CEC" w:rsidP="009E408D">
      <w:pPr>
        <w:rPr>
          <w:b/>
          <w:bCs/>
        </w:rPr>
      </w:pPr>
    </w:p>
    <w:p w14:paraId="47BC689D" w14:textId="22063205" w:rsidR="000E6CEC" w:rsidRDefault="000E6CEC" w:rsidP="009E408D">
      <w:pPr>
        <w:rPr>
          <w:b/>
          <w:bCs/>
        </w:rPr>
      </w:pPr>
    </w:p>
    <w:p w14:paraId="0320E222" w14:textId="5A0181AF" w:rsidR="0028656C" w:rsidRDefault="00DE63FD" w:rsidP="0028656C">
      <w:pPr>
        <w:rPr>
          <w:b/>
          <w:bCs/>
        </w:rPr>
      </w:pPr>
      <w:r>
        <w:rPr>
          <w:b/>
          <w:bCs/>
        </w:rPr>
        <w:lastRenderedPageBreak/>
        <w:t xml:space="preserve">Supplementary </w:t>
      </w:r>
      <w:r w:rsidR="00196453">
        <w:rPr>
          <w:b/>
          <w:bCs/>
        </w:rPr>
        <w:t xml:space="preserve">Table S7. Symptom Severity and Improvement in GM </w:t>
      </w:r>
      <w:r w:rsidR="002B385F">
        <w:rPr>
          <w:b/>
          <w:bCs/>
        </w:rPr>
        <w:t>Youth by Birth-assigned Sex</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20"/>
        <w:gridCol w:w="2160"/>
        <w:gridCol w:w="2340"/>
        <w:gridCol w:w="1620"/>
        <w:gridCol w:w="360"/>
        <w:gridCol w:w="1260"/>
      </w:tblGrid>
      <w:tr w:rsidR="000C7625" w14:paraId="579D0108" w14:textId="77777777" w:rsidTr="00D40C21">
        <w:trPr>
          <w:trHeight w:val="650"/>
        </w:trPr>
        <w:tc>
          <w:tcPr>
            <w:tcW w:w="1620" w:type="dxa"/>
            <w:tcBorders>
              <w:top w:val="single" w:sz="4" w:space="0" w:color="auto"/>
              <w:bottom w:val="single" w:sz="4" w:space="0" w:color="auto"/>
            </w:tcBorders>
          </w:tcPr>
          <w:p w14:paraId="1F8FE65B"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pBdr>
              <w:rPr>
                <w:rFonts w:ascii="Times New Roman" w:hAnsi="Times New Roman"/>
                <w:sz w:val="24"/>
                <w:szCs w:val="24"/>
              </w:rPr>
            </w:pPr>
            <w:r>
              <w:rPr>
                <w:rFonts w:ascii="Times New Roman" w:hAnsi="Times New Roman"/>
                <w:sz w:val="24"/>
                <w:szCs w:val="24"/>
              </w:rPr>
              <w:t>Variable</w:t>
            </w:r>
          </w:p>
        </w:tc>
        <w:tc>
          <w:tcPr>
            <w:tcW w:w="2160" w:type="dxa"/>
            <w:tcBorders>
              <w:top w:val="single" w:sz="4" w:space="0" w:color="auto"/>
              <w:bottom w:val="single" w:sz="4" w:space="0" w:color="auto"/>
            </w:tcBorders>
          </w:tcPr>
          <w:p w14:paraId="6E84E6C8"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Birth-assigned boys</w:t>
            </w:r>
          </w:p>
          <w:p w14:paraId="7B968090" w14:textId="00629021"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w:t>
            </w:r>
            <w:r w:rsidRPr="00A859AD">
              <w:rPr>
                <w:rFonts w:ascii="Times New Roman" w:hAnsi="Times New Roman"/>
                <w:i/>
                <w:sz w:val="24"/>
                <w:szCs w:val="24"/>
              </w:rPr>
              <w:t>n</w:t>
            </w:r>
            <w:r>
              <w:rPr>
                <w:rFonts w:ascii="Times New Roman" w:hAnsi="Times New Roman"/>
                <w:sz w:val="24"/>
                <w:szCs w:val="24"/>
              </w:rPr>
              <w:t xml:space="preserve"> = 33)</w:t>
            </w:r>
          </w:p>
        </w:tc>
        <w:tc>
          <w:tcPr>
            <w:tcW w:w="2340" w:type="dxa"/>
            <w:tcBorders>
              <w:top w:val="single" w:sz="4" w:space="0" w:color="auto"/>
              <w:bottom w:val="single" w:sz="4" w:space="0" w:color="auto"/>
            </w:tcBorders>
          </w:tcPr>
          <w:p w14:paraId="57CF0288"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 w:val="24"/>
                <w:szCs w:val="24"/>
              </w:rPr>
            </w:pPr>
            <w:r>
              <w:rPr>
                <w:rFonts w:ascii="Times New Roman" w:hAnsi="Times New Roman"/>
                <w:sz w:val="24"/>
                <w:szCs w:val="24"/>
              </w:rPr>
              <w:t>Birth-assigned girls</w:t>
            </w:r>
          </w:p>
          <w:p w14:paraId="3BA0FCBD" w14:textId="6E057563"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sz w:val="24"/>
                <w:szCs w:val="24"/>
              </w:rPr>
            </w:pPr>
            <w:r>
              <w:rPr>
                <w:rFonts w:ascii="Times New Roman" w:hAnsi="Times New Roman"/>
                <w:sz w:val="24"/>
                <w:szCs w:val="24"/>
              </w:rPr>
              <w:t>(</w:t>
            </w:r>
            <w:r w:rsidRPr="00A859AD">
              <w:rPr>
                <w:rFonts w:ascii="Times New Roman" w:hAnsi="Times New Roman"/>
                <w:i/>
                <w:sz w:val="24"/>
                <w:szCs w:val="24"/>
              </w:rPr>
              <w:t>n</w:t>
            </w:r>
            <w:r>
              <w:rPr>
                <w:rFonts w:ascii="Times New Roman" w:hAnsi="Times New Roman"/>
                <w:sz w:val="24"/>
                <w:szCs w:val="24"/>
              </w:rPr>
              <w:t xml:space="preserve"> = 31)</w:t>
            </w:r>
          </w:p>
        </w:tc>
        <w:tc>
          <w:tcPr>
            <w:tcW w:w="1620" w:type="dxa"/>
            <w:tcBorders>
              <w:top w:val="single" w:sz="4" w:space="0" w:color="auto"/>
              <w:bottom w:val="single" w:sz="4" w:space="0" w:color="auto"/>
            </w:tcBorders>
          </w:tcPr>
          <w:p w14:paraId="2A0CB6A1" w14:textId="77777777" w:rsidR="0028656C" w:rsidRPr="00C24763" w:rsidRDefault="0028656C"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sidRPr="005640D8">
              <w:rPr>
                <w:rFonts w:ascii="Times New Roman" w:hAnsi="Times New Roman"/>
                <w:i/>
                <w:sz w:val="24"/>
                <w:szCs w:val="24"/>
              </w:rPr>
              <w:t>t</w:t>
            </w:r>
            <w:r>
              <w:rPr>
                <w:rFonts w:ascii="Times New Roman" w:hAnsi="Times New Roman"/>
                <w:sz w:val="24"/>
                <w:szCs w:val="24"/>
              </w:rPr>
              <w:t>(df)</w:t>
            </w:r>
          </w:p>
        </w:tc>
        <w:tc>
          <w:tcPr>
            <w:tcW w:w="360" w:type="dxa"/>
            <w:tcBorders>
              <w:top w:val="single" w:sz="4" w:space="0" w:color="auto"/>
              <w:bottom w:val="single" w:sz="4" w:space="0" w:color="auto"/>
            </w:tcBorders>
          </w:tcPr>
          <w:p w14:paraId="44C6FB68" w14:textId="77777777" w:rsidR="0028656C" w:rsidRPr="003E0A70" w:rsidRDefault="0028656C"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iCs/>
                <w:sz w:val="24"/>
                <w:szCs w:val="24"/>
              </w:rPr>
              <w:t>ES</w:t>
            </w:r>
          </w:p>
        </w:tc>
        <w:tc>
          <w:tcPr>
            <w:tcW w:w="1260" w:type="dxa"/>
            <w:tcBorders>
              <w:top w:val="single" w:sz="4" w:space="0" w:color="auto"/>
              <w:bottom w:val="single" w:sz="4" w:space="0" w:color="auto"/>
            </w:tcBorders>
          </w:tcPr>
          <w:p w14:paraId="20A7921C" w14:textId="77777777" w:rsidR="0028656C" w:rsidRPr="00C24763"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sz w:val="24"/>
                <w:szCs w:val="24"/>
              </w:rPr>
            </w:pPr>
            <w:r>
              <w:rPr>
                <w:rFonts w:ascii="Times New Roman" w:hAnsi="Times New Roman"/>
                <w:sz w:val="24"/>
                <w:szCs w:val="24"/>
              </w:rPr>
              <w:t xml:space="preserve">95% CI </w:t>
            </w:r>
          </w:p>
        </w:tc>
      </w:tr>
      <w:tr w:rsidR="005369A1" w14:paraId="553F3013" w14:textId="77777777" w:rsidTr="000E6CEC">
        <w:trPr>
          <w:trHeight w:hRule="exact" w:val="279"/>
        </w:trPr>
        <w:tc>
          <w:tcPr>
            <w:tcW w:w="9360" w:type="dxa"/>
            <w:gridSpan w:val="6"/>
            <w:tcBorders>
              <w:top w:val="single" w:sz="4" w:space="0" w:color="auto"/>
            </w:tcBorders>
          </w:tcPr>
          <w:p w14:paraId="10EC532A" w14:textId="4CC20ABB" w:rsidR="005369A1" w:rsidRPr="003E0A70" w:rsidRDefault="005369A1"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Pretreatment symptom severity</w:t>
            </w:r>
          </w:p>
        </w:tc>
      </w:tr>
      <w:tr w:rsidR="000C7625" w14:paraId="4BD75896" w14:textId="77777777" w:rsidTr="00D40C21">
        <w:trPr>
          <w:trHeight w:hRule="exact" w:val="279"/>
        </w:trPr>
        <w:tc>
          <w:tcPr>
            <w:tcW w:w="1620" w:type="dxa"/>
          </w:tcPr>
          <w:p w14:paraId="74241D1E"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sidRPr="007F33CC">
              <w:rPr>
                <w:rFonts w:ascii="Times New Roman" w:hAnsi="Times New Roman"/>
                <w:bCs/>
                <w:sz w:val="24"/>
                <w:szCs w:val="24"/>
                <w:vertAlign w:val="subscript"/>
              </w:rPr>
              <w:t>int</w:t>
            </w:r>
            <w:proofErr w:type="spellEnd"/>
          </w:p>
        </w:tc>
        <w:tc>
          <w:tcPr>
            <w:tcW w:w="2160" w:type="dxa"/>
          </w:tcPr>
          <w:p w14:paraId="287E0E66" w14:textId="6DFE72CD"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65.3(10.4)</w:t>
            </w:r>
          </w:p>
        </w:tc>
        <w:tc>
          <w:tcPr>
            <w:tcW w:w="2340" w:type="dxa"/>
          </w:tcPr>
          <w:p w14:paraId="06FB1455" w14:textId="47D33C4F"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59.4(6.9)</w:t>
            </w:r>
          </w:p>
        </w:tc>
        <w:tc>
          <w:tcPr>
            <w:tcW w:w="1620" w:type="dxa"/>
          </w:tcPr>
          <w:p w14:paraId="6947B9F9" w14:textId="42263D09" w:rsidR="0028656C" w:rsidRPr="00F95866"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Pr>
                <w:rFonts w:ascii="Times New Roman" w:hAnsi="Times New Roman"/>
                <w:sz w:val="24"/>
                <w:szCs w:val="24"/>
              </w:rPr>
              <w:t>55.8) = 2.71**</w:t>
            </w:r>
          </w:p>
        </w:tc>
        <w:tc>
          <w:tcPr>
            <w:tcW w:w="360" w:type="dxa"/>
          </w:tcPr>
          <w:p w14:paraId="7FB66F07" w14:textId="20D1D2B4" w:rsidR="0028656C" w:rsidRPr="003E0A70" w:rsidRDefault="003C6DC2"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w:t>
            </w:r>
            <w:r w:rsidR="005369A1">
              <w:rPr>
                <w:rFonts w:ascii="Times New Roman" w:hAnsi="Times New Roman"/>
                <w:sz w:val="24"/>
                <w:szCs w:val="24"/>
              </w:rPr>
              <w:t>67</w:t>
            </w:r>
          </w:p>
        </w:tc>
        <w:tc>
          <w:tcPr>
            <w:tcW w:w="1260" w:type="dxa"/>
          </w:tcPr>
          <w:p w14:paraId="14CE5D20" w14:textId="63407F4F" w:rsidR="0028656C" w:rsidRPr="003E0A70" w:rsidRDefault="0028656C"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w:t>
            </w:r>
            <w:r w:rsidR="003C6DC2">
              <w:rPr>
                <w:rFonts w:ascii="Times New Roman" w:hAnsi="Times New Roman"/>
                <w:sz w:val="24"/>
                <w:szCs w:val="24"/>
              </w:rPr>
              <w:t>1.55</w:t>
            </w:r>
            <w:r>
              <w:rPr>
                <w:rFonts w:ascii="Times New Roman" w:hAnsi="Times New Roman"/>
                <w:sz w:val="24"/>
                <w:szCs w:val="24"/>
              </w:rPr>
              <w:t xml:space="preserve">, </w:t>
            </w:r>
            <w:r w:rsidR="003C6DC2">
              <w:rPr>
                <w:rFonts w:ascii="Times New Roman" w:hAnsi="Times New Roman"/>
                <w:sz w:val="24"/>
                <w:szCs w:val="24"/>
              </w:rPr>
              <w:t>10.3</w:t>
            </w:r>
            <w:r>
              <w:rPr>
                <w:rFonts w:ascii="Times New Roman" w:hAnsi="Times New Roman"/>
                <w:sz w:val="24"/>
                <w:szCs w:val="24"/>
              </w:rPr>
              <w:t>]</w:t>
            </w:r>
          </w:p>
        </w:tc>
      </w:tr>
      <w:tr w:rsidR="000C7625" w14:paraId="28982284" w14:textId="77777777" w:rsidTr="00D40C21">
        <w:trPr>
          <w:trHeight w:hRule="exact" w:val="279"/>
        </w:trPr>
        <w:tc>
          <w:tcPr>
            <w:tcW w:w="1620" w:type="dxa"/>
          </w:tcPr>
          <w:p w14:paraId="1F6E42AB"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Pr>
                <w:rFonts w:ascii="Times New Roman" w:hAnsi="Times New Roman"/>
                <w:bCs/>
                <w:sz w:val="24"/>
                <w:szCs w:val="24"/>
                <w:vertAlign w:val="subscript"/>
              </w:rPr>
              <w:t>ext</w:t>
            </w:r>
            <w:proofErr w:type="spellEnd"/>
          </w:p>
        </w:tc>
        <w:tc>
          <w:tcPr>
            <w:tcW w:w="2160" w:type="dxa"/>
          </w:tcPr>
          <w:p w14:paraId="64005B3B" w14:textId="0C09C63C"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5</w:t>
            </w:r>
            <w:r w:rsidR="0019020B">
              <w:rPr>
                <w:rFonts w:ascii="Times New Roman" w:hAnsi="Times New Roman"/>
                <w:sz w:val="24"/>
                <w:szCs w:val="24"/>
              </w:rPr>
              <w:t>8</w:t>
            </w:r>
            <w:r>
              <w:rPr>
                <w:rFonts w:ascii="Times New Roman" w:hAnsi="Times New Roman"/>
                <w:sz w:val="24"/>
                <w:szCs w:val="24"/>
              </w:rPr>
              <w:t>.</w:t>
            </w:r>
            <w:r w:rsidR="0019020B">
              <w:rPr>
                <w:rFonts w:ascii="Times New Roman" w:hAnsi="Times New Roman"/>
                <w:sz w:val="24"/>
                <w:szCs w:val="24"/>
              </w:rPr>
              <w:t>0</w:t>
            </w:r>
            <w:r>
              <w:rPr>
                <w:rFonts w:ascii="Times New Roman" w:hAnsi="Times New Roman"/>
                <w:sz w:val="24"/>
                <w:szCs w:val="24"/>
              </w:rPr>
              <w:t>(1</w:t>
            </w:r>
            <w:r w:rsidR="0019020B">
              <w:rPr>
                <w:rFonts w:ascii="Times New Roman" w:hAnsi="Times New Roman"/>
                <w:sz w:val="24"/>
                <w:szCs w:val="24"/>
              </w:rPr>
              <w:t>0</w:t>
            </w:r>
            <w:r>
              <w:rPr>
                <w:rFonts w:ascii="Times New Roman" w:hAnsi="Times New Roman"/>
                <w:sz w:val="24"/>
                <w:szCs w:val="24"/>
              </w:rPr>
              <w:t>.</w:t>
            </w:r>
            <w:r w:rsidR="0019020B">
              <w:rPr>
                <w:rFonts w:ascii="Times New Roman" w:hAnsi="Times New Roman"/>
                <w:sz w:val="24"/>
                <w:szCs w:val="24"/>
              </w:rPr>
              <w:t>6</w:t>
            </w:r>
            <w:r>
              <w:rPr>
                <w:rFonts w:ascii="Times New Roman" w:hAnsi="Times New Roman"/>
                <w:sz w:val="24"/>
                <w:szCs w:val="24"/>
              </w:rPr>
              <w:t>)</w:t>
            </w:r>
          </w:p>
        </w:tc>
        <w:tc>
          <w:tcPr>
            <w:tcW w:w="2340" w:type="dxa"/>
          </w:tcPr>
          <w:p w14:paraId="7CB8E0B7" w14:textId="2A5B1849"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495604">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5</w:t>
            </w:r>
            <w:r w:rsidR="0019020B">
              <w:rPr>
                <w:rFonts w:ascii="Times New Roman" w:hAnsi="Times New Roman"/>
                <w:sz w:val="24"/>
                <w:szCs w:val="24"/>
              </w:rPr>
              <w:t>5</w:t>
            </w:r>
            <w:r>
              <w:rPr>
                <w:rFonts w:ascii="Times New Roman" w:hAnsi="Times New Roman"/>
                <w:sz w:val="24"/>
                <w:szCs w:val="24"/>
              </w:rPr>
              <w:t>.</w:t>
            </w:r>
            <w:r w:rsidR="0019020B">
              <w:rPr>
                <w:rFonts w:ascii="Times New Roman" w:hAnsi="Times New Roman"/>
                <w:sz w:val="24"/>
                <w:szCs w:val="24"/>
              </w:rPr>
              <w:t>8</w:t>
            </w:r>
            <w:r>
              <w:rPr>
                <w:rFonts w:ascii="Times New Roman" w:hAnsi="Times New Roman"/>
                <w:sz w:val="24"/>
                <w:szCs w:val="24"/>
              </w:rPr>
              <w:t>(</w:t>
            </w:r>
            <w:r w:rsidR="0019020B">
              <w:rPr>
                <w:rFonts w:ascii="Times New Roman" w:hAnsi="Times New Roman"/>
                <w:sz w:val="24"/>
                <w:szCs w:val="24"/>
              </w:rPr>
              <w:t>9.6</w:t>
            </w:r>
            <w:r>
              <w:rPr>
                <w:rFonts w:ascii="Times New Roman" w:hAnsi="Times New Roman"/>
                <w:sz w:val="24"/>
                <w:szCs w:val="24"/>
              </w:rPr>
              <w:t>)</w:t>
            </w:r>
          </w:p>
        </w:tc>
        <w:tc>
          <w:tcPr>
            <w:tcW w:w="1620" w:type="dxa"/>
          </w:tcPr>
          <w:p w14:paraId="5B91B71A" w14:textId="536BB5B0" w:rsidR="0028656C" w:rsidRPr="00134E98"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sidR="0019020B">
              <w:rPr>
                <w:rFonts w:ascii="Times New Roman" w:hAnsi="Times New Roman"/>
                <w:sz w:val="24"/>
                <w:szCs w:val="24"/>
              </w:rPr>
              <w:t>62</w:t>
            </w:r>
            <w:r>
              <w:rPr>
                <w:rFonts w:ascii="Times New Roman" w:hAnsi="Times New Roman"/>
                <w:sz w:val="24"/>
                <w:szCs w:val="24"/>
              </w:rPr>
              <w:t xml:space="preserve">) = </w:t>
            </w:r>
            <w:r w:rsidR="0019020B">
              <w:rPr>
                <w:rFonts w:ascii="Times New Roman" w:hAnsi="Times New Roman"/>
                <w:sz w:val="24"/>
                <w:szCs w:val="24"/>
              </w:rPr>
              <w:t>.89</w:t>
            </w:r>
          </w:p>
        </w:tc>
        <w:tc>
          <w:tcPr>
            <w:tcW w:w="360" w:type="dxa"/>
          </w:tcPr>
          <w:p w14:paraId="002A4C92" w14:textId="12265D0C" w:rsidR="0028656C" w:rsidRPr="003E0A70" w:rsidRDefault="005369A1"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.22</w:t>
            </w:r>
          </w:p>
        </w:tc>
        <w:tc>
          <w:tcPr>
            <w:tcW w:w="1260" w:type="dxa"/>
          </w:tcPr>
          <w:p w14:paraId="71C834A2" w14:textId="79D3512B" w:rsidR="0028656C" w:rsidRPr="003E0A70" w:rsidRDefault="0028656C"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w:t>
            </w:r>
            <w:r w:rsidR="003C6DC2">
              <w:rPr>
                <w:rFonts w:ascii="Times New Roman" w:hAnsi="Times New Roman"/>
                <w:sz w:val="24"/>
                <w:szCs w:val="24"/>
              </w:rPr>
              <w:t>-2.80</w:t>
            </w:r>
            <w:r>
              <w:rPr>
                <w:rFonts w:ascii="Times New Roman" w:hAnsi="Times New Roman"/>
                <w:sz w:val="24"/>
                <w:szCs w:val="24"/>
              </w:rPr>
              <w:t xml:space="preserve">, </w:t>
            </w:r>
            <w:r w:rsidR="003C6DC2">
              <w:rPr>
                <w:rFonts w:ascii="Times New Roman" w:hAnsi="Times New Roman"/>
                <w:sz w:val="24"/>
                <w:szCs w:val="24"/>
              </w:rPr>
              <w:t>7.31</w:t>
            </w:r>
            <w:r>
              <w:rPr>
                <w:rFonts w:ascii="Times New Roman" w:hAnsi="Times New Roman"/>
                <w:sz w:val="24"/>
                <w:szCs w:val="24"/>
              </w:rPr>
              <w:t>]</w:t>
            </w:r>
          </w:p>
        </w:tc>
      </w:tr>
      <w:tr w:rsidR="000C7625" w14:paraId="465EE421" w14:textId="77777777" w:rsidTr="00D40C21">
        <w:trPr>
          <w:trHeight w:hRule="exact" w:val="279"/>
        </w:trPr>
        <w:tc>
          <w:tcPr>
            <w:tcW w:w="1620" w:type="dxa"/>
          </w:tcPr>
          <w:p w14:paraId="6F70E6F6" w14:textId="77777777" w:rsidR="0028656C" w:rsidRPr="00151D8E"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CBCL</w:t>
            </w:r>
            <w:r w:rsidRPr="007F33CC">
              <w:rPr>
                <w:rFonts w:ascii="Times New Roman" w:hAnsi="Times New Roman"/>
                <w:bCs/>
                <w:sz w:val="24"/>
                <w:szCs w:val="24"/>
                <w:vertAlign w:val="subscript"/>
              </w:rPr>
              <w:t>int</w:t>
            </w:r>
            <w:proofErr w:type="spellEnd"/>
          </w:p>
        </w:tc>
        <w:tc>
          <w:tcPr>
            <w:tcW w:w="2160" w:type="dxa"/>
          </w:tcPr>
          <w:p w14:paraId="5959505F" w14:textId="7D1E21D8"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w:t>
            </w:r>
            <w:r w:rsidR="0019020B">
              <w:rPr>
                <w:rFonts w:ascii="Times New Roman" w:hAnsi="Times New Roman"/>
                <w:sz w:val="24"/>
                <w:szCs w:val="24"/>
              </w:rPr>
              <w:t>62.3</w:t>
            </w:r>
            <w:r>
              <w:rPr>
                <w:rFonts w:ascii="Times New Roman" w:hAnsi="Times New Roman"/>
                <w:sz w:val="24"/>
                <w:szCs w:val="24"/>
              </w:rPr>
              <w:t>(</w:t>
            </w:r>
            <w:r w:rsidR="0019020B">
              <w:rPr>
                <w:rFonts w:ascii="Times New Roman" w:hAnsi="Times New Roman"/>
                <w:sz w:val="24"/>
                <w:szCs w:val="24"/>
              </w:rPr>
              <w:t>10.8</w:t>
            </w:r>
            <w:r>
              <w:rPr>
                <w:rFonts w:ascii="Times New Roman" w:hAnsi="Times New Roman"/>
                <w:sz w:val="24"/>
                <w:szCs w:val="24"/>
              </w:rPr>
              <w:t>)</w:t>
            </w:r>
          </w:p>
        </w:tc>
        <w:tc>
          <w:tcPr>
            <w:tcW w:w="2340" w:type="dxa"/>
          </w:tcPr>
          <w:p w14:paraId="526D20A8" w14:textId="52F2D7D9"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6</w:t>
            </w:r>
            <w:r w:rsidR="0019020B">
              <w:rPr>
                <w:rFonts w:ascii="Times New Roman" w:hAnsi="Times New Roman"/>
                <w:sz w:val="24"/>
                <w:szCs w:val="24"/>
              </w:rPr>
              <w:t>5</w:t>
            </w:r>
            <w:r>
              <w:rPr>
                <w:rFonts w:ascii="Times New Roman" w:hAnsi="Times New Roman"/>
                <w:sz w:val="24"/>
                <w:szCs w:val="24"/>
              </w:rPr>
              <w:t>.0(</w:t>
            </w:r>
            <w:r w:rsidR="0019020B">
              <w:rPr>
                <w:rFonts w:ascii="Times New Roman" w:hAnsi="Times New Roman"/>
                <w:sz w:val="24"/>
                <w:szCs w:val="24"/>
              </w:rPr>
              <w:t>10</w:t>
            </w:r>
            <w:r>
              <w:rPr>
                <w:rFonts w:ascii="Times New Roman" w:hAnsi="Times New Roman"/>
                <w:sz w:val="24"/>
                <w:szCs w:val="24"/>
              </w:rPr>
              <w:t>.</w:t>
            </w:r>
            <w:r w:rsidR="0019020B">
              <w:rPr>
                <w:rFonts w:ascii="Times New Roman" w:hAnsi="Times New Roman"/>
                <w:sz w:val="24"/>
                <w:szCs w:val="24"/>
              </w:rPr>
              <w:t>1</w:t>
            </w:r>
            <w:r>
              <w:rPr>
                <w:rFonts w:ascii="Times New Roman" w:hAnsi="Times New Roman"/>
                <w:sz w:val="24"/>
                <w:szCs w:val="24"/>
              </w:rPr>
              <w:t>)</w:t>
            </w:r>
          </w:p>
        </w:tc>
        <w:tc>
          <w:tcPr>
            <w:tcW w:w="1620" w:type="dxa"/>
          </w:tcPr>
          <w:p w14:paraId="3F8AA632" w14:textId="26D0D07A"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sidR="0019020B">
              <w:rPr>
                <w:rFonts w:ascii="Times New Roman" w:hAnsi="Times New Roman"/>
                <w:sz w:val="24"/>
                <w:szCs w:val="24"/>
              </w:rPr>
              <w:t>62</w:t>
            </w:r>
            <w:r>
              <w:rPr>
                <w:rFonts w:ascii="Times New Roman" w:hAnsi="Times New Roman"/>
                <w:sz w:val="24"/>
                <w:szCs w:val="24"/>
              </w:rPr>
              <w:t xml:space="preserve">) = </w:t>
            </w:r>
            <w:r w:rsidR="0019020B">
              <w:rPr>
                <w:rFonts w:ascii="Times New Roman" w:hAnsi="Times New Roman"/>
                <w:sz w:val="24"/>
                <w:szCs w:val="24"/>
              </w:rPr>
              <w:t>1.03</w:t>
            </w:r>
          </w:p>
        </w:tc>
        <w:tc>
          <w:tcPr>
            <w:tcW w:w="360" w:type="dxa"/>
          </w:tcPr>
          <w:p w14:paraId="4516ABD9" w14:textId="0102B3EE" w:rsidR="0028656C" w:rsidRPr="003E0A70" w:rsidRDefault="005369A1"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.26</w:t>
            </w:r>
          </w:p>
        </w:tc>
        <w:tc>
          <w:tcPr>
            <w:tcW w:w="1260" w:type="dxa"/>
          </w:tcPr>
          <w:p w14:paraId="11CB7BF3" w14:textId="67692F69" w:rsidR="0028656C" w:rsidRPr="003E0A70" w:rsidRDefault="003C6DC2" w:rsidP="000E6CEC">
            <w:pPr>
              <w:pStyle w:val="Body"/>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hAnsi="Times New Roman"/>
                <w:sz w:val="24"/>
                <w:szCs w:val="24"/>
              </w:rPr>
            </w:pPr>
            <w:r>
              <w:rPr>
                <w:rFonts w:ascii="Times New Roman" w:hAnsi="Times New Roman"/>
                <w:sz w:val="24"/>
                <w:szCs w:val="24"/>
              </w:rPr>
              <w:t>[-7.92, 2.53]</w:t>
            </w:r>
          </w:p>
        </w:tc>
      </w:tr>
      <w:tr w:rsidR="000C7625" w14:paraId="63F244AE" w14:textId="77777777" w:rsidTr="00D40C21">
        <w:trPr>
          <w:trHeight w:hRule="exact" w:val="279"/>
        </w:trPr>
        <w:tc>
          <w:tcPr>
            <w:tcW w:w="1620" w:type="dxa"/>
          </w:tcPr>
          <w:p w14:paraId="4162B170"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CBCL</w:t>
            </w:r>
            <w:r>
              <w:rPr>
                <w:rFonts w:ascii="Times New Roman" w:hAnsi="Times New Roman"/>
                <w:bCs/>
                <w:sz w:val="24"/>
                <w:szCs w:val="24"/>
                <w:vertAlign w:val="subscript"/>
              </w:rPr>
              <w:t>ext</w:t>
            </w:r>
            <w:proofErr w:type="spellEnd"/>
          </w:p>
        </w:tc>
        <w:tc>
          <w:tcPr>
            <w:tcW w:w="2160" w:type="dxa"/>
          </w:tcPr>
          <w:p w14:paraId="023DDB4D" w14:textId="29BE8A53"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6</w:t>
            </w:r>
            <w:r w:rsidR="0019020B">
              <w:rPr>
                <w:rFonts w:ascii="Times New Roman" w:hAnsi="Times New Roman"/>
                <w:sz w:val="24"/>
                <w:szCs w:val="24"/>
              </w:rPr>
              <w:t>3</w:t>
            </w:r>
            <w:r>
              <w:rPr>
                <w:rFonts w:ascii="Times New Roman" w:hAnsi="Times New Roman"/>
                <w:sz w:val="24"/>
                <w:szCs w:val="24"/>
              </w:rPr>
              <w:t>.</w:t>
            </w:r>
            <w:r w:rsidR="0019020B">
              <w:rPr>
                <w:rFonts w:ascii="Times New Roman" w:hAnsi="Times New Roman"/>
                <w:sz w:val="24"/>
                <w:szCs w:val="24"/>
              </w:rPr>
              <w:t>0</w:t>
            </w:r>
            <w:r>
              <w:rPr>
                <w:rFonts w:ascii="Times New Roman" w:hAnsi="Times New Roman"/>
                <w:sz w:val="24"/>
                <w:szCs w:val="24"/>
              </w:rPr>
              <w:t>(</w:t>
            </w:r>
            <w:r w:rsidR="0019020B">
              <w:rPr>
                <w:rFonts w:ascii="Times New Roman" w:hAnsi="Times New Roman"/>
                <w:sz w:val="24"/>
                <w:szCs w:val="24"/>
              </w:rPr>
              <w:t>10</w:t>
            </w:r>
            <w:r>
              <w:rPr>
                <w:rFonts w:ascii="Times New Roman" w:hAnsi="Times New Roman"/>
                <w:sz w:val="24"/>
                <w:szCs w:val="24"/>
              </w:rPr>
              <w:t>.5)</w:t>
            </w:r>
          </w:p>
        </w:tc>
        <w:tc>
          <w:tcPr>
            <w:tcW w:w="2340" w:type="dxa"/>
          </w:tcPr>
          <w:p w14:paraId="1A12C2A3" w14:textId="150873DC"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6</w:t>
            </w:r>
            <w:r w:rsidR="0019020B">
              <w:rPr>
                <w:rFonts w:ascii="Times New Roman" w:hAnsi="Times New Roman"/>
                <w:sz w:val="24"/>
                <w:szCs w:val="24"/>
              </w:rPr>
              <w:t>0</w:t>
            </w:r>
            <w:r>
              <w:rPr>
                <w:rFonts w:ascii="Times New Roman" w:hAnsi="Times New Roman"/>
                <w:sz w:val="24"/>
                <w:szCs w:val="24"/>
              </w:rPr>
              <w:t>.</w:t>
            </w:r>
            <w:r w:rsidR="0019020B">
              <w:rPr>
                <w:rFonts w:ascii="Times New Roman" w:hAnsi="Times New Roman"/>
                <w:sz w:val="24"/>
                <w:szCs w:val="24"/>
              </w:rPr>
              <w:t>9</w:t>
            </w:r>
            <w:r>
              <w:rPr>
                <w:rFonts w:ascii="Times New Roman" w:hAnsi="Times New Roman"/>
                <w:sz w:val="24"/>
                <w:szCs w:val="24"/>
              </w:rPr>
              <w:t>(</w:t>
            </w:r>
            <w:r w:rsidR="0019020B">
              <w:rPr>
                <w:rFonts w:ascii="Times New Roman" w:hAnsi="Times New Roman"/>
                <w:sz w:val="24"/>
                <w:szCs w:val="24"/>
              </w:rPr>
              <w:t>9</w:t>
            </w:r>
            <w:r>
              <w:rPr>
                <w:rFonts w:ascii="Times New Roman" w:hAnsi="Times New Roman"/>
                <w:sz w:val="24"/>
                <w:szCs w:val="24"/>
              </w:rPr>
              <w:t>.</w:t>
            </w:r>
            <w:r w:rsidR="0019020B">
              <w:rPr>
                <w:rFonts w:ascii="Times New Roman" w:hAnsi="Times New Roman"/>
                <w:sz w:val="24"/>
                <w:szCs w:val="24"/>
              </w:rPr>
              <w:t>8</w:t>
            </w:r>
            <w:r>
              <w:rPr>
                <w:rFonts w:ascii="Times New Roman" w:hAnsi="Times New Roman"/>
                <w:sz w:val="24"/>
                <w:szCs w:val="24"/>
              </w:rPr>
              <w:t>)</w:t>
            </w:r>
          </w:p>
        </w:tc>
        <w:tc>
          <w:tcPr>
            <w:tcW w:w="1620" w:type="dxa"/>
          </w:tcPr>
          <w:p w14:paraId="5CC19A64" w14:textId="38D9CC0F"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proofErr w:type="gramStart"/>
            <w:r w:rsidRPr="00134E98">
              <w:rPr>
                <w:rFonts w:ascii="Times New Roman" w:hAnsi="Times New Roman"/>
                <w:i/>
                <w:iCs/>
                <w:sz w:val="24"/>
                <w:szCs w:val="24"/>
              </w:rPr>
              <w:t>t</w:t>
            </w:r>
            <w:r>
              <w:rPr>
                <w:rFonts w:ascii="Times New Roman" w:hAnsi="Times New Roman"/>
                <w:sz w:val="24"/>
                <w:szCs w:val="24"/>
              </w:rPr>
              <w:t>(</w:t>
            </w:r>
            <w:proofErr w:type="gramEnd"/>
            <w:r w:rsidR="0019020B">
              <w:rPr>
                <w:rFonts w:ascii="Times New Roman" w:hAnsi="Times New Roman"/>
                <w:sz w:val="24"/>
                <w:szCs w:val="24"/>
              </w:rPr>
              <w:t>62</w:t>
            </w:r>
            <w:r>
              <w:rPr>
                <w:rFonts w:ascii="Times New Roman" w:hAnsi="Times New Roman"/>
                <w:sz w:val="24"/>
                <w:szCs w:val="24"/>
              </w:rPr>
              <w:t xml:space="preserve">) = </w:t>
            </w:r>
            <w:r w:rsidR="0019020B">
              <w:rPr>
                <w:rFonts w:ascii="Times New Roman" w:hAnsi="Times New Roman"/>
                <w:sz w:val="24"/>
                <w:szCs w:val="24"/>
              </w:rPr>
              <w:t>.84</w:t>
            </w:r>
          </w:p>
        </w:tc>
        <w:tc>
          <w:tcPr>
            <w:tcW w:w="360" w:type="dxa"/>
          </w:tcPr>
          <w:p w14:paraId="0A4CE17F" w14:textId="090C90E5" w:rsidR="0028656C" w:rsidRPr="003E0A70" w:rsidRDefault="005369A1"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.21</w:t>
            </w:r>
          </w:p>
        </w:tc>
        <w:tc>
          <w:tcPr>
            <w:tcW w:w="1260" w:type="dxa"/>
          </w:tcPr>
          <w:p w14:paraId="42737F95" w14:textId="2DA8E4A8" w:rsidR="0028656C" w:rsidRPr="003E0A70" w:rsidRDefault="003C6DC2"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[-2.96, 7.21]</w:t>
            </w:r>
          </w:p>
        </w:tc>
      </w:tr>
      <w:tr w:rsidR="000C7625" w14:paraId="71C2926F" w14:textId="77777777" w:rsidTr="000E6CEC">
        <w:trPr>
          <w:trHeight w:hRule="exact" w:val="279"/>
        </w:trPr>
        <w:tc>
          <w:tcPr>
            <w:tcW w:w="9360" w:type="dxa"/>
            <w:gridSpan w:val="6"/>
          </w:tcPr>
          <w:p w14:paraId="27D35723" w14:textId="06AF6321" w:rsidR="000C7625" w:rsidRDefault="000C7625"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MLM-predicted pre-post treatment symptom improvement</w:t>
            </w:r>
          </w:p>
        </w:tc>
      </w:tr>
      <w:tr w:rsidR="000C7625" w14:paraId="30412A0B" w14:textId="77777777" w:rsidTr="00D40C21">
        <w:trPr>
          <w:trHeight w:hRule="exact" w:val="279"/>
        </w:trPr>
        <w:tc>
          <w:tcPr>
            <w:tcW w:w="1620" w:type="dxa"/>
          </w:tcPr>
          <w:p w14:paraId="5078996B"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sidRPr="007F33CC">
              <w:rPr>
                <w:rFonts w:ascii="Times New Roman" w:hAnsi="Times New Roman"/>
                <w:bCs/>
                <w:sz w:val="24"/>
                <w:szCs w:val="24"/>
                <w:vertAlign w:val="subscript"/>
              </w:rPr>
              <w:t>int</w:t>
            </w:r>
            <w:proofErr w:type="spellEnd"/>
          </w:p>
        </w:tc>
        <w:tc>
          <w:tcPr>
            <w:tcW w:w="2160" w:type="dxa"/>
          </w:tcPr>
          <w:p w14:paraId="3DA289B2" w14:textId="7E5978F1" w:rsidR="0028656C" w:rsidRPr="001673E8"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1</w:t>
            </w:r>
            <w:r w:rsidR="00A85028">
              <w:rPr>
                <w:rFonts w:ascii="Times New Roman" w:hAnsi="Times New Roman"/>
                <w:sz w:val="24"/>
                <w:szCs w:val="24"/>
              </w:rPr>
              <w:t>4.7</w:t>
            </w:r>
            <w:r>
              <w:rPr>
                <w:rFonts w:ascii="Times New Roman" w:hAnsi="Times New Roman"/>
                <w:sz w:val="24"/>
                <w:szCs w:val="24"/>
              </w:rPr>
              <w:t>(</w:t>
            </w:r>
            <w:r w:rsidR="00A85028">
              <w:rPr>
                <w:rFonts w:ascii="Times New Roman" w:hAnsi="Times New Roman"/>
                <w:sz w:val="24"/>
                <w:szCs w:val="24"/>
              </w:rPr>
              <w:t>7</w:t>
            </w:r>
            <w:r>
              <w:rPr>
                <w:rFonts w:ascii="Times New Roman" w:hAnsi="Times New Roman"/>
                <w:sz w:val="24"/>
                <w:szCs w:val="24"/>
              </w:rPr>
              <w:t>.2)</w:t>
            </w:r>
          </w:p>
        </w:tc>
        <w:tc>
          <w:tcPr>
            <w:tcW w:w="2340" w:type="dxa"/>
          </w:tcPr>
          <w:p w14:paraId="1F8933C1" w14:textId="308966D5" w:rsidR="0028656C" w:rsidRPr="00495604"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13.</w:t>
            </w:r>
            <w:r w:rsidR="00A85028">
              <w:rPr>
                <w:rFonts w:ascii="Times New Roman" w:hAnsi="Times New Roman"/>
                <w:sz w:val="24"/>
                <w:szCs w:val="24"/>
              </w:rPr>
              <w:t>0</w:t>
            </w:r>
            <w:r>
              <w:rPr>
                <w:rFonts w:ascii="Times New Roman" w:hAnsi="Times New Roman"/>
                <w:sz w:val="24"/>
                <w:szCs w:val="24"/>
              </w:rPr>
              <w:t>(</w:t>
            </w:r>
            <w:r w:rsidR="00A85028">
              <w:rPr>
                <w:rFonts w:ascii="Times New Roman" w:hAnsi="Times New Roman"/>
                <w:sz w:val="24"/>
                <w:szCs w:val="24"/>
              </w:rPr>
              <w:t>7</w:t>
            </w:r>
            <w:r>
              <w:rPr>
                <w:rFonts w:ascii="Times New Roman" w:hAnsi="Times New Roman"/>
                <w:sz w:val="24"/>
                <w:szCs w:val="24"/>
              </w:rPr>
              <w:t>.0)</w:t>
            </w:r>
          </w:p>
        </w:tc>
        <w:tc>
          <w:tcPr>
            <w:tcW w:w="1620" w:type="dxa"/>
          </w:tcPr>
          <w:p w14:paraId="6D932E87" w14:textId="2B95BE6B"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sidR="00A85028">
              <w:rPr>
                <w:rFonts w:ascii="Times New Roman" w:hAnsi="Times New Roman"/>
                <w:sz w:val="24"/>
                <w:szCs w:val="24"/>
              </w:rPr>
              <w:t>62</w:t>
            </w:r>
            <w:r>
              <w:rPr>
                <w:rFonts w:ascii="Times New Roman" w:hAnsi="Times New Roman"/>
                <w:sz w:val="24"/>
                <w:szCs w:val="24"/>
              </w:rPr>
              <w:t>) = .</w:t>
            </w:r>
            <w:r w:rsidR="00A85028">
              <w:rPr>
                <w:rFonts w:ascii="Times New Roman" w:hAnsi="Times New Roman"/>
                <w:sz w:val="24"/>
                <w:szCs w:val="24"/>
              </w:rPr>
              <w:t>92</w:t>
            </w:r>
          </w:p>
        </w:tc>
        <w:tc>
          <w:tcPr>
            <w:tcW w:w="360" w:type="dxa"/>
          </w:tcPr>
          <w:p w14:paraId="426CF2D2" w14:textId="59C4705C" w:rsidR="0028656C" w:rsidRDefault="005369A1"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.24</w:t>
            </w:r>
          </w:p>
        </w:tc>
        <w:tc>
          <w:tcPr>
            <w:tcW w:w="1260" w:type="dxa"/>
          </w:tcPr>
          <w:p w14:paraId="68AC2CD7" w14:textId="595B1FAB" w:rsidR="0028656C" w:rsidRDefault="003C6DC2"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[-5.20, 1.93]</w:t>
            </w:r>
          </w:p>
        </w:tc>
      </w:tr>
      <w:tr w:rsidR="000C7625" w14:paraId="14D69EA0" w14:textId="77777777" w:rsidTr="00D40C21">
        <w:trPr>
          <w:trHeight w:hRule="exact" w:val="279"/>
        </w:trPr>
        <w:tc>
          <w:tcPr>
            <w:tcW w:w="1620" w:type="dxa"/>
          </w:tcPr>
          <w:p w14:paraId="4EF6BE17"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YSR</w:t>
            </w:r>
            <w:r>
              <w:rPr>
                <w:rFonts w:ascii="Times New Roman" w:hAnsi="Times New Roman"/>
                <w:bCs/>
                <w:sz w:val="24"/>
                <w:szCs w:val="24"/>
                <w:vertAlign w:val="subscript"/>
              </w:rPr>
              <w:t>ext</w:t>
            </w:r>
            <w:proofErr w:type="spellEnd"/>
          </w:p>
        </w:tc>
        <w:tc>
          <w:tcPr>
            <w:tcW w:w="2160" w:type="dxa"/>
          </w:tcPr>
          <w:p w14:paraId="6AE746E1" w14:textId="4981BA66" w:rsidR="0028656C" w:rsidRPr="001673E8"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w:t>
            </w:r>
            <w:r w:rsidR="00A85028">
              <w:rPr>
                <w:rFonts w:ascii="Times New Roman" w:hAnsi="Times New Roman"/>
                <w:sz w:val="24"/>
                <w:szCs w:val="24"/>
              </w:rPr>
              <w:t>8</w:t>
            </w:r>
            <w:r>
              <w:rPr>
                <w:rFonts w:ascii="Times New Roman" w:hAnsi="Times New Roman"/>
                <w:sz w:val="24"/>
                <w:szCs w:val="24"/>
              </w:rPr>
              <w:t>.</w:t>
            </w:r>
            <w:r w:rsidR="00A85028">
              <w:rPr>
                <w:rFonts w:ascii="Times New Roman" w:hAnsi="Times New Roman"/>
                <w:sz w:val="24"/>
                <w:szCs w:val="24"/>
              </w:rPr>
              <w:t>3</w:t>
            </w:r>
            <w:r>
              <w:rPr>
                <w:rFonts w:ascii="Times New Roman" w:hAnsi="Times New Roman"/>
                <w:sz w:val="24"/>
                <w:szCs w:val="24"/>
              </w:rPr>
              <w:t>2(3.</w:t>
            </w:r>
            <w:r w:rsidR="00A85028">
              <w:rPr>
                <w:rFonts w:ascii="Times New Roman" w:hAnsi="Times New Roman"/>
                <w:sz w:val="24"/>
                <w:szCs w:val="24"/>
              </w:rPr>
              <w:t>8</w:t>
            </w:r>
            <w:r>
              <w:rPr>
                <w:rFonts w:ascii="Times New Roman" w:hAnsi="Times New Roman"/>
                <w:sz w:val="24"/>
                <w:szCs w:val="24"/>
              </w:rPr>
              <w:t>)</w:t>
            </w:r>
          </w:p>
        </w:tc>
        <w:tc>
          <w:tcPr>
            <w:tcW w:w="2340" w:type="dxa"/>
          </w:tcPr>
          <w:p w14:paraId="45970D5D" w14:textId="223AD159" w:rsidR="0028656C" w:rsidRPr="00495604"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7.</w:t>
            </w:r>
            <w:r w:rsidR="00A85028">
              <w:rPr>
                <w:rFonts w:ascii="Times New Roman" w:hAnsi="Times New Roman"/>
                <w:sz w:val="24"/>
                <w:szCs w:val="24"/>
              </w:rPr>
              <w:t>83</w:t>
            </w:r>
            <w:r>
              <w:rPr>
                <w:rFonts w:ascii="Times New Roman" w:hAnsi="Times New Roman"/>
                <w:sz w:val="24"/>
                <w:szCs w:val="24"/>
              </w:rPr>
              <w:t>(</w:t>
            </w:r>
            <w:r w:rsidR="00A85028">
              <w:rPr>
                <w:rFonts w:ascii="Times New Roman" w:hAnsi="Times New Roman"/>
                <w:sz w:val="24"/>
                <w:szCs w:val="24"/>
              </w:rPr>
              <w:t>3.1</w:t>
            </w:r>
            <w:r>
              <w:rPr>
                <w:rFonts w:ascii="Times New Roman" w:hAnsi="Times New Roman"/>
                <w:sz w:val="24"/>
                <w:szCs w:val="24"/>
              </w:rPr>
              <w:t>)</w:t>
            </w:r>
          </w:p>
        </w:tc>
        <w:tc>
          <w:tcPr>
            <w:tcW w:w="1620" w:type="dxa"/>
          </w:tcPr>
          <w:p w14:paraId="4EE88AB7" w14:textId="17533B24"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sidR="00A85028">
              <w:rPr>
                <w:rFonts w:ascii="Times New Roman" w:hAnsi="Times New Roman"/>
                <w:sz w:val="24"/>
                <w:szCs w:val="24"/>
              </w:rPr>
              <w:t>62</w:t>
            </w:r>
            <w:r>
              <w:rPr>
                <w:rFonts w:ascii="Times New Roman" w:hAnsi="Times New Roman"/>
                <w:sz w:val="24"/>
                <w:szCs w:val="24"/>
              </w:rPr>
              <w:t xml:space="preserve">) = </w:t>
            </w:r>
            <w:r w:rsidR="00A85028">
              <w:rPr>
                <w:rFonts w:ascii="Times New Roman" w:hAnsi="Times New Roman"/>
                <w:sz w:val="24"/>
                <w:szCs w:val="24"/>
              </w:rPr>
              <w:t>.56</w:t>
            </w:r>
          </w:p>
        </w:tc>
        <w:tc>
          <w:tcPr>
            <w:tcW w:w="360" w:type="dxa"/>
          </w:tcPr>
          <w:p w14:paraId="4A1E77D4" w14:textId="5BE32F83" w:rsidR="0028656C" w:rsidRDefault="005369A1"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.14</w:t>
            </w:r>
          </w:p>
        </w:tc>
        <w:tc>
          <w:tcPr>
            <w:tcW w:w="1260" w:type="dxa"/>
          </w:tcPr>
          <w:p w14:paraId="0DE7E8B2" w14:textId="608861C0" w:rsidR="0028656C" w:rsidRDefault="003C6DC2"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[-2.23, 1.25]</w:t>
            </w:r>
          </w:p>
        </w:tc>
      </w:tr>
      <w:tr w:rsidR="000C7625" w14:paraId="66A84B1F" w14:textId="77777777" w:rsidTr="00D40C21">
        <w:trPr>
          <w:trHeight w:hRule="exact" w:val="279"/>
        </w:trPr>
        <w:tc>
          <w:tcPr>
            <w:tcW w:w="1620" w:type="dxa"/>
          </w:tcPr>
          <w:p w14:paraId="08902F2E"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CBCL</w:t>
            </w:r>
            <w:r w:rsidRPr="007F33CC">
              <w:rPr>
                <w:rFonts w:ascii="Times New Roman" w:hAnsi="Times New Roman"/>
                <w:bCs/>
                <w:sz w:val="24"/>
                <w:szCs w:val="24"/>
                <w:vertAlign w:val="subscript"/>
              </w:rPr>
              <w:t>int</w:t>
            </w:r>
            <w:proofErr w:type="spellEnd"/>
          </w:p>
        </w:tc>
        <w:tc>
          <w:tcPr>
            <w:tcW w:w="2160" w:type="dxa"/>
          </w:tcPr>
          <w:p w14:paraId="1E6E9D07" w14:textId="10D8B6D8" w:rsidR="0028656C" w:rsidRPr="001673E8"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1</w:t>
            </w:r>
            <w:r w:rsidR="00A85028">
              <w:rPr>
                <w:rFonts w:ascii="Times New Roman" w:hAnsi="Times New Roman"/>
                <w:sz w:val="24"/>
                <w:szCs w:val="24"/>
              </w:rPr>
              <w:t>0.5</w:t>
            </w:r>
            <w:r>
              <w:rPr>
                <w:rFonts w:ascii="Times New Roman" w:hAnsi="Times New Roman"/>
                <w:sz w:val="24"/>
                <w:szCs w:val="24"/>
              </w:rPr>
              <w:t>(</w:t>
            </w:r>
            <w:r w:rsidR="00A85028">
              <w:rPr>
                <w:rFonts w:ascii="Times New Roman" w:hAnsi="Times New Roman"/>
                <w:sz w:val="24"/>
                <w:szCs w:val="24"/>
              </w:rPr>
              <w:t>5</w:t>
            </w:r>
            <w:r>
              <w:rPr>
                <w:rFonts w:ascii="Times New Roman" w:hAnsi="Times New Roman"/>
                <w:sz w:val="24"/>
                <w:szCs w:val="24"/>
              </w:rPr>
              <w:t>.</w:t>
            </w:r>
            <w:r w:rsidR="00A85028">
              <w:rPr>
                <w:rFonts w:ascii="Times New Roman" w:hAnsi="Times New Roman"/>
                <w:sz w:val="24"/>
                <w:szCs w:val="24"/>
              </w:rPr>
              <w:t>9</w:t>
            </w:r>
            <w:r>
              <w:rPr>
                <w:rFonts w:ascii="Times New Roman" w:hAnsi="Times New Roman"/>
                <w:sz w:val="24"/>
                <w:szCs w:val="24"/>
              </w:rPr>
              <w:t>)</w:t>
            </w:r>
          </w:p>
        </w:tc>
        <w:tc>
          <w:tcPr>
            <w:tcW w:w="2340" w:type="dxa"/>
          </w:tcPr>
          <w:p w14:paraId="148ADA8E" w14:textId="457E0040" w:rsidR="0028656C" w:rsidRPr="00495604"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w:t>
            </w:r>
            <w:r w:rsidR="00A85028">
              <w:rPr>
                <w:rFonts w:ascii="Times New Roman" w:hAnsi="Times New Roman"/>
                <w:sz w:val="24"/>
                <w:szCs w:val="24"/>
              </w:rPr>
              <w:t>8</w:t>
            </w:r>
            <w:r>
              <w:rPr>
                <w:rFonts w:ascii="Times New Roman" w:hAnsi="Times New Roman"/>
                <w:sz w:val="24"/>
                <w:szCs w:val="24"/>
              </w:rPr>
              <w:t>.</w:t>
            </w:r>
            <w:r w:rsidR="00A85028">
              <w:rPr>
                <w:rFonts w:ascii="Times New Roman" w:hAnsi="Times New Roman"/>
                <w:sz w:val="24"/>
                <w:szCs w:val="24"/>
              </w:rPr>
              <w:t>60</w:t>
            </w:r>
            <w:r>
              <w:rPr>
                <w:rFonts w:ascii="Times New Roman" w:hAnsi="Times New Roman"/>
                <w:sz w:val="24"/>
                <w:szCs w:val="24"/>
              </w:rPr>
              <w:t>(6.</w:t>
            </w:r>
            <w:r w:rsidR="00A85028">
              <w:rPr>
                <w:rFonts w:ascii="Times New Roman" w:hAnsi="Times New Roman"/>
                <w:sz w:val="24"/>
                <w:szCs w:val="24"/>
              </w:rPr>
              <w:t>6</w:t>
            </w:r>
            <w:r>
              <w:rPr>
                <w:rFonts w:ascii="Times New Roman" w:hAnsi="Times New Roman"/>
                <w:sz w:val="24"/>
                <w:szCs w:val="24"/>
              </w:rPr>
              <w:t>)</w:t>
            </w:r>
          </w:p>
        </w:tc>
        <w:tc>
          <w:tcPr>
            <w:tcW w:w="1620" w:type="dxa"/>
          </w:tcPr>
          <w:p w14:paraId="2DEF383A" w14:textId="5037E355"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sidR="00E44FDD">
              <w:rPr>
                <w:rFonts w:ascii="Times New Roman" w:hAnsi="Times New Roman"/>
                <w:sz w:val="24"/>
                <w:szCs w:val="24"/>
              </w:rPr>
              <w:t>62</w:t>
            </w:r>
            <w:r>
              <w:rPr>
                <w:rFonts w:ascii="Times New Roman" w:hAnsi="Times New Roman"/>
                <w:sz w:val="24"/>
                <w:szCs w:val="24"/>
              </w:rPr>
              <w:t xml:space="preserve">) = </w:t>
            </w:r>
            <w:r w:rsidR="00E44FDD">
              <w:rPr>
                <w:rFonts w:ascii="Times New Roman" w:hAnsi="Times New Roman"/>
                <w:sz w:val="24"/>
                <w:szCs w:val="24"/>
              </w:rPr>
              <w:t>1.19</w:t>
            </w:r>
          </w:p>
        </w:tc>
        <w:tc>
          <w:tcPr>
            <w:tcW w:w="360" w:type="dxa"/>
          </w:tcPr>
          <w:p w14:paraId="4D4CDD37" w14:textId="658050B3" w:rsidR="0028656C" w:rsidRDefault="005369A1"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.30</w:t>
            </w:r>
          </w:p>
        </w:tc>
        <w:tc>
          <w:tcPr>
            <w:tcW w:w="1260" w:type="dxa"/>
          </w:tcPr>
          <w:p w14:paraId="18CF6026" w14:textId="51168DB1" w:rsidR="0028656C" w:rsidRDefault="003C6DC2"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[-5.01, 1.27]</w:t>
            </w:r>
          </w:p>
        </w:tc>
      </w:tr>
      <w:tr w:rsidR="000C7625" w14:paraId="3DE5C451" w14:textId="77777777" w:rsidTr="00D40C21">
        <w:trPr>
          <w:trHeight w:hRule="exact" w:val="279"/>
        </w:trPr>
        <w:tc>
          <w:tcPr>
            <w:tcW w:w="1620" w:type="dxa"/>
            <w:tcBorders>
              <w:bottom w:val="single" w:sz="4" w:space="0" w:color="auto"/>
            </w:tcBorders>
          </w:tcPr>
          <w:p w14:paraId="6156E2BD" w14:textId="77777777"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bCs/>
                <w:sz w:val="24"/>
                <w:szCs w:val="24"/>
              </w:rPr>
              <w:t>CBCL</w:t>
            </w:r>
            <w:r>
              <w:rPr>
                <w:rFonts w:ascii="Times New Roman" w:hAnsi="Times New Roman"/>
                <w:bCs/>
                <w:sz w:val="24"/>
                <w:szCs w:val="24"/>
                <w:vertAlign w:val="subscript"/>
              </w:rPr>
              <w:t>ext</w:t>
            </w:r>
            <w:proofErr w:type="spellEnd"/>
          </w:p>
        </w:tc>
        <w:tc>
          <w:tcPr>
            <w:tcW w:w="2160" w:type="dxa"/>
            <w:tcBorders>
              <w:bottom w:val="single" w:sz="4" w:space="0" w:color="auto"/>
            </w:tcBorders>
          </w:tcPr>
          <w:p w14:paraId="5D455DE0" w14:textId="64EB4380" w:rsidR="0028656C" w:rsidRPr="001673E8"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w:t>
            </w:r>
            <w:r w:rsidR="00A85028">
              <w:rPr>
                <w:rFonts w:ascii="Times New Roman" w:hAnsi="Times New Roman"/>
                <w:sz w:val="24"/>
                <w:szCs w:val="24"/>
              </w:rPr>
              <w:t>6</w:t>
            </w:r>
            <w:r>
              <w:rPr>
                <w:rFonts w:ascii="Times New Roman" w:hAnsi="Times New Roman"/>
                <w:sz w:val="24"/>
                <w:szCs w:val="24"/>
              </w:rPr>
              <w:t>.</w:t>
            </w:r>
            <w:r w:rsidR="00A85028">
              <w:rPr>
                <w:rFonts w:ascii="Times New Roman" w:hAnsi="Times New Roman"/>
                <w:sz w:val="24"/>
                <w:szCs w:val="24"/>
              </w:rPr>
              <w:t>71</w:t>
            </w:r>
            <w:r>
              <w:rPr>
                <w:rFonts w:ascii="Times New Roman" w:hAnsi="Times New Roman"/>
                <w:sz w:val="24"/>
                <w:szCs w:val="24"/>
              </w:rPr>
              <w:t>(</w:t>
            </w:r>
            <w:r w:rsidR="00A85028">
              <w:rPr>
                <w:rFonts w:ascii="Times New Roman" w:hAnsi="Times New Roman"/>
                <w:sz w:val="24"/>
                <w:szCs w:val="24"/>
              </w:rPr>
              <w:t>5</w:t>
            </w:r>
            <w:r>
              <w:rPr>
                <w:rFonts w:ascii="Times New Roman" w:hAnsi="Times New Roman"/>
                <w:sz w:val="24"/>
                <w:szCs w:val="24"/>
              </w:rPr>
              <w:t>.</w:t>
            </w:r>
            <w:r w:rsidR="00A85028">
              <w:rPr>
                <w:rFonts w:ascii="Times New Roman" w:hAnsi="Times New Roman"/>
                <w:sz w:val="24"/>
                <w:szCs w:val="24"/>
              </w:rPr>
              <w:t>9</w:t>
            </w:r>
            <w:r>
              <w:rPr>
                <w:rFonts w:ascii="Times New Roman" w:hAnsi="Times New Roman"/>
                <w:sz w:val="24"/>
                <w:szCs w:val="24"/>
              </w:rPr>
              <w:t>)</w:t>
            </w:r>
          </w:p>
        </w:tc>
        <w:tc>
          <w:tcPr>
            <w:tcW w:w="2340" w:type="dxa"/>
            <w:tcBorders>
              <w:bottom w:val="single" w:sz="4" w:space="0" w:color="auto"/>
            </w:tcBorders>
          </w:tcPr>
          <w:p w14:paraId="492F45D2" w14:textId="0DDC6494" w:rsidR="0028656C" w:rsidRPr="00495604"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r w:rsidRPr="001673E8">
              <w:rPr>
                <w:rFonts w:ascii="Times New Roman" w:hAnsi="Times New Roman"/>
                <w:i/>
                <w:iCs/>
                <w:sz w:val="24"/>
                <w:szCs w:val="24"/>
              </w:rPr>
              <w:t>M</w:t>
            </w:r>
            <w:r>
              <w:rPr>
                <w:rFonts w:ascii="Times New Roman" w:hAnsi="Times New Roman"/>
                <w:i/>
                <w:iCs/>
                <w:sz w:val="24"/>
                <w:szCs w:val="24"/>
              </w:rPr>
              <w:t>(SD)</w:t>
            </w:r>
            <w:r>
              <w:rPr>
                <w:rFonts w:ascii="Times New Roman" w:hAnsi="Times New Roman"/>
                <w:sz w:val="24"/>
                <w:szCs w:val="24"/>
              </w:rPr>
              <w:t xml:space="preserve"> = </w:t>
            </w:r>
            <w:r w:rsidR="00A85028">
              <w:rPr>
                <w:rFonts w:ascii="Times New Roman" w:hAnsi="Times New Roman"/>
                <w:sz w:val="24"/>
                <w:szCs w:val="24"/>
              </w:rPr>
              <w:t>5</w:t>
            </w:r>
            <w:r>
              <w:rPr>
                <w:rFonts w:ascii="Times New Roman" w:hAnsi="Times New Roman"/>
                <w:sz w:val="24"/>
                <w:szCs w:val="24"/>
              </w:rPr>
              <w:t>.</w:t>
            </w:r>
            <w:r w:rsidR="00A85028">
              <w:rPr>
                <w:rFonts w:ascii="Times New Roman" w:hAnsi="Times New Roman"/>
                <w:sz w:val="24"/>
                <w:szCs w:val="24"/>
              </w:rPr>
              <w:t>13</w:t>
            </w:r>
            <w:r>
              <w:rPr>
                <w:rFonts w:ascii="Times New Roman" w:hAnsi="Times New Roman"/>
                <w:sz w:val="24"/>
                <w:szCs w:val="24"/>
              </w:rPr>
              <w:t>(6.</w:t>
            </w:r>
            <w:r w:rsidR="00A85028">
              <w:rPr>
                <w:rFonts w:ascii="Times New Roman" w:hAnsi="Times New Roman"/>
                <w:sz w:val="24"/>
                <w:szCs w:val="24"/>
              </w:rPr>
              <w:t>2</w:t>
            </w:r>
            <w:r>
              <w:rPr>
                <w:rFonts w:ascii="Times New Roman" w:hAnsi="Times New Roman"/>
                <w:sz w:val="24"/>
                <w:szCs w:val="24"/>
              </w:rPr>
              <w:t>)</w:t>
            </w:r>
          </w:p>
        </w:tc>
        <w:tc>
          <w:tcPr>
            <w:tcW w:w="1620" w:type="dxa"/>
            <w:tcBorders>
              <w:bottom w:val="single" w:sz="4" w:space="0" w:color="auto"/>
            </w:tcBorders>
          </w:tcPr>
          <w:p w14:paraId="35967543" w14:textId="0213A65D" w:rsidR="0028656C" w:rsidRDefault="0028656C"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i/>
                <w:iCs/>
                <w:sz w:val="24"/>
                <w:szCs w:val="24"/>
              </w:rPr>
            </w:pPr>
            <w:proofErr w:type="gramStart"/>
            <w:r>
              <w:rPr>
                <w:rFonts w:ascii="Times New Roman" w:hAnsi="Times New Roman"/>
                <w:i/>
                <w:iCs/>
                <w:sz w:val="24"/>
                <w:szCs w:val="24"/>
              </w:rPr>
              <w:t>t</w:t>
            </w:r>
            <w:r>
              <w:rPr>
                <w:rFonts w:ascii="Times New Roman" w:hAnsi="Times New Roman"/>
                <w:sz w:val="24"/>
                <w:szCs w:val="24"/>
              </w:rPr>
              <w:t>(</w:t>
            </w:r>
            <w:proofErr w:type="gramEnd"/>
            <w:r w:rsidR="00E44FDD">
              <w:rPr>
                <w:rFonts w:ascii="Times New Roman" w:hAnsi="Times New Roman"/>
                <w:sz w:val="24"/>
                <w:szCs w:val="24"/>
              </w:rPr>
              <w:t>62</w:t>
            </w:r>
            <w:r>
              <w:rPr>
                <w:rFonts w:ascii="Times New Roman" w:hAnsi="Times New Roman"/>
                <w:sz w:val="24"/>
                <w:szCs w:val="24"/>
              </w:rPr>
              <w:t xml:space="preserve">) = </w:t>
            </w:r>
            <w:r w:rsidR="00E44FDD">
              <w:rPr>
                <w:rFonts w:ascii="Times New Roman" w:hAnsi="Times New Roman"/>
                <w:sz w:val="24"/>
                <w:szCs w:val="24"/>
              </w:rPr>
              <w:t>1.04</w:t>
            </w:r>
          </w:p>
        </w:tc>
        <w:tc>
          <w:tcPr>
            <w:tcW w:w="360" w:type="dxa"/>
            <w:tcBorders>
              <w:bottom w:val="single" w:sz="4" w:space="0" w:color="auto"/>
            </w:tcBorders>
          </w:tcPr>
          <w:p w14:paraId="681D5B5C" w14:textId="3B8917CB" w:rsidR="0028656C" w:rsidRDefault="005369A1"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.26</w:t>
            </w:r>
          </w:p>
        </w:tc>
        <w:tc>
          <w:tcPr>
            <w:tcW w:w="1260" w:type="dxa"/>
            <w:tcBorders>
              <w:bottom w:val="single" w:sz="4" w:space="0" w:color="auto"/>
            </w:tcBorders>
          </w:tcPr>
          <w:p w14:paraId="4946D853" w14:textId="4317ECDD" w:rsidR="0028656C" w:rsidRDefault="003C6DC2" w:rsidP="000E6CE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Times New Roman" w:hAnsi="Times New Roman"/>
                <w:sz w:val="24"/>
                <w:szCs w:val="24"/>
              </w:rPr>
            </w:pPr>
            <w:r>
              <w:rPr>
                <w:rFonts w:ascii="Times New Roman" w:hAnsi="Times New Roman"/>
                <w:sz w:val="24"/>
                <w:szCs w:val="24"/>
              </w:rPr>
              <w:t>[-4.60, 1.44]</w:t>
            </w:r>
          </w:p>
        </w:tc>
      </w:tr>
    </w:tbl>
    <w:p w14:paraId="5EAF59ED" w14:textId="3CBD857A" w:rsidR="00D40C21" w:rsidRDefault="00D40C21" w:rsidP="00D40C21">
      <w:r w:rsidRPr="00134E98">
        <w:rPr>
          <w:i/>
          <w:iCs/>
        </w:rPr>
        <w:t>Note</w:t>
      </w:r>
      <w:r w:rsidRPr="00134E98">
        <w:t>.</w:t>
      </w:r>
      <w:r>
        <w:t xml:space="preserve"> In the GM subsample, birth-assigned boys had significantly higher youth-reported internalizing problems at pretreatment compared to birth-assigned girls. YSR/CBCL internalizing/externalizing problems (</w:t>
      </w:r>
      <w:r w:rsidRPr="00AE3D17">
        <w:rPr>
          <w:highlight w:val="white"/>
        </w:rPr>
        <w:t>Achenbach</w:t>
      </w:r>
      <w:r>
        <w:rPr>
          <w:highlight w:val="white"/>
        </w:rPr>
        <w:t xml:space="preserve"> </w:t>
      </w:r>
      <w:r w:rsidRPr="00AE3D17">
        <w:rPr>
          <w:highlight w:val="white"/>
        </w:rPr>
        <w:t xml:space="preserve">&amp; Rescorla, </w:t>
      </w:r>
      <w:r>
        <w:t xml:space="preserve">2001) represent (a) pretreatment symptom severity and (b) improvement in youth- and caregiver-reported problems over treatment, respectively. Effect sizes are reported as Cohen’s </w:t>
      </w:r>
      <w:r w:rsidRPr="005B2CBE">
        <w:rPr>
          <w:i/>
          <w:iCs/>
        </w:rPr>
        <w:t>d</w:t>
      </w:r>
      <w:r>
        <w:t>.</w:t>
      </w:r>
    </w:p>
    <w:p w14:paraId="0819C30D" w14:textId="77777777" w:rsidR="00D40C21" w:rsidRPr="00134E98" w:rsidRDefault="00D40C21" w:rsidP="00D40C21">
      <w:r>
        <w:t>**</w:t>
      </w:r>
      <w:r w:rsidRPr="00134E98">
        <w:rPr>
          <w:i/>
          <w:iCs/>
        </w:rPr>
        <w:t>p</w:t>
      </w:r>
      <w:r>
        <w:t xml:space="preserve"> &lt; .01.</w:t>
      </w:r>
    </w:p>
    <w:p w14:paraId="4345C28F" w14:textId="7872051A" w:rsidR="0028656C" w:rsidRDefault="0028656C" w:rsidP="009E408D">
      <w:pPr>
        <w:rPr>
          <w:b/>
          <w:bCs/>
        </w:rPr>
      </w:pPr>
    </w:p>
    <w:p w14:paraId="45F915AA" w14:textId="77777777" w:rsidR="00D40C21" w:rsidRPr="002B385F" w:rsidRDefault="00D40C21" w:rsidP="00D40C21">
      <w:pPr>
        <w:jc w:val="center"/>
        <w:rPr>
          <w:b/>
          <w:bCs/>
        </w:rPr>
      </w:pPr>
      <w:r w:rsidRPr="002B385F">
        <w:rPr>
          <w:b/>
          <w:bCs/>
        </w:rPr>
        <w:t>References</w:t>
      </w:r>
    </w:p>
    <w:p w14:paraId="7FC0EF33" w14:textId="77777777" w:rsidR="00D40C21" w:rsidRDefault="00D40C21" w:rsidP="00D40C21">
      <w:pPr>
        <w:rPr>
          <w:highlight w:val="white"/>
        </w:rPr>
      </w:pPr>
      <w:r>
        <w:rPr>
          <w:highlight w:val="white"/>
        </w:rPr>
        <w:t xml:space="preserve">Achenbach, T., &amp; Rescorla, L. (2001). </w:t>
      </w:r>
      <w:r>
        <w:rPr>
          <w:i/>
          <w:highlight w:val="white"/>
        </w:rPr>
        <w:t>The manual for the ASEBA school-age forms &amp; profiles</w:t>
      </w:r>
      <w:r>
        <w:rPr>
          <w:highlight w:val="white"/>
        </w:rPr>
        <w:t xml:space="preserve">. </w:t>
      </w:r>
    </w:p>
    <w:p w14:paraId="27A56C91" w14:textId="77777777" w:rsidR="00D40C21" w:rsidRPr="002B385F" w:rsidRDefault="00D40C21" w:rsidP="00D40C21">
      <w:pPr>
        <w:ind w:left="720"/>
        <w:rPr>
          <w:highlight w:val="white"/>
        </w:rPr>
      </w:pPr>
      <w:r>
        <w:rPr>
          <w:highlight w:val="white"/>
        </w:rPr>
        <w:t>Burlington, VT: University of Vermont, Research Center for Children, Youth, &amp; Families.</w:t>
      </w:r>
    </w:p>
    <w:p w14:paraId="1C5EFD1C" w14:textId="77777777" w:rsidR="0028656C" w:rsidRDefault="0028656C" w:rsidP="009E408D">
      <w:pPr>
        <w:rPr>
          <w:b/>
          <w:bCs/>
        </w:rPr>
      </w:pPr>
    </w:p>
    <w:p w14:paraId="56667372" w14:textId="77777777" w:rsidR="002B385F" w:rsidRDefault="002B385F" w:rsidP="009E408D">
      <w:pPr>
        <w:rPr>
          <w:b/>
          <w:bCs/>
        </w:rPr>
      </w:pPr>
    </w:p>
    <w:p w14:paraId="2D490778" w14:textId="77777777" w:rsidR="002B385F" w:rsidRDefault="002B385F" w:rsidP="009E408D">
      <w:pPr>
        <w:rPr>
          <w:b/>
          <w:bCs/>
        </w:rPr>
      </w:pPr>
    </w:p>
    <w:p w14:paraId="3593ABFF" w14:textId="77777777" w:rsidR="002B385F" w:rsidRDefault="002B385F" w:rsidP="009E408D">
      <w:pPr>
        <w:rPr>
          <w:b/>
          <w:bCs/>
        </w:rPr>
      </w:pPr>
    </w:p>
    <w:p w14:paraId="395F2DF9" w14:textId="77777777" w:rsidR="002B385F" w:rsidRDefault="002B385F" w:rsidP="009E408D">
      <w:pPr>
        <w:rPr>
          <w:b/>
          <w:bCs/>
        </w:rPr>
      </w:pPr>
    </w:p>
    <w:p w14:paraId="4DF47526" w14:textId="77777777" w:rsidR="002B385F" w:rsidRDefault="002B385F" w:rsidP="009E408D">
      <w:pPr>
        <w:rPr>
          <w:b/>
          <w:bCs/>
        </w:rPr>
      </w:pPr>
    </w:p>
    <w:p w14:paraId="2B732C03" w14:textId="77777777" w:rsidR="002B385F" w:rsidRDefault="002B385F" w:rsidP="009E408D">
      <w:pPr>
        <w:rPr>
          <w:b/>
          <w:bCs/>
        </w:rPr>
      </w:pPr>
    </w:p>
    <w:p w14:paraId="5F25BBED" w14:textId="77777777" w:rsidR="002B385F" w:rsidRDefault="002B385F" w:rsidP="009E408D">
      <w:pPr>
        <w:rPr>
          <w:b/>
          <w:bCs/>
        </w:rPr>
      </w:pPr>
    </w:p>
    <w:p w14:paraId="429AB2AE" w14:textId="77777777" w:rsidR="002B385F" w:rsidRDefault="002B385F" w:rsidP="009E408D">
      <w:pPr>
        <w:rPr>
          <w:b/>
          <w:bCs/>
        </w:rPr>
      </w:pPr>
    </w:p>
    <w:p w14:paraId="1006CAF7" w14:textId="77777777" w:rsidR="002B385F" w:rsidRDefault="002B385F" w:rsidP="009E408D">
      <w:pPr>
        <w:rPr>
          <w:b/>
          <w:bCs/>
        </w:rPr>
      </w:pPr>
    </w:p>
    <w:p w14:paraId="2BDBD6E5" w14:textId="77777777" w:rsidR="002B385F" w:rsidRDefault="002B385F" w:rsidP="009E408D">
      <w:pPr>
        <w:rPr>
          <w:b/>
          <w:bCs/>
        </w:rPr>
      </w:pPr>
    </w:p>
    <w:p w14:paraId="5D2F62FF" w14:textId="77777777" w:rsidR="002B385F" w:rsidRDefault="002B385F" w:rsidP="009E408D">
      <w:pPr>
        <w:rPr>
          <w:b/>
          <w:bCs/>
        </w:rPr>
      </w:pPr>
    </w:p>
    <w:p w14:paraId="5887EEBA" w14:textId="77777777" w:rsidR="002B385F" w:rsidRDefault="002B385F" w:rsidP="009E408D">
      <w:pPr>
        <w:rPr>
          <w:b/>
          <w:bCs/>
        </w:rPr>
      </w:pPr>
    </w:p>
    <w:p w14:paraId="760C86F3" w14:textId="77777777" w:rsidR="002B385F" w:rsidRDefault="002B385F" w:rsidP="009E408D">
      <w:pPr>
        <w:rPr>
          <w:b/>
          <w:bCs/>
        </w:rPr>
      </w:pPr>
    </w:p>
    <w:p w14:paraId="37BD9905" w14:textId="77777777" w:rsidR="002B385F" w:rsidRDefault="002B385F" w:rsidP="009E408D">
      <w:pPr>
        <w:rPr>
          <w:b/>
          <w:bCs/>
        </w:rPr>
      </w:pPr>
    </w:p>
    <w:p w14:paraId="5A0044CB" w14:textId="77777777" w:rsidR="002B385F" w:rsidRDefault="002B385F" w:rsidP="009E408D">
      <w:pPr>
        <w:rPr>
          <w:b/>
          <w:bCs/>
        </w:rPr>
      </w:pPr>
    </w:p>
    <w:p w14:paraId="02FACDB2" w14:textId="77777777" w:rsidR="002B385F" w:rsidRDefault="002B385F" w:rsidP="009E408D">
      <w:pPr>
        <w:rPr>
          <w:b/>
          <w:bCs/>
        </w:rPr>
      </w:pPr>
    </w:p>
    <w:p w14:paraId="453CFC3C" w14:textId="77777777" w:rsidR="002B385F" w:rsidRDefault="002B385F" w:rsidP="009E408D">
      <w:pPr>
        <w:rPr>
          <w:b/>
          <w:bCs/>
        </w:rPr>
      </w:pPr>
    </w:p>
    <w:p w14:paraId="152EA9EF" w14:textId="77777777" w:rsidR="002B385F" w:rsidRDefault="002B385F" w:rsidP="009E408D">
      <w:pPr>
        <w:rPr>
          <w:b/>
          <w:bCs/>
        </w:rPr>
      </w:pPr>
    </w:p>
    <w:p w14:paraId="5E63F65A" w14:textId="77777777" w:rsidR="002B385F" w:rsidRDefault="002B385F" w:rsidP="009E408D">
      <w:pPr>
        <w:rPr>
          <w:b/>
          <w:bCs/>
        </w:rPr>
      </w:pPr>
    </w:p>
    <w:p w14:paraId="4A08DD90" w14:textId="77777777" w:rsidR="002D21C0" w:rsidRDefault="002D21C0" w:rsidP="009E408D">
      <w:pPr>
        <w:rPr>
          <w:b/>
          <w:bCs/>
        </w:rPr>
      </w:pPr>
      <w:bookmarkStart w:id="1" w:name="_GoBack"/>
      <w:bookmarkEnd w:id="1"/>
    </w:p>
    <w:p w14:paraId="7CC41FB0" w14:textId="7C0E420D" w:rsidR="00697C49" w:rsidRDefault="00764036" w:rsidP="009E408D">
      <w:pPr>
        <w:rPr>
          <w:b/>
          <w:bCs/>
        </w:rPr>
      </w:pPr>
      <w:r>
        <w:rPr>
          <w:b/>
          <w:bCs/>
        </w:rPr>
        <w:lastRenderedPageBreak/>
        <w:t>Supplemental Part III</w:t>
      </w:r>
      <w:r w:rsidR="0056129A">
        <w:rPr>
          <w:b/>
          <w:bCs/>
        </w:rPr>
        <w:t xml:space="preserve">. </w:t>
      </w:r>
      <w:r w:rsidR="00AE6628">
        <w:rPr>
          <w:b/>
          <w:bCs/>
        </w:rPr>
        <w:t>Examining Higher-Level Models</w:t>
      </w:r>
      <w:r w:rsidR="009F32FF">
        <w:rPr>
          <w:b/>
          <w:bCs/>
        </w:rPr>
        <w:t xml:space="preserve"> of Symptom Improvement</w:t>
      </w:r>
    </w:p>
    <w:p w14:paraId="49545CBE" w14:textId="219D9E13" w:rsidR="00AE6628" w:rsidRDefault="00AE6628" w:rsidP="0056129A">
      <w:pPr>
        <w:ind w:firstLine="720"/>
      </w:pPr>
      <w:r>
        <w:t xml:space="preserve">We examined whether higher-level models (e.g., 3-level models) </w:t>
      </w:r>
      <w:r w:rsidR="009F32FF">
        <w:t xml:space="preserve">of symptom improvement </w:t>
      </w:r>
      <w:r>
        <w:t>were necessary and found that the variance accounted for in outcomes by RCT, EST-condition, and study site was near zero (average intraclass correlation [ICC]</w:t>
      </w:r>
      <w:r w:rsidRPr="009A3564">
        <w:rPr>
          <w:vertAlign w:val="subscript"/>
        </w:rPr>
        <w:t xml:space="preserve">RCT </w:t>
      </w:r>
      <w:r>
        <w:t>= .039, ICC</w:t>
      </w:r>
      <w:r w:rsidRPr="009A3564">
        <w:rPr>
          <w:vertAlign w:val="subscript"/>
        </w:rPr>
        <w:t>EST</w:t>
      </w:r>
      <w:r>
        <w:rPr>
          <w:vertAlign w:val="subscript"/>
        </w:rPr>
        <w:t xml:space="preserve">-condition </w:t>
      </w:r>
      <w:r w:rsidRPr="009A3564">
        <w:t>= .043</w:t>
      </w:r>
      <w:r>
        <w:t xml:space="preserve">, </w:t>
      </w:r>
      <w:proofErr w:type="spellStart"/>
      <w:r>
        <w:t>ICC</w:t>
      </w:r>
      <w:r>
        <w:rPr>
          <w:vertAlign w:val="subscript"/>
        </w:rPr>
        <w:t>site</w:t>
      </w:r>
      <w:proofErr w:type="spellEnd"/>
      <w:r w:rsidRPr="001B1687">
        <w:rPr>
          <w:vertAlign w:val="subscript"/>
        </w:rPr>
        <w:t xml:space="preserve"> </w:t>
      </w:r>
      <w:r>
        <w:t xml:space="preserve">= .035). Using the recommended cut-off (ICC &gt; .1; </w:t>
      </w:r>
      <w:proofErr w:type="spellStart"/>
      <w:r w:rsidRPr="00AE4D33">
        <w:t>Vajargah</w:t>
      </w:r>
      <w:proofErr w:type="spellEnd"/>
      <w:r>
        <w:t xml:space="preserve"> </w:t>
      </w:r>
      <w:r w:rsidRPr="00AE4D33">
        <w:t xml:space="preserve">&amp; </w:t>
      </w:r>
      <w:proofErr w:type="spellStart"/>
      <w:r w:rsidRPr="00AE4D33">
        <w:t>Nikbakht</w:t>
      </w:r>
      <w:proofErr w:type="spellEnd"/>
      <w:r w:rsidRPr="00AE4D33">
        <w:t>,</w:t>
      </w:r>
      <w:r>
        <w:t xml:space="preserve"> 2015), we determined that the more parsimonious 2-level model was well-supported.</w:t>
      </w:r>
    </w:p>
    <w:p w14:paraId="4476BC51" w14:textId="77777777" w:rsidR="00AE6628" w:rsidRDefault="00AE6628" w:rsidP="009E408D"/>
    <w:p w14:paraId="1A233A5B" w14:textId="77777777" w:rsidR="00AE6628" w:rsidRPr="00AE6628" w:rsidRDefault="00AE6628" w:rsidP="0056129A">
      <w:pPr>
        <w:ind w:left="720" w:hanging="720"/>
        <w:jc w:val="center"/>
        <w:rPr>
          <w:b/>
          <w:bCs/>
        </w:rPr>
      </w:pPr>
      <w:r w:rsidRPr="00AE6628">
        <w:rPr>
          <w:b/>
          <w:bCs/>
        </w:rPr>
        <w:t>References</w:t>
      </w:r>
    </w:p>
    <w:p w14:paraId="5482811C" w14:textId="77777777" w:rsidR="0056129A" w:rsidRDefault="00AE6628" w:rsidP="0056129A">
      <w:proofErr w:type="spellStart"/>
      <w:r w:rsidRPr="00AE4D33">
        <w:t>Vajargah</w:t>
      </w:r>
      <w:proofErr w:type="spellEnd"/>
      <w:r w:rsidRPr="00AE4D33">
        <w:t>, K. F.</w:t>
      </w:r>
      <w:r>
        <w:t>,</w:t>
      </w:r>
      <w:r w:rsidRPr="00AE4D33">
        <w:t xml:space="preserve"> &amp; </w:t>
      </w:r>
      <w:proofErr w:type="spellStart"/>
      <w:r w:rsidRPr="00AE4D33">
        <w:t>Nikbakht</w:t>
      </w:r>
      <w:proofErr w:type="spellEnd"/>
      <w:r w:rsidRPr="00AE4D33">
        <w:t xml:space="preserve">, M. (2015). Application REML model and determining cut </w:t>
      </w:r>
      <w:proofErr w:type="gramStart"/>
      <w:r w:rsidRPr="00AE4D33">
        <w:t>off of</w:t>
      </w:r>
      <w:proofErr w:type="gramEnd"/>
      <w:r w:rsidRPr="00AE4D33">
        <w:t xml:space="preserve"> </w:t>
      </w:r>
    </w:p>
    <w:p w14:paraId="2D9FF706" w14:textId="77777777" w:rsidR="00AE6628" w:rsidRDefault="00AE6628" w:rsidP="0056129A">
      <w:pPr>
        <w:ind w:left="720"/>
      </w:pPr>
      <w:r w:rsidRPr="00AE4D33">
        <w:t xml:space="preserve">ICC by multi-level model based on Markov chains simulation in health. </w:t>
      </w:r>
      <w:r w:rsidRPr="003F66AF">
        <w:rPr>
          <w:i/>
        </w:rPr>
        <w:t xml:space="preserve">Indian </w:t>
      </w:r>
      <w:r>
        <w:rPr>
          <w:i/>
        </w:rPr>
        <w:t>J</w:t>
      </w:r>
      <w:r w:rsidRPr="003F66AF">
        <w:rPr>
          <w:i/>
        </w:rPr>
        <w:t>ournal of Fundamental and Applied Life Sciences, 5</w:t>
      </w:r>
      <w:r w:rsidRPr="003F66AF">
        <w:t>(</w:t>
      </w:r>
      <w:r w:rsidRPr="00AE4D33">
        <w:t>17)</w:t>
      </w:r>
      <w:r>
        <w:t>,</w:t>
      </w:r>
      <w:r w:rsidRPr="00AE4D33">
        <w:t xml:space="preserve"> 1432</w:t>
      </w:r>
      <w:r>
        <w:t>–</w:t>
      </w:r>
      <w:r w:rsidRPr="00AE4D33">
        <w:t>1448.</w:t>
      </w:r>
    </w:p>
    <w:p w14:paraId="6CD47193" w14:textId="77777777" w:rsidR="00AE6628" w:rsidRPr="003F3ED8" w:rsidRDefault="00AE6628" w:rsidP="009E408D">
      <w:pPr>
        <w:rPr>
          <w:b/>
          <w:bCs/>
        </w:rPr>
      </w:pPr>
    </w:p>
    <w:sectPr w:rsidR="00AE6628" w:rsidRPr="003F3ED8">
      <w:headerReference w:type="default" r:id="rId2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5990" w16cex:dateUtc="2020-08-18T17:43:00Z"/>
  <w16cex:commentExtensible w16cex:durableId="22E659CE" w16cex:dateUtc="2020-08-18T1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7C7E8" w14:textId="77777777" w:rsidR="00362331" w:rsidRDefault="00362331" w:rsidP="001449A7">
      <w:r>
        <w:separator/>
      </w:r>
    </w:p>
  </w:endnote>
  <w:endnote w:type="continuationSeparator" w:id="0">
    <w:p w14:paraId="225AE700" w14:textId="77777777" w:rsidR="00362331" w:rsidRDefault="00362331" w:rsidP="0014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802AD" w14:textId="77777777" w:rsidR="00362331" w:rsidRDefault="00362331" w:rsidP="001449A7">
      <w:r>
        <w:separator/>
      </w:r>
    </w:p>
  </w:footnote>
  <w:footnote w:type="continuationSeparator" w:id="0">
    <w:p w14:paraId="5679EA91" w14:textId="77777777" w:rsidR="00362331" w:rsidRDefault="00362331" w:rsidP="0014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445847"/>
      <w:docPartObj>
        <w:docPartGallery w:val="Page Numbers (Top of Page)"/>
        <w:docPartUnique/>
      </w:docPartObj>
    </w:sdtPr>
    <w:sdtEndPr>
      <w:rPr>
        <w:noProof/>
      </w:rPr>
    </w:sdtEndPr>
    <w:sdtContent>
      <w:p w14:paraId="3BFEA6D2" w14:textId="74E925E3" w:rsidR="00BA7F8D" w:rsidRDefault="00BA7F8D" w:rsidP="001449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47F212" w14:textId="77777777" w:rsidR="00BA7F8D" w:rsidRDefault="00BA7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57FA"/>
    <w:multiLevelType w:val="hybridMultilevel"/>
    <w:tmpl w:val="4C58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59"/>
    <w:rsid w:val="00010034"/>
    <w:rsid w:val="0008071E"/>
    <w:rsid w:val="00083F6E"/>
    <w:rsid w:val="000C7625"/>
    <w:rsid w:val="000E6CEC"/>
    <w:rsid w:val="000F1BEA"/>
    <w:rsid w:val="00105434"/>
    <w:rsid w:val="00107344"/>
    <w:rsid w:val="00127CC0"/>
    <w:rsid w:val="001449A7"/>
    <w:rsid w:val="00151D8E"/>
    <w:rsid w:val="0019020B"/>
    <w:rsid w:val="00196453"/>
    <w:rsid w:val="001A6031"/>
    <w:rsid w:val="001C2642"/>
    <w:rsid w:val="00247C59"/>
    <w:rsid w:val="0028656C"/>
    <w:rsid w:val="002A5326"/>
    <w:rsid w:val="002B385F"/>
    <w:rsid w:val="002D21C0"/>
    <w:rsid w:val="002D22ED"/>
    <w:rsid w:val="002D5915"/>
    <w:rsid w:val="003111C2"/>
    <w:rsid w:val="00311AB3"/>
    <w:rsid w:val="00362331"/>
    <w:rsid w:val="00365E92"/>
    <w:rsid w:val="003C6DC2"/>
    <w:rsid w:val="003E1361"/>
    <w:rsid w:val="003F3ED8"/>
    <w:rsid w:val="004037C2"/>
    <w:rsid w:val="00436CA0"/>
    <w:rsid w:val="00444888"/>
    <w:rsid w:val="00446D99"/>
    <w:rsid w:val="00454136"/>
    <w:rsid w:val="0045563A"/>
    <w:rsid w:val="004631C1"/>
    <w:rsid w:val="00484429"/>
    <w:rsid w:val="004F04EE"/>
    <w:rsid w:val="005113C3"/>
    <w:rsid w:val="00512833"/>
    <w:rsid w:val="00515A99"/>
    <w:rsid w:val="005369A1"/>
    <w:rsid w:val="0056129A"/>
    <w:rsid w:val="005709AE"/>
    <w:rsid w:val="005769AD"/>
    <w:rsid w:val="005E62D3"/>
    <w:rsid w:val="005F6C7A"/>
    <w:rsid w:val="00602BB3"/>
    <w:rsid w:val="006118F3"/>
    <w:rsid w:val="006352C1"/>
    <w:rsid w:val="00664BFA"/>
    <w:rsid w:val="00667002"/>
    <w:rsid w:val="00697C49"/>
    <w:rsid w:val="006B7D0D"/>
    <w:rsid w:val="006F4BF7"/>
    <w:rsid w:val="00703E3F"/>
    <w:rsid w:val="007052F8"/>
    <w:rsid w:val="007117A6"/>
    <w:rsid w:val="007305C1"/>
    <w:rsid w:val="00755098"/>
    <w:rsid w:val="00764036"/>
    <w:rsid w:val="00765249"/>
    <w:rsid w:val="007737E6"/>
    <w:rsid w:val="007F1387"/>
    <w:rsid w:val="0081389C"/>
    <w:rsid w:val="00854722"/>
    <w:rsid w:val="00857DA8"/>
    <w:rsid w:val="008C7462"/>
    <w:rsid w:val="0093250E"/>
    <w:rsid w:val="00943435"/>
    <w:rsid w:val="009E408D"/>
    <w:rsid w:val="009E4963"/>
    <w:rsid w:val="009F32FF"/>
    <w:rsid w:val="00A24917"/>
    <w:rsid w:val="00A31B25"/>
    <w:rsid w:val="00A35656"/>
    <w:rsid w:val="00A71D14"/>
    <w:rsid w:val="00A85028"/>
    <w:rsid w:val="00A91A5E"/>
    <w:rsid w:val="00A94350"/>
    <w:rsid w:val="00AA2243"/>
    <w:rsid w:val="00AE35D2"/>
    <w:rsid w:val="00AE3D17"/>
    <w:rsid w:val="00AE6628"/>
    <w:rsid w:val="00AE744F"/>
    <w:rsid w:val="00B67537"/>
    <w:rsid w:val="00B93335"/>
    <w:rsid w:val="00BA7F8D"/>
    <w:rsid w:val="00BD3D91"/>
    <w:rsid w:val="00BD7F1B"/>
    <w:rsid w:val="00C275D8"/>
    <w:rsid w:val="00C67650"/>
    <w:rsid w:val="00C7166E"/>
    <w:rsid w:val="00CA22FC"/>
    <w:rsid w:val="00CA4867"/>
    <w:rsid w:val="00CA7B2E"/>
    <w:rsid w:val="00CB3D9B"/>
    <w:rsid w:val="00CE52DA"/>
    <w:rsid w:val="00CF7070"/>
    <w:rsid w:val="00D3384C"/>
    <w:rsid w:val="00D40C21"/>
    <w:rsid w:val="00D475A4"/>
    <w:rsid w:val="00DA523B"/>
    <w:rsid w:val="00DE63FD"/>
    <w:rsid w:val="00E44FDD"/>
    <w:rsid w:val="00E51B37"/>
    <w:rsid w:val="00EB6E7B"/>
    <w:rsid w:val="00EC3BDD"/>
    <w:rsid w:val="00EE1DD1"/>
    <w:rsid w:val="00EE3727"/>
    <w:rsid w:val="00F272AF"/>
    <w:rsid w:val="00F40B58"/>
    <w:rsid w:val="00F93897"/>
    <w:rsid w:val="00F93ADB"/>
    <w:rsid w:val="00F95866"/>
    <w:rsid w:val="00FB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D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59"/>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59"/>
    <w:rPr>
      <w:rFonts w:ascii="Segoe UI" w:hAnsi="Segoe UI" w:cs="Segoe UI"/>
      <w:sz w:val="18"/>
      <w:szCs w:val="18"/>
    </w:rPr>
  </w:style>
  <w:style w:type="paragraph" w:customStyle="1" w:styleId="Body">
    <w:name w:val="Body"/>
    <w:rsid w:val="00247C5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39"/>
    <w:rsid w:val="00247C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C59"/>
    <w:rPr>
      <w:color w:val="0000FF" w:themeColor="hyperlink"/>
      <w:u w:val="single"/>
    </w:rPr>
  </w:style>
  <w:style w:type="paragraph" w:styleId="CommentText">
    <w:name w:val="annotation text"/>
    <w:basedOn w:val="Normal"/>
    <w:link w:val="CommentTextChar"/>
    <w:uiPriority w:val="99"/>
    <w:unhideWhenUsed/>
    <w:rsid w:val="003111C2"/>
    <w:rPr>
      <w:sz w:val="20"/>
      <w:szCs w:val="20"/>
    </w:rPr>
  </w:style>
  <w:style w:type="character" w:customStyle="1" w:styleId="CommentTextChar">
    <w:name w:val="Comment Text Char"/>
    <w:basedOn w:val="DefaultParagraphFont"/>
    <w:link w:val="CommentText"/>
    <w:uiPriority w:val="99"/>
    <w:rsid w:val="003111C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111C2"/>
    <w:rPr>
      <w:sz w:val="16"/>
      <w:szCs w:val="16"/>
    </w:rPr>
  </w:style>
  <w:style w:type="paragraph" w:styleId="CommentSubject">
    <w:name w:val="annotation subject"/>
    <w:basedOn w:val="CommentText"/>
    <w:next w:val="CommentText"/>
    <w:link w:val="CommentSubjectChar"/>
    <w:uiPriority w:val="99"/>
    <w:semiHidden/>
    <w:unhideWhenUsed/>
    <w:rsid w:val="004F04EE"/>
    <w:rPr>
      <w:b/>
      <w:bCs/>
    </w:rPr>
  </w:style>
  <w:style w:type="character" w:customStyle="1" w:styleId="CommentSubjectChar">
    <w:name w:val="Comment Subject Char"/>
    <w:basedOn w:val="CommentTextChar"/>
    <w:link w:val="CommentSubject"/>
    <w:uiPriority w:val="99"/>
    <w:semiHidden/>
    <w:rsid w:val="004F04E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449A7"/>
    <w:pPr>
      <w:tabs>
        <w:tab w:val="center" w:pos="4680"/>
        <w:tab w:val="right" w:pos="9360"/>
      </w:tabs>
    </w:pPr>
  </w:style>
  <w:style w:type="character" w:customStyle="1" w:styleId="HeaderChar">
    <w:name w:val="Header Char"/>
    <w:basedOn w:val="DefaultParagraphFont"/>
    <w:link w:val="Header"/>
    <w:uiPriority w:val="99"/>
    <w:rsid w:val="001449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49A7"/>
    <w:pPr>
      <w:tabs>
        <w:tab w:val="center" w:pos="4680"/>
        <w:tab w:val="right" w:pos="9360"/>
      </w:tabs>
    </w:pPr>
  </w:style>
  <w:style w:type="character" w:customStyle="1" w:styleId="FooterChar">
    <w:name w:val="Footer Char"/>
    <w:basedOn w:val="DefaultParagraphFont"/>
    <w:link w:val="Footer"/>
    <w:uiPriority w:val="99"/>
    <w:rsid w:val="00144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374416.2019.1655757" TargetMode="External"/><Relationship Id="rId13" Type="http://schemas.openxmlformats.org/officeDocument/2006/relationships/hyperlink" Target="https://doi.org/10.1177/0956797619830649" TargetMode="External"/><Relationship Id="rId18" Type="http://schemas.openxmlformats.org/officeDocument/2006/relationships/hyperlink" Target="https://doi.org/10.1007/s10508-018-1218-3" TargetMode="External"/><Relationship Id="rId26" Type="http://schemas.openxmlformats.org/officeDocument/2006/relationships/hyperlink" Target="https://dx.doi.org/10.1016%2Fj.evalprogplan.2006.10.003" TargetMode="External"/><Relationship Id="rId3" Type="http://schemas.openxmlformats.org/officeDocument/2006/relationships/settings" Target="settings.xml"/><Relationship Id="rId21" Type="http://schemas.openxmlformats.org/officeDocument/2006/relationships/hyperlink" Target="https://doi.org/10.1017/S0954579400004946" TargetMode="External"/><Relationship Id="rId7" Type="http://schemas.openxmlformats.org/officeDocument/2006/relationships/hyperlink" Target="https://doi.org/10.1037/a0034200" TargetMode="External"/><Relationship Id="rId12" Type="http://schemas.openxmlformats.org/officeDocument/2006/relationships/hyperlink" Target="https://doi.org/10.1080/13811118.2019.1678539" TargetMode="External"/><Relationship Id="rId17" Type="http://schemas.openxmlformats.org/officeDocument/2006/relationships/hyperlink" Target="https://dx.doi.org/10.1542%2Fpeds.2017-4218" TargetMode="External"/><Relationship Id="rId25" Type="http://schemas.openxmlformats.org/officeDocument/2006/relationships/hyperlink" Target="https://doi.org/10.1023/a:1010137725958" TargetMode="External"/><Relationship Id="rId2" Type="http://schemas.openxmlformats.org/officeDocument/2006/relationships/styles" Target="styles.xml"/><Relationship Id="rId16" Type="http://schemas.openxmlformats.org/officeDocument/2006/relationships/hyperlink" Target="https://doi.org/10.1111/j.1743-6109.2012.02701.x" TargetMode="External"/><Relationship Id="rId20" Type="http://schemas.openxmlformats.org/officeDocument/2006/relationships/hyperlink" Target="https://doi.org/10.1207/s15374424jccp3401_1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00787-017-1098-4" TargetMode="External"/><Relationship Id="rId24" Type="http://schemas.openxmlformats.org/officeDocument/2006/relationships/hyperlink" Target="https://doi.org/10.1037/ccp0000133" TargetMode="Externa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oi.org/10.1177/1359104510378303" TargetMode="External"/><Relationship Id="rId23" Type="http://schemas.openxmlformats.org/officeDocument/2006/relationships/hyperlink" Target="https://dx.doi.org/10.1037%2F1541-1559.5.2.126" TargetMode="External"/><Relationship Id="rId28" Type="http://schemas.openxmlformats.org/officeDocument/2006/relationships/hyperlink" Target="https://dx.doi.org/10.1017%2FS0033291706007082" TargetMode="External"/><Relationship Id="rId10" Type="http://schemas.openxmlformats.org/officeDocument/2006/relationships/hyperlink" Target="https://doi.org/10.1016/j.jadohealth.2017.02.001" TargetMode="External"/><Relationship Id="rId19" Type="http://schemas.openxmlformats.org/officeDocument/2006/relationships/hyperlink" Target="https://doi.org/10.1037/a002330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1037/ccp0000331" TargetMode="External"/><Relationship Id="rId14" Type="http://schemas.openxmlformats.org/officeDocument/2006/relationships/hyperlink" Target="https://doi.org/10.1080/19359701003622875" TargetMode="External"/><Relationship Id="rId22" Type="http://schemas.openxmlformats.org/officeDocument/2006/relationships/hyperlink" Target="https://doi.org/10.1207/s15374424jccp3401_11" TargetMode="External"/><Relationship Id="rId27" Type="http://schemas.openxmlformats.org/officeDocument/2006/relationships/hyperlink" Target="https://doi.org/10.1080/15374416.2019.165575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3978</Words>
  <Characters>22678</Characters>
  <Application>Microsoft Office Word</Application>
  <DocSecurity>0</DocSecurity>
  <Lines>188</Lines>
  <Paragraphs>53</Paragraphs>
  <ScaleCrop>false</ScaleCrop>
  <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2020-08-20T23:10:00Z</dcterms:created>
  <dcterms:modified xsi:type="dcterms:W3CDTF">2020-08-20T23:10:00Z</dcterms:modified>
</cp:coreProperties>
</file>