
<file path=[Content_Types].xml><?xml version="1.0" encoding="utf-8"?>
<Types xmlns="http://schemas.openxmlformats.org/package/2006/content-types">
  <Default Extension="xml" ContentType="application/xml"/>
  <Default Extension="rels" ContentType="application/vnd.openxmlformats-package.relationships+xml"/>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word/styles.xml" ContentType="application/vnd.openxmlformats-officedocument.wordprocessingml.styles+xml"/>
  <Override PartName="/word/document.xml" ContentType="application/vnd.openxmlformats-officedocument.wordprocessingml.document.main+xml"/>
  <Override PartName="/word/footnotes.xml" ContentType="application/vnd.openxmlformats-officedocument.wordprocessingml.footnotes+xml"/>
  <Override PartName="/word/media/rId24.png" ContentType="image/png"/>
  <Override PartName="/word/media/rId25.png" ContentType="image/png"/>
  <Override PartName="/word/media/rId33.png" ContentType="image/png"/>
  <Override PartName="/word/media/rId34.png" ContentType="image/png"/>
  <Override PartName="/word/media/rId35.png" ContentType="image/png"/>
  <Override PartName="/word/media/rId36.png" ContentType="image/png"/>
  <Override PartName="/word/media/rId37.png" ContentType="image/png"/>
  <Override PartName="/word/media/rId66.png" ContentType="image/png"/>
  <Override PartName="/word/media/rId67.png" ContentType="image/png"/>
  <Override PartName="/word/media/rId68.png" ContentType="image/png"/>
  <Override PartName="/word/media/rId69.png" ContentType="image/png"/>
  <Override PartName="/word/media/rId70.png" ContentType="image/png"/>
  <Override PartName="/word/media/rId54.png" ContentType="image/png"/>
  <Override PartName="/word/media/rId55.png" ContentType="image/png"/>
  <Override PartName="/word/media/rId56.png" ContentType="image/png"/>
  <Override PartName="/word/media/rId57.png" ContentType="image/png"/>
  <Override PartName="/word/media/rId58.png" ContentType="image/png"/>
  <Override PartName="/word/media/rId60.png" ContentType="image/png"/>
  <Override PartName="/word/media/rId61.png" ContentType="image/png"/>
  <Override PartName="/word/media/rId62.png" ContentType="image/png"/>
  <Override PartName="/word/media/rId63.png" ContentType="image/png"/>
  <Override PartName="/word/media/rId64.png" ContentType="image/png"/>
  <Override PartName="/word/media/rId47.png" ContentType="image/png"/>
  <Override PartName="/word/media/rId48.png" ContentType="image/png"/>
  <Override PartName="/word/media/rId49.png" ContentType="image/png"/>
  <Override PartName="/word/media/rId50.png" ContentType="image/png"/>
  <Override PartName="/word/media/rId51.png" ContentType="image/png"/>
  <Override PartName="/word/media/rId27.png" ContentType="image/png"/>
  <Override PartName="/word/media/rId28.png" ContentType="image/png"/>
  <Override PartName="/word/media/rId29.png" ContentType="image/png"/>
  <Override PartName="/word/media/rId30.png" ContentType="image/png"/>
  <Override PartName="/word/media/rId31.png" ContentType="image/png"/>
  <Override PartName="/word/media/rId40.png" ContentType="image/png"/>
  <Override PartName="/word/media/rId41.png" ContentType="image/png"/>
  <Override PartName="/word/media/rId42.png" ContentType="image/png"/>
  <Override PartName="/word/media/rId43.png" ContentType="image/png"/>
  <Override PartName="/word/media/rId44.png" ContentType="image/png"/>
</Types>
</file>

<file path=_rels/.rels><?xml version="1.0" encoding="UTF-8"?>
<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Title"/>
      </w:pPr>
      <w:r>
        <w:t xml:space="preserve">LSAS</w:t>
      </w:r>
      <w:r>
        <w:t xml:space="preserve"> </w:t>
      </w:r>
      <w:r>
        <w:t xml:space="preserve">Analyses</w:t>
      </w:r>
      <w:r>
        <w:t xml:space="preserve"> </w:t>
      </w:r>
      <w:r>
        <w:t xml:space="preserve">&amp;</w:t>
      </w:r>
      <w:r>
        <w:t xml:space="preserve"> </w:t>
      </w:r>
      <w:r>
        <w:t xml:space="preserve">Supplement:</w:t>
      </w:r>
      <w:r>
        <w:t xml:space="preserve"> </w:t>
      </w:r>
      <w:r>
        <w:t xml:space="preserve">R</w:t>
      </w:r>
      <w:r>
        <w:t xml:space="preserve"> </w:t>
      </w:r>
      <w:r>
        <w:t xml:space="preserve">Code</w:t>
      </w:r>
    </w:p>
    <w:sdt>
      <w:sdtPr>
        <w:docPartObj>
          <w:docPartGallery w:val="Table of Contents"/>
          <w:docPartUnique/>
        </w:docPartObj>
      </w:sdtPr>
      <w:sdtContent>
        <w:p>
          <w:pPr>
            <w:pStyle w:val="TOCHeading"/>
          </w:pPr>
          <w:r>
            <w:t xml:space="preserve">Table of Contents</w:t>
          </w:r>
        </w:p>
        <w:p>
          <w:r>
            <w:fldChar w:fldCharType="begin" w:dirty="true"/>
            <w:instrText xml:space="preserve">TOC \o "1-3" \h \z \u</w:instrText>
            <w:fldChar w:fldCharType="separate"/>
            <w:fldChar w:fldCharType="end"/>
          </w:r>
        </w:p>
      </w:sdtContent>
    </w:sdt>
    <w:p>
      <w:pPr>
        <w:pStyle w:val="Heading1"/>
      </w:pPr>
      <w:bookmarkStart w:id="21" w:name="setup"/>
      <w:bookmarkEnd w:id="21"/>
      <w:r>
        <w:t xml:space="preserve">Setup</w:t>
      </w:r>
    </w:p>
    <w:p>
      <w:pPr>
        <w:pStyle w:val="FirstParagraph"/>
      </w:pPr>
      <w:r>
        <w:t xml:space="preserve">We cannot share the original dataset or its five imputations. Instead, we share the adjacency matrices and correlation matrices that can be used to reconstruct our networks and analyses. Note that because the data were imputated, there are usually 5 datasets analyzed. In places where functions require the real data, we include nonexecutable.</w:t>
      </w:r>
    </w:p>
    <w:p>
      <w:pPr>
        <w:pStyle w:val="BodyText"/>
      </w:pPr>
      <w:r>
        <w:t xml:space="preserve">The code reproducing our network analyses utilize the adjency matrices.</w:t>
      </w:r>
    </w:p>
    <w:p>
      <w:pPr>
        <w:pStyle w:val="Heading1"/>
      </w:pPr>
      <w:bookmarkStart w:id="22" w:name="original-network"/>
      <w:bookmarkEnd w:id="22"/>
      <w:r>
        <w:t xml:space="preserve">Original Network</w:t>
      </w:r>
    </w:p>
    <w:p>
      <w:pPr>
        <w:pStyle w:val="FirstParagraph"/>
      </w:pPr>
      <w:r>
        <w:t xml:space="preserve">The original hypothesized network for the LSAS consisted of 48 fear and avoidance item pairs. Unfortunately, the network was not positive definite and produced the following error message:</w:t>
      </w:r>
    </w:p>
    <w:p>
      <w:pPr>
        <w:pStyle w:val="BodyText"/>
      </w:pPr>
      <w:r>
        <w:rPr>
          <w:i/>
        </w:rPr>
        <w:t xml:space="preserve">Error in EBICglasso(input, sampleSize, gamma = tuning, refit = refit, :</w:t>
      </w:r>
      <w:r>
        <w:rPr>
          <w:i/>
        </w:rPr>
        <w:t xml:space="preserve"> </w:t>
      </w:r>
      <w:r>
        <w:rPr>
          <w:i/>
        </w:rPr>
        <w:t xml:space="preserve">'S' is not positive definite</w:t>
      </w:r>
    </w:p>
    <w:p>
      <w:pPr>
        <w:pStyle w:val="BodyText"/>
      </w:pPr>
      <w:r>
        <w:t xml:space="preserve">The error can be reproduced by running the code in the chunk below.</w:t>
      </w:r>
    </w:p>
    <w:p>
      <w:pPr>
        <w:pStyle w:val="SourceCode"/>
      </w:pPr>
      <w:r>
        <w:rPr>
          <w:rStyle w:val="CommentTok"/>
        </w:rPr>
        <w:t xml:space="preserve">#48-item version of the LSAS. dataset.</w:t>
      </w:r>
      <w:r>
        <w:br w:type="textWrapping"/>
      </w:r>
      <w:r>
        <w:rPr>
          <w:rStyle w:val="NormalTok"/>
        </w:rPr>
        <w:t xml:space="preserve">GSADmat.48item&lt;-</w:t>
      </w:r>
      <w:r>
        <w:rPr>
          <w:rStyle w:val="KeywordTok"/>
        </w:rPr>
        <w:t xml:space="preserve">read.csv</w:t>
      </w:r>
      <w:r>
        <w:rPr>
          <w:rStyle w:val="NormalTok"/>
        </w:rPr>
        <w:t xml:space="preserve">(</w:t>
      </w:r>
      <w:r>
        <w:rPr>
          <w:rStyle w:val="StringTok"/>
        </w:rPr>
        <w:t xml:space="preserve">"Data/CorrelationMatrices/GSAD_ggm_allitems_cormat1.csv"</w:t>
      </w:r>
      <w:r>
        <w:rPr>
          <w:rStyle w:val="NormalTok"/>
        </w:rPr>
        <w:t xml:space="preserve">)</w:t>
      </w:r>
      <w:r>
        <w:br w:type="textWrapping"/>
      </w:r>
      <w:r>
        <w:rPr>
          <w:rStyle w:val="KeywordTok"/>
        </w:rPr>
        <w:t xml:space="preserve">rownames</w:t>
      </w:r>
      <w:r>
        <w:rPr>
          <w:rStyle w:val="NormalTok"/>
        </w:rPr>
        <w:t xml:space="preserve">(GSADmat.48item)&lt;-</w:t>
      </w:r>
      <w:r>
        <w:rPr>
          <w:rStyle w:val="KeywordTok"/>
        </w:rPr>
        <w:t xml:space="preserve">colnames</w:t>
      </w:r>
      <w:r>
        <w:rPr>
          <w:rStyle w:val="NormalTok"/>
        </w:rPr>
        <w:t xml:space="preserve">(GSADmat.48item)</w:t>
      </w:r>
      <w:r>
        <w:br w:type="textWrapping"/>
      </w:r>
      <w:r>
        <w:br w:type="textWrapping"/>
      </w:r>
      <w:r>
        <w:rPr>
          <w:rStyle w:val="KeywordTok"/>
        </w:rPr>
        <w:t xml:space="preserve">qgraph</w:t>
      </w:r>
      <w:r>
        <w:rPr>
          <w:rStyle w:val="NormalTok"/>
        </w:rPr>
        <w:t xml:space="preserve">(GSADmat.48item,</w:t>
      </w:r>
      <w:r>
        <w:rPr>
          <w:rStyle w:val="DataTypeTok"/>
        </w:rPr>
        <w:t xml:space="preserve">graph=</w:t>
      </w:r>
      <w:r>
        <w:rPr>
          <w:rStyle w:val="StringTok"/>
        </w:rPr>
        <w:t xml:space="preserve">"glasso"</w:t>
      </w:r>
      <w:r>
        <w:rPr>
          <w:rStyle w:val="NormalTok"/>
        </w:rPr>
        <w:t xml:space="preserve">,</w:t>
      </w:r>
      <w:r>
        <w:rPr>
          <w:rStyle w:val="DataTypeTok"/>
        </w:rPr>
        <w:t xml:space="preserve">sampleSize=</w:t>
      </w:r>
      <w:r>
        <w:rPr>
          <w:rStyle w:val="DecValTok"/>
        </w:rPr>
        <w:t xml:space="preserve">910</w:t>
      </w:r>
      <w:r>
        <w:rPr>
          <w:rStyle w:val="NormalTok"/>
        </w:rPr>
        <w:t xml:space="preserve">,</w:t>
      </w:r>
      <w:r>
        <w:rPr>
          <w:rStyle w:val="DataTypeTok"/>
        </w:rPr>
        <w:t xml:space="preserve">layout=</w:t>
      </w:r>
      <w:r>
        <w:rPr>
          <w:rStyle w:val="StringTok"/>
        </w:rPr>
        <w:t xml:space="preserve">"spring"</w:t>
      </w:r>
      <w:r>
        <w:rPr>
          <w:rStyle w:val="NormalTok"/>
        </w:rPr>
        <w:t xml:space="preserve">,</w:t>
      </w:r>
      <w:r>
        <w:rPr>
          <w:rStyle w:val="DataTypeTok"/>
        </w:rPr>
        <w:t xml:space="preserve">theme=</w:t>
      </w:r>
      <w:r>
        <w:rPr>
          <w:rStyle w:val="StringTok"/>
        </w:rPr>
        <w:t xml:space="preserve">"colorblind"</w:t>
      </w:r>
      <w:r>
        <w:rPr>
          <w:rStyle w:val="NormalTok"/>
        </w:rPr>
        <w:t xml:space="preserve">,</w:t>
      </w:r>
      <w:r>
        <w:rPr>
          <w:rStyle w:val="DataTypeTok"/>
        </w:rPr>
        <w:t xml:space="preserve">cut=</w:t>
      </w:r>
      <w:r>
        <w:rPr>
          <w:rStyle w:val="DecValTok"/>
        </w:rPr>
        <w:t xml:space="preserve">0</w:t>
      </w:r>
      <w:r>
        <w:rPr>
          <w:rStyle w:val="NormalTok"/>
        </w:rPr>
        <w:t xml:space="preserve">)</w:t>
      </w:r>
    </w:p>
    <w:p>
      <w:pPr>
        <w:pStyle w:val="Heading1"/>
      </w:pPr>
      <w:bookmarkStart w:id="23" w:name="seperate-avoidance-and-anxiety-networks"/>
      <w:bookmarkEnd w:id="23"/>
      <w:r>
        <w:t xml:space="preserve">Seperate Avoidance and Anxiety Networks</w:t>
      </w:r>
    </w:p>
    <w:p>
      <w:pPr>
        <w:pStyle w:val="FirstParagraph"/>
      </w:pPr>
      <w:r>
        <w:t xml:space="preserve">One hypothesis was that separating the fear and avoidance items might result in a positive definite matrix. The code below shows the anxiety and avoidance networks for Imputation 1. There is no warning message and the graphs are produced without error.</w:t>
      </w:r>
    </w:p>
    <w:p>
      <w:pPr>
        <w:pStyle w:val="SourceCode"/>
      </w:pPr>
      <w:r>
        <w:rPr>
          <w:rStyle w:val="CommentTok"/>
        </w:rPr>
        <w:t xml:space="preserve">#Example: anxiety and avoidance networks, if run, do not produce an error message</w:t>
      </w:r>
      <w:r>
        <w:br w:type="textWrapping"/>
      </w:r>
      <w:r>
        <w:rPr>
          <w:rStyle w:val="NormalTok"/>
        </w:rPr>
        <w:t xml:space="preserve">anx.net &lt;-</w:t>
      </w:r>
      <w:r>
        <w:rPr>
          <w:rStyle w:val="StringTok"/>
        </w:rPr>
        <w:t xml:space="preserve"> </w:t>
      </w:r>
      <w:r>
        <w:rPr>
          <w:rStyle w:val="KeywordTok"/>
        </w:rPr>
        <w:t xml:space="preserve">qgraph</w:t>
      </w:r>
      <w:r>
        <w:rPr>
          <w:rStyle w:val="NormalTok"/>
        </w:rPr>
        <w:t xml:space="preserve">(anxmat</w:t>
      </w:r>
      <w:r>
        <w:rPr>
          <w:rStyle w:val="FloatTok"/>
        </w:rPr>
        <w:t xml:space="preserve">.1</w:t>
      </w:r>
      <w:r>
        <w:rPr>
          <w:rStyle w:val="NormalTok"/>
        </w:rPr>
        <w:t xml:space="preserve">, </w:t>
      </w:r>
      <w:r>
        <w:rPr>
          <w:rStyle w:val="DataTypeTok"/>
        </w:rPr>
        <w:t xml:space="preserve">layout=</w:t>
      </w:r>
      <w:r>
        <w:rPr>
          <w:rStyle w:val="StringTok"/>
        </w:rPr>
        <w:t xml:space="preserve">"spring"</w:t>
      </w:r>
      <w:r>
        <w:rPr>
          <w:rStyle w:val="NormalTok"/>
        </w:rPr>
        <w:t xml:space="preserve">,</w:t>
      </w:r>
      <w:r>
        <w:rPr>
          <w:rStyle w:val="DataTypeTok"/>
        </w:rPr>
        <w:t xml:space="preserve">theme=</w:t>
      </w:r>
      <w:r>
        <w:rPr>
          <w:rStyle w:val="StringTok"/>
        </w:rPr>
        <w:t xml:space="preserve">"colorblind"</w:t>
      </w:r>
      <w:r>
        <w:rPr>
          <w:rStyle w:val="NormalTok"/>
        </w:rPr>
        <w:t xml:space="preserve">,</w:t>
      </w:r>
      <w:r>
        <w:rPr>
          <w:rStyle w:val="DataTypeTok"/>
        </w:rPr>
        <w:t xml:space="preserve">cut=</w:t>
      </w:r>
      <w:r>
        <w:rPr>
          <w:rStyle w:val="DecValTok"/>
        </w:rPr>
        <w:t xml:space="preserve">0</w:t>
      </w:r>
      <w:r>
        <w:rPr>
          <w:rStyle w:val="NormalTok"/>
        </w:rPr>
        <w:t xml:space="preserve">)</w:t>
      </w:r>
    </w:p>
    <w:p>
      <w:pPr>
        <w:pStyle w:val="FirstParagraph"/>
      </w:pPr>
      <w:r>
        <w:drawing>
          <wp:inline>
            <wp:extent cx="4620126" cy="3696101"/>
            <wp:effectExtent b="0" l="0" r="0" t="0"/>
            <wp:docPr descr="" id="1" name="Picture"/>
            <a:graphic>
              <a:graphicData uri="http://schemas.openxmlformats.org/drawingml/2006/picture">
                <pic:pic>
                  <pic:nvPicPr>
                    <pic:cNvPr descr="LSASanalyses_files/figure-docx/anxiety%20and%20avoidance%20networks-1.png" id="0" name="Picture"/>
                    <pic:cNvPicPr>
                      <a:picLocks noChangeArrowheads="1" noChangeAspect="1"/>
                    </pic:cNvPicPr>
                  </pic:nvPicPr>
                  <pic:blipFill>
                    <a:blip r:embed="rId24"/>
                    <a:stretch>
                      <a:fillRect/>
                    </a:stretch>
                  </pic:blipFill>
                  <pic:spPr bwMode="auto">
                    <a:xfrm>
                      <a:off x="0" y="0"/>
                      <a:ext cx="4620126" cy="3696101"/>
                    </a:xfrm>
                    <a:prstGeom prst="rect">
                      <a:avLst/>
                    </a:prstGeom>
                    <a:noFill/>
                    <a:ln w="9525">
                      <a:noFill/>
                      <a:headEnd/>
                      <a:tailEnd/>
                    </a:ln>
                  </pic:spPr>
                </pic:pic>
              </a:graphicData>
            </a:graphic>
          </wp:inline>
        </w:drawing>
      </w:r>
    </w:p>
    <w:p>
      <w:pPr>
        <w:pStyle w:val="SourceCode"/>
      </w:pPr>
      <w:r>
        <w:rPr>
          <w:rStyle w:val="NormalTok"/>
        </w:rPr>
        <w:t xml:space="preserve">avd.net &lt;-</w:t>
      </w:r>
      <w:r>
        <w:rPr>
          <w:rStyle w:val="StringTok"/>
        </w:rPr>
        <w:t xml:space="preserve"> </w:t>
      </w:r>
      <w:r>
        <w:rPr>
          <w:rStyle w:val="KeywordTok"/>
        </w:rPr>
        <w:t xml:space="preserve">qgraph</w:t>
      </w:r>
      <w:r>
        <w:rPr>
          <w:rStyle w:val="NormalTok"/>
        </w:rPr>
        <w:t xml:space="preserve">(avdmat</w:t>
      </w:r>
      <w:r>
        <w:rPr>
          <w:rStyle w:val="FloatTok"/>
        </w:rPr>
        <w:t xml:space="preserve">.1</w:t>
      </w:r>
      <w:r>
        <w:rPr>
          <w:rStyle w:val="NormalTok"/>
        </w:rPr>
        <w:t xml:space="preserve">, </w:t>
      </w:r>
      <w:r>
        <w:rPr>
          <w:rStyle w:val="DataTypeTok"/>
        </w:rPr>
        <w:t xml:space="preserve">layout=</w:t>
      </w:r>
      <w:r>
        <w:rPr>
          <w:rStyle w:val="StringTok"/>
        </w:rPr>
        <w:t xml:space="preserve">"spring"</w:t>
      </w:r>
      <w:r>
        <w:rPr>
          <w:rStyle w:val="NormalTok"/>
        </w:rPr>
        <w:t xml:space="preserve">,</w:t>
      </w:r>
      <w:r>
        <w:rPr>
          <w:rStyle w:val="DataTypeTok"/>
        </w:rPr>
        <w:t xml:space="preserve">theme=</w:t>
      </w:r>
      <w:r>
        <w:rPr>
          <w:rStyle w:val="StringTok"/>
        </w:rPr>
        <w:t xml:space="preserve">"colorblind"</w:t>
      </w:r>
      <w:r>
        <w:rPr>
          <w:rStyle w:val="NormalTok"/>
        </w:rPr>
        <w:t xml:space="preserve">,</w:t>
      </w:r>
      <w:r>
        <w:rPr>
          <w:rStyle w:val="DataTypeTok"/>
        </w:rPr>
        <w:t xml:space="preserve">cut=</w:t>
      </w:r>
      <w:r>
        <w:rPr>
          <w:rStyle w:val="DecValTok"/>
        </w:rPr>
        <w:t xml:space="preserve">0</w:t>
      </w:r>
      <w:r>
        <w:rPr>
          <w:rStyle w:val="NormalTok"/>
        </w:rPr>
        <w:t xml:space="preserve">)</w:t>
      </w:r>
    </w:p>
    <w:p>
      <w:pPr>
        <w:pStyle w:val="FirstParagraph"/>
      </w:pPr>
      <w:r>
        <w:drawing>
          <wp:inline>
            <wp:extent cx="4620126" cy="3696101"/>
            <wp:effectExtent b="0" l="0" r="0" t="0"/>
            <wp:docPr descr="" id="1" name="Picture"/>
            <a:graphic>
              <a:graphicData uri="http://schemas.openxmlformats.org/drawingml/2006/picture">
                <pic:pic>
                  <pic:nvPicPr>
                    <pic:cNvPr descr="LSASanalyses_files/figure-docx/anxiety%20and%20avoidance%20networks-2.png" id="0" name="Picture"/>
                    <pic:cNvPicPr>
                      <a:picLocks noChangeArrowheads="1" noChangeAspect="1"/>
                    </pic:cNvPicPr>
                  </pic:nvPicPr>
                  <pic:blipFill>
                    <a:blip r:embed="rId25"/>
                    <a:stretch>
                      <a:fillRect/>
                    </a:stretch>
                  </pic:blipFill>
                  <pic:spPr bwMode="auto">
                    <a:xfrm>
                      <a:off x="0" y="0"/>
                      <a:ext cx="4620126" cy="3696101"/>
                    </a:xfrm>
                    <a:prstGeom prst="rect">
                      <a:avLst/>
                    </a:prstGeom>
                    <a:noFill/>
                    <a:ln w="9525">
                      <a:noFill/>
                      <a:headEnd/>
                      <a:tailEnd/>
                    </a:ln>
                  </pic:spPr>
                </pic:pic>
              </a:graphicData>
            </a:graphic>
          </wp:inline>
        </w:drawing>
      </w:r>
    </w:p>
    <w:p>
      <w:pPr>
        <w:pStyle w:val="BodyText"/>
      </w:pPr>
      <w:r>
        <w:t xml:space="preserve">We then checked the correlation between the anxiety and avoidance networks and found them to be significantly correlated.</w:t>
      </w:r>
    </w:p>
    <w:p>
      <w:pPr>
        <w:pStyle w:val="BodyText"/>
      </w:pPr>
      <w:r>
        <w:t xml:space="preserve">Correlation: 0.9434707</w:t>
      </w:r>
    </w:p>
    <w:p>
      <w:pPr>
        <w:pStyle w:val="BodyText"/>
      </w:pPr>
      <w:r>
        <w:t xml:space="preserve">p-value: 0</w:t>
      </w:r>
    </w:p>
    <w:p>
      <w:pPr>
        <w:pStyle w:val="BodyText"/>
      </w:pPr>
      <w:r>
        <w:t xml:space="preserve">Because anxiety and avoidance were significantly correlated, we decided to composite the anxiety and avoidance items by adding the items together resulting in 24 situations. We further composited the two pairs of items that were highly correlated: Item 11 and Item 12 and Item 06 and Item 20. The resulting 22-item dataset was used in the main analyses.</w:t>
      </w:r>
    </w:p>
    <w:p>
      <w:pPr>
        <w:pStyle w:val="Heading1"/>
      </w:pPr>
      <w:bookmarkStart w:id="26" w:name="main-analyses"/>
      <w:bookmarkEnd w:id="26"/>
      <w:r>
        <w:t xml:space="preserve">Main Analyses</w:t>
      </w:r>
    </w:p>
    <w:p>
      <w:pPr>
        <w:pStyle w:val="FirstParagraph"/>
      </w:pPr>
      <w:r>
        <w:t xml:space="preserve">Creating the networks.</w:t>
      </w:r>
    </w:p>
    <w:p>
      <w:pPr>
        <w:pStyle w:val="SourceCode"/>
      </w:pPr>
      <w:r>
        <w:rPr>
          <w:rStyle w:val="NormalTok"/>
        </w:rPr>
        <w:t xml:space="preserve">nodes&lt;-</w:t>
      </w:r>
      <w:r>
        <w:rPr>
          <w:rStyle w:val="KeywordTok"/>
        </w:rPr>
        <w:t xml:space="preserve">c</w:t>
      </w:r>
      <w:r>
        <w:rPr>
          <w:rStyle w:val="NormalTok"/>
        </w:rPr>
        <w:t xml:space="preserve">(</w:t>
      </w:r>
      <w:r>
        <w:rPr>
          <w:rStyle w:val="DecValTok"/>
        </w:rPr>
        <w:t xml:space="preserve">1</w:t>
      </w:r>
      <w:r>
        <w:rPr>
          <w:rStyle w:val="NormalTok"/>
        </w:rPr>
        <w:t xml:space="preserve">:</w:t>
      </w:r>
      <w:r>
        <w:rPr>
          <w:rStyle w:val="DecValTok"/>
        </w:rPr>
        <w:t xml:space="preserve">5</w:t>
      </w:r>
      <w:r>
        <w:rPr>
          <w:rStyle w:val="NormalTok"/>
        </w:rPr>
        <w:t xml:space="preserve">,</w:t>
      </w:r>
      <w:r>
        <w:rPr>
          <w:rStyle w:val="StringTok"/>
        </w:rPr>
        <w:t xml:space="preserve">"6/20"</w:t>
      </w:r>
      <w:r>
        <w:rPr>
          <w:rStyle w:val="NormalTok"/>
        </w:rPr>
        <w:t xml:space="preserve">,</w:t>
      </w:r>
      <w:r>
        <w:rPr>
          <w:rStyle w:val="DecValTok"/>
        </w:rPr>
        <w:t xml:space="preserve">7</w:t>
      </w:r>
      <w:r>
        <w:rPr>
          <w:rStyle w:val="NormalTok"/>
        </w:rPr>
        <w:t xml:space="preserve">:</w:t>
      </w:r>
      <w:r>
        <w:rPr>
          <w:rStyle w:val="DecValTok"/>
        </w:rPr>
        <w:t xml:space="preserve">10</w:t>
      </w:r>
      <w:r>
        <w:rPr>
          <w:rStyle w:val="NormalTok"/>
        </w:rPr>
        <w:t xml:space="preserve">,</w:t>
      </w:r>
      <w:r>
        <w:rPr>
          <w:rStyle w:val="StringTok"/>
        </w:rPr>
        <w:t xml:space="preserve">"11/12"</w:t>
      </w:r>
      <w:r>
        <w:rPr>
          <w:rStyle w:val="NormalTok"/>
        </w:rPr>
        <w:t xml:space="preserve">,</w:t>
      </w:r>
      <w:r>
        <w:rPr>
          <w:rStyle w:val="DecValTok"/>
        </w:rPr>
        <w:t xml:space="preserve">13</w:t>
      </w:r>
      <w:r>
        <w:rPr>
          <w:rStyle w:val="NormalTok"/>
        </w:rPr>
        <w:t xml:space="preserve">:</w:t>
      </w:r>
      <w:r>
        <w:rPr>
          <w:rStyle w:val="DecValTok"/>
        </w:rPr>
        <w:t xml:space="preserve">19</w:t>
      </w:r>
      <w:r>
        <w:rPr>
          <w:rStyle w:val="NormalTok"/>
        </w:rPr>
        <w:t xml:space="preserve">,</w:t>
      </w:r>
      <w:r>
        <w:rPr>
          <w:rStyle w:val="DecValTok"/>
        </w:rPr>
        <w:t xml:space="preserve">21</w:t>
      </w:r>
      <w:r>
        <w:rPr>
          <w:rStyle w:val="NormalTok"/>
        </w:rPr>
        <w:t xml:space="preserve">:</w:t>
      </w:r>
      <w:r>
        <w:rPr>
          <w:rStyle w:val="DecValTok"/>
        </w:rPr>
        <w:t xml:space="preserve">24</w:t>
      </w:r>
      <w:r>
        <w:rPr>
          <w:rStyle w:val="NormalTok"/>
        </w:rPr>
        <w:t xml:space="preserve">)</w:t>
      </w:r>
      <w:r>
        <w:br w:type="textWrapping"/>
      </w:r>
      <w:r>
        <w:rPr>
          <w:rStyle w:val="NormalTok"/>
        </w:rPr>
        <w:t xml:space="preserve">gsad.nets&lt;-</w:t>
      </w:r>
      <w:r>
        <w:rPr>
          <w:rStyle w:val="KeywordTok"/>
        </w:rPr>
        <w:t xml:space="preserve">lapply</w:t>
      </w:r>
      <w:r>
        <w:rPr>
          <w:rStyle w:val="NormalTok"/>
        </w:rPr>
        <w:t xml:space="preserve">(gsadmats,function(i)</w:t>
      </w:r>
      <w:r>
        <w:rPr>
          <w:rStyle w:val="KeywordTok"/>
        </w:rPr>
        <w:t xml:space="preserve">qgraph</w:t>
      </w:r>
      <w:r>
        <w:rPr>
          <w:rStyle w:val="NormalTok"/>
        </w:rPr>
        <w:t xml:space="preserve">(i, </w:t>
      </w:r>
      <w:r>
        <w:rPr>
          <w:rStyle w:val="DataTypeTok"/>
        </w:rPr>
        <w:t xml:space="preserve">labels=</w:t>
      </w:r>
      <w:r>
        <w:rPr>
          <w:rStyle w:val="NormalTok"/>
        </w:rPr>
        <w:t xml:space="preserve">nodes,</w:t>
      </w:r>
      <w:r>
        <w:rPr>
          <w:rStyle w:val="DataTypeTok"/>
        </w:rPr>
        <w:t xml:space="preserve">nodeNames=</w:t>
      </w:r>
      <w:r>
        <w:rPr>
          <w:rStyle w:val="NormalTok"/>
        </w:rPr>
        <w:t xml:space="preserve">nodes,</w:t>
      </w:r>
      <w:r>
        <w:rPr>
          <w:rStyle w:val="DataTypeTok"/>
        </w:rPr>
        <w:t xml:space="preserve">layout=</w:t>
      </w:r>
      <w:r>
        <w:rPr>
          <w:rStyle w:val="StringTok"/>
        </w:rPr>
        <w:t xml:space="preserve">"spring"</w:t>
      </w:r>
      <w:r>
        <w:rPr>
          <w:rStyle w:val="NormalTok"/>
        </w:rPr>
        <w:t xml:space="preserve">,</w:t>
      </w:r>
      <w:r>
        <w:rPr>
          <w:rStyle w:val="DataTypeTok"/>
        </w:rPr>
        <w:t xml:space="preserve">theme=</w:t>
      </w:r>
      <w:r>
        <w:rPr>
          <w:rStyle w:val="StringTok"/>
        </w:rPr>
        <w:t xml:space="preserve">"colorblind"</w:t>
      </w:r>
      <w:r>
        <w:rPr>
          <w:rStyle w:val="NormalTok"/>
        </w:rPr>
        <w:t xml:space="preserve">,</w:t>
      </w:r>
      <w:r>
        <w:rPr>
          <w:rStyle w:val="DataTypeTok"/>
        </w:rPr>
        <w:t xml:space="preserve">cut=</w:t>
      </w:r>
      <w:r>
        <w:rPr>
          <w:rStyle w:val="DecValTok"/>
        </w:rPr>
        <w:t xml:space="preserve">0</w:t>
      </w:r>
      <w:r>
        <w:rPr>
          <w:rStyle w:val="NormalTok"/>
        </w:rPr>
        <w:t xml:space="preserve">,</w:t>
      </w:r>
      <w:r>
        <w:rPr>
          <w:rStyle w:val="DataTypeTok"/>
        </w:rPr>
        <w:t xml:space="preserve">legend=</w:t>
      </w:r>
      <w:r>
        <w:rPr>
          <w:rStyle w:val="OtherTok"/>
        </w:rPr>
        <w:t xml:space="preserve">FALSE</w:t>
      </w:r>
      <w:r>
        <w:rPr>
          <w:rStyle w:val="NormalTok"/>
        </w:rPr>
        <w:t xml:space="preserve">))</w:t>
      </w:r>
      <w:r>
        <w:br w:type="textWrapping"/>
      </w:r>
      <w:r>
        <w:br w:type="textWrapping"/>
      </w:r>
      <w:r>
        <w:rPr>
          <w:rStyle w:val="CommentTok"/>
        </w:rPr>
        <w:t xml:space="preserve">#To view individual imputations, use `plot(gsad.nets$Imputation#)`</w:t>
      </w:r>
    </w:p>
    <w:p>
      <w:pPr>
        <w:pStyle w:val="FirstParagraph"/>
      </w:pPr>
      <w:r>
        <w:t xml:space="preserve">Images of our results based on the real data are provided below. Note that the appearance of the network might differ from those produced with the real data but relationships between nodes are the same.</w:t>
      </w:r>
    </w:p>
    <w:p>
      <w:pPr>
        <w:pStyle w:val="FigureWithCaption"/>
      </w:pPr>
      <w:r>
        <w:drawing>
          <wp:inline>
            <wp:extent cx="5334000" cy="5334000"/>
            <wp:effectExtent b="0" l="0" r="0" t="0"/>
            <wp:docPr descr="Network plot of Imputation 1" id="1" name="Picture"/>
            <a:graphic>
              <a:graphicData uri="http://schemas.openxmlformats.org/drawingml/2006/picture">
                <pic:pic>
                  <pic:nvPicPr>
                    <pic:cNvPr descr="Plots/Networks/gsad_netplot1.png" id="0" name="Picture"/>
                    <pic:cNvPicPr>
                      <a:picLocks noChangeArrowheads="1" noChangeAspect="1"/>
                    </pic:cNvPicPr>
                  </pic:nvPicPr>
                  <pic:blipFill>
                    <a:blip r:embed="rId27"/>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Network plot of Imputation 1</w:t>
      </w:r>
    </w:p>
    <w:p>
      <w:pPr>
        <w:pStyle w:val="FigureWithCaption"/>
      </w:pPr>
      <w:r>
        <w:drawing>
          <wp:inline>
            <wp:extent cx="5334000" cy="5334000"/>
            <wp:effectExtent b="0" l="0" r="0" t="0"/>
            <wp:docPr descr="Network plot of Imputation 2" id="1" name="Picture"/>
            <a:graphic>
              <a:graphicData uri="http://schemas.openxmlformats.org/drawingml/2006/picture">
                <pic:pic>
                  <pic:nvPicPr>
                    <pic:cNvPr descr="Plots/Networks/gsad_netplot2.png" id="0" name="Picture"/>
                    <pic:cNvPicPr>
                      <a:picLocks noChangeArrowheads="1" noChangeAspect="1"/>
                    </pic:cNvPicPr>
                  </pic:nvPicPr>
                  <pic:blipFill>
                    <a:blip r:embed="rId28"/>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Network plot of Imputation 2</w:t>
      </w:r>
    </w:p>
    <w:p>
      <w:pPr>
        <w:pStyle w:val="FigureWithCaption"/>
      </w:pPr>
      <w:r>
        <w:drawing>
          <wp:inline>
            <wp:extent cx="5334000" cy="5334000"/>
            <wp:effectExtent b="0" l="0" r="0" t="0"/>
            <wp:docPr descr="Network plot of Imputation 3" id="1" name="Picture"/>
            <a:graphic>
              <a:graphicData uri="http://schemas.openxmlformats.org/drawingml/2006/picture">
                <pic:pic>
                  <pic:nvPicPr>
                    <pic:cNvPr descr="Plots/Networks/gsad_netplot3.png" id="0" name="Picture"/>
                    <pic:cNvPicPr>
                      <a:picLocks noChangeArrowheads="1" noChangeAspect="1"/>
                    </pic:cNvPicPr>
                  </pic:nvPicPr>
                  <pic:blipFill>
                    <a:blip r:embed="rId29"/>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Network plot of Imputation 3</w:t>
      </w:r>
    </w:p>
    <w:p>
      <w:pPr>
        <w:pStyle w:val="FigureWithCaption"/>
      </w:pPr>
      <w:r>
        <w:drawing>
          <wp:inline>
            <wp:extent cx="5334000" cy="5334000"/>
            <wp:effectExtent b="0" l="0" r="0" t="0"/>
            <wp:docPr descr="Network plot of Imputation 4" id="1" name="Picture"/>
            <a:graphic>
              <a:graphicData uri="http://schemas.openxmlformats.org/drawingml/2006/picture">
                <pic:pic>
                  <pic:nvPicPr>
                    <pic:cNvPr descr="Plots/Networks/gsad_netplot4.png" id="0" name="Picture"/>
                    <pic:cNvPicPr>
                      <a:picLocks noChangeArrowheads="1" noChangeAspect="1"/>
                    </pic:cNvPicPr>
                  </pic:nvPicPr>
                  <pic:blipFill>
                    <a:blip r:embed="rId30"/>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Network plot of Imputation 4</w:t>
      </w:r>
    </w:p>
    <w:p>
      <w:pPr>
        <w:pStyle w:val="FigureWithCaption"/>
      </w:pPr>
      <w:r>
        <w:drawing>
          <wp:inline>
            <wp:extent cx="5334000" cy="5334000"/>
            <wp:effectExtent b="0" l="0" r="0" t="0"/>
            <wp:docPr descr="Network plot of Imputation 5" id="1" name="Picture"/>
            <a:graphic>
              <a:graphicData uri="http://schemas.openxmlformats.org/drawingml/2006/picture">
                <pic:pic>
                  <pic:nvPicPr>
                    <pic:cNvPr descr="Plots/Networks/gsad_netplot5.png" id="0" name="Picture"/>
                    <pic:cNvPicPr>
                      <a:picLocks noChangeArrowheads="1" noChangeAspect="1"/>
                    </pic:cNvPicPr>
                  </pic:nvPicPr>
                  <pic:blipFill>
                    <a:blip r:embed="rId31"/>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Network plot of Imputation 5</w:t>
      </w:r>
    </w:p>
    <w:p>
      <w:pPr>
        <w:pStyle w:val="Heading2"/>
      </w:pPr>
      <w:bookmarkStart w:id="32" w:name="centrality-indices-and-visualizations"/>
      <w:bookmarkEnd w:id="32"/>
      <w:r>
        <w:t xml:space="preserve">Centrality Indices and Visualizations</w:t>
      </w:r>
    </w:p>
    <w:p>
      <w:pPr>
        <w:pStyle w:val="SourceCode"/>
      </w:pPr>
      <w:r>
        <w:rPr>
          <w:rStyle w:val="NormalTok"/>
        </w:rPr>
        <w:t xml:space="preserve">gsad.centrality&lt;-</w:t>
      </w:r>
      <w:r>
        <w:rPr>
          <w:rStyle w:val="KeywordTok"/>
        </w:rPr>
        <w:t xml:space="preserve">lapply</w:t>
      </w:r>
      <w:r>
        <w:rPr>
          <w:rStyle w:val="NormalTok"/>
        </w:rPr>
        <w:t xml:space="preserve">(gsad.nets,centrality_auto)</w:t>
      </w:r>
      <w:r>
        <w:br w:type="textWrapping"/>
      </w:r>
      <w:r>
        <w:rPr>
          <w:rStyle w:val="CommentTok"/>
        </w:rPr>
        <w:t xml:space="preserve">#Tables of the centrality indices for each imputation can be viewed by running `gsad.centrality[["Imputation#"]]["node.centrality"]`. Replace the # sign with imputation 1-5.</w:t>
      </w:r>
      <w:r>
        <w:br w:type="textWrapping"/>
      </w:r>
      <w:r>
        <w:br w:type="textWrapping"/>
      </w:r>
      <w:r>
        <w:rPr>
          <w:rStyle w:val="CommentTok"/>
        </w:rPr>
        <w:t xml:space="preserve">#Plots of the centrality indices can be produced by running `centralityPlot(gsad.nets$Imputation#)`</w:t>
      </w:r>
    </w:p>
    <w:p>
      <w:pPr>
        <w:pStyle w:val="FirstParagraph"/>
      </w:pPr>
      <w:r>
        <w:t xml:space="preserve">Visualizations of the centrality indices are shown with standardized z-scores on the horizontal axis and node number on the vertical axis.</w:t>
      </w:r>
    </w:p>
    <w:p>
      <w:pPr>
        <w:pStyle w:val="FigureWithCaption"/>
      </w:pPr>
      <w:r>
        <w:drawing>
          <wp:inline>
            <wp:extent cx="5334000" cy="5334000"/>
            <wp:effectExtent b="0" l="0" r="0" t="0"/>
            <wp:docPr descr="Centrality plot of Imputation 1" id="1" name="Picture"/>
            <a:graphic>
              <a:graphicData uri="http://schemas.openxmlformats.org/drawingml/2006/picture">
                <pic:pic>
                  <pic:nvPicPr>
                    <pic:cNvPr descr="Plots/CentralityPlots/gsad_cplot1.png" id="0" name="Picture"/>
                    <pic:cNvPicPr>
                      <a:picLocks noChangeArrowheads="1" noChangeAspect="1"/>
                    </pic:cNvPicPr>
                  </pic:nvPicPr>
                  <pic:blipFill>
                    <a:blip r:embed="rId33"/>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Centrality plot of Imputation 1</w:t>
      </w:r>
    </w:p>
    <w:p>
      <w:pPr>
        <w:pStyle w:val="FigureWithCaption"/>
      </w:pPr>
      <w:r>
        <w:drawing>
          <wp:inline>
            <wp:extent cx="5334000" cy="5334000"/>
            <wp:effectExtent b="0" l="0" r="0" t="0"/>
            <wp:docPr descr="Centrality plot of Imputation 2" id="1" name="Picture"/>
            <a:graphic>
              <a:graphicData uri="http://schemas.openxmlformats.org/drawingml/2006/picture">
                <pic:pic>
                  <pic:nvPicPr>
                    <pic:cNvPr descr="Plots/CentralityPlots/gsad_cplot2.png" id="0" name="Picture"/>
                    <pic:cNvPicPr>
                      <a:picLocks noChangeArrowheads="1" noChangeAspect="1"/>
                    </pic:cNvPicPr>
                  </pic:nvPicPr>
                  <pic:blipFill>
                    <a:blip r:embed="rId34"/>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Centrality plot of Imputation 2</w:t>
      </w:r>
    </w:p>
    <w:p>
      <w:pPr>
        <w:pStyle w:val="FigureWithCaption"/>
      </w:pPr>
      <w:r>
        <w:drawing>
          <wp:inline>
            <wp:extent cx="5334000" cy="5334000"/>
            <wp:effectExtent b="0" l="0" r="0" t="0"/>
            <wp:docPr descr="Centrality plot of Imputation 3" id="1" name="Picture"/>
            <a:graphic>
              <a:graphicData uri="http://schemas.openxmlformats.org/drawingml/2006/picture">
                <pic:pic>
                  <pic:nvPicPr>
                    <pic:cNvPr descr="Plots/CentralityPlots/gsad_cplot3.png" id="0" name="Picture"/>
                    <pic:cNvPicPr>
                      <a:picLocks noChangeArrowheads="1" noChangeAspect="1"/>
                    </pic:cNvPicPr>
                  </pic:nvPicPr>
                  <pic:blipFill>
                    <a:blip r:embed="rId35"/>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Centrality plot of Imputation 3</w:t>
      </w:r>
    </w:p>
    <w:p>
      <w:pPr>
        <w:pStyle w:val="FigureWithCaption"/>
      </w:pPr>
      <w:r>
        <w:drawing>
          <wp:inline>
            <wp:extent cx="5334000" cy="5334000"/>
            <wp:effectExtent b="0" l="0" r="0" t="0"/>
            <wp:docPr descr="Centrality plot of Imputation 4" id="1" name="Picture"/>
            <a:graphic>
              <a:graphicData uri="http://schemas.openxmlformats.org/drawingml/2006/picture">
                <pic:pic>
                  <pic:nvPicPr>
                    <pic:cNvPr descr="Plots/CentralityPlots/gsad_cplot4.png" id="0" name="Picture"/>
                    <pic:cNvPicPr>
                      <a:picLocks noChangeArrowheads="1" noChangeAspect="1"/>
                    </pic:cNvPicPr>
                  </pic:nvPicPr>
                  <pic:blipFill>
                    <a:blip r:embed="rId36"/>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Centrality plot of Imputation 4</w:t>
      </w:r>
    </w:p>
    <w:p>
      <w:pPr>
        <w:pStyle w:val="FigureWithCaption"/>
      </w:pPr>
      <w:r>
        <w:drawing>
          <wp:inline>
            <wp:extent cx="5334000" cy="5334000"/>
            <wp:effectExtent b="0" l="0" r="0" t="0"/>
            <wp:docPr descr="Centrality plot of Imputation 5" id="1" name="Picture"/>
            <a:graphic>
              <a:graphicData uri="http://schemas.openxmlformats.org/drawingml/2006/picture">
                <pic:pic>
                  <pic:nvPicPr>
                    <pic:cNvPr descr="Plots/CentralityPlots/gsad_cplot5.png" id="0" name="Picture"/>
                    <pic:cNvPicPr>
                      <a:picLocks noChangeArrowheads="1" noChangeAspect="1"/>
                    </pic:cNvPicPr>
                  </pic:nvPicPr>
                  <pic:blipFill>
                    <a:blip r:embed="rId37"/>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Centrality plot of Imputation 5</w:t>
      </w:r>
    </w:p>
    <w:p>
      <w:pPr>
        <w:pStyle w:val="Heading2"/>
      </w:pPr>
      <w:bookmarkStart w:id="38" w:name="network-stability-and-accuracy"/>
      <w:bookmarkEnd w:id="38"/>
      <w:r>
        <w:t xml:space="preserve">Network stability and accuracy</w:t>
      </w:r>
    </w:p>
    <w:p>
      <w:pPr>
        <w:pStyle w:val="FirstParagraph"/>
      </w:pPr>
      <w:r>
        <w:t xml:space="preserve">The following set of analyses were conducted to assess the stability of the network under various conditions.</w:t>
      </w:r>
    </w:p>
    <w:p>
      <w:pPr>
        <w:pStyle w:val="Heading3"/>
      </w:pPr>
      <w:bookmarkStart w:id="39" w:name="person-dropping-bootstrap"/>
      <w:bookmarkEnd w:id="39"/>
      <w:r>
        <w:t xml:space="preserve">Person dropping bootstrap</w:t>
      </w:r>
    </w:p>
    <w:p>
      <w:pPr>
        <w:pStyle w:val="FirstParagraph"/>
      </w:pPr>
      <w:r>
        <w:t xml:space="preserve">We first computed the stability of centrality indices with decreasing subsets of participants.</w:t>
      </w:r>
      <w:r>
        <w:t xml:space="preserve"> </w:t>
      </w:r>
      <w:r>
        <w:t xml:space="preserve">Note: the code below cannot be run because we are unable to provide our raw data.</w:t>
      </w:r>
    </w:p>
    <w:p>
      <w:pPr>
        <w:pStyle w:val="SourceCode"/>
      </w:pPr>
      <w:r>
        <w:rPr>
          <w:rStyle w:val="NormalTok"/>
        </w:rPr>
        <w:t xml:space="preserve">gsad.pdboot&lt;-</w:t>
      </w:r>
      <w:r>
        <w:rPr>
          <w:rStyle w:val="KeywordTok"/>
        </w:rPr>
        <w:t xml:space="preserve">lapply</w:t>
      </w:r>
      <w:r>
        <w:rPr>
          <w:rStyle w:val="NormalTok"/>
        </w:rPr>
        <w:t xml:space="preserve">(gsad.rawdatalist,function(i)</w:t>
      </w:r>
      <w:r>
        <w:rPr>
          <w:rStyle w:val="KeywordTok"/>
        </w:rPr>
        <w:t xml:space="preserve">bootnet</w:t>
      </w:r>
      <w:r>
        <w:rPr>
          <w:rStyle w:val="NormalTok"/>
        </w:rPr>
        <w:t xml:space="preserve">(i,</w:t>
      </w:r>
      <w:r>
        <w:rPr>
          <w:rStyle w:val="DataTypeTok"/>
        </w:rPr>
        <w:t xml:space="preserve">default=</w:t>
      </w:r>
      <w:r>
        <w:rPr>
          <w:rStyle w:val="StringTok"/>
        </w:rPr>
        <w:t xml:space="preserve">"EBICglasso"</w:t>
      </w:r>
      <w:r>
        <w:rPr>
          <w:rStyle w:val="NormalTok"/>
        </w:rPr>
        <w:t xml:space="preserve">, </w:t>
      </w:r>
      <w:r>
        <w:rPr>
          <w:rStyle w:val="DataTypeTok"/>
        </w:rPr>
        <w:t xml:space="preserve">nBoot=</w:t>
      </w:r>
      <w:r>
        <w:rPr>
          <w:rStyle w:val="DecValTok"/>
        </w:rPr>
        <w:t xml:space="preserve">1000</w:t>
      </w:r>
      <w:r>
        <w:rPr>
          <w:rStyle w:val="NormalTok"/>
        </w:rPr>
        <w:t xml:space="preserve">,</w:t>
      </w:r>
      <w:r>
        <w:rPr>
          <w:rStyle w:val="DataTypeTok"/>
        </w:rPr>
        <w:t xml:space="preserve">type=</w:t>
      </w:r>
      <w:r>
        <w:rPr>
          <w:rStyle w:val="StringTok"/>
        </w:rPr>
        <w:t xml:space="preserve">"person"</w:t>
      </w:r>
      <w:r>
        <w:rPr>
          <w:rStyle w:val="NormalTok"/>
        </w:rPr>
        <w:t xml:space="preserve">,</w:t>
      </w:r>
      <w:r>
        <w:rPr>
          <w:rStyle w:val="DataTypeTok"/>
        </w:rPr>
        <w:t xml:space="preserve">nCores=</w:t>
      </w:r>
      <w:r>
        <w:rPr>
          <w:rStyle w:val="DecValTok"/>
        </w:rPr>
        <w:t xml:space="preserve">8</w:t>
      </w:r>
      <w:r>
        <w:rPr>
          <w:rStyle w:val="NormalTok"/>
        </w:rPr>
        <w:t xml:space="preserve">)</w:t>
      </w:r>
      <w:r>
        <w:br w:type="textWrapping"/>
      </w:r>
      <w:r>
        <w:rPr>
          <w:rStyle w:val="KeywordTok"/>
        </w:rPr>
        <w:t xml:space="preserve">lapply</w:t>
      </w:r>
      <w:r>
        <w:rPr>
          <w:rStyle w:val="NormalTok"/>
        </w:rPr>
        <w:t xml:space="preserve">(gsad.pdboot,function(i)</w:t>
      </w:r>
      <w:r>
        <w:rPr>
          <w:rStyle w:val="KeywordTok"/>
        </w:rPr>
        <w:t xml:space="preserve">plot</w:t>
      </w:r>
      <w:r>
        <w:rPr>
          <w:rStyle w:val="NormalTok"/>
        </w:rPr>
        <w:t xml:space="preserve">(i,  </w:t>
      </w:r>
      <w:r>
        <w:rPr>
          <w:rStyle w:val="DataTypeTok"/>
        </w:rPr>
        <w:t xml:space="preserve">perNode =</w:t>
      </w:r>
      <w:r>
        <w:rPr>
          <w:rStyle w:val="NormalTok"/>
        </w:rPr>
        <w:t xml:space="preserve"> </w:t>
      </w:r>
      <w:r>
        <w:rPr>
          <w:rStyle w:val="OtherTok"/>
        </w:rPr>
        <w:t xml:space="preserve">TRUE</w:t>
      </w:r>
      <w:r>
        <w:rPr>
          <w:rStyle w:val="NormalTok"/>
        </w:rPr>
        <w:t xml:space="preserve">,  </w:t>
      </w:r>
      <w:r>
        <w:rPr>
          <w:rStyle w:val="DataTypeTok"/>
        </w:rPr>
        <w:t xml:space="preserve">legend =</w:t>
      </w:r>
      <w:r>
        <w:rPr>
          <w:rStyle w:val="NormalTok"/>
        </w:rPr>
        <w:t xml:space="preserve"> </w:t>
      </w:r>
      <w:r>
        <w:rPr>
          <w:rStyle w:val="OtherTok"/>
        </w:rPr>
        <w:t xml:space="preserve">TRUE</w:t>
      </w:r>
      <w:r>
        <w:rPr>
          <w:rStyle w:val="NormalTok"/>
        </w:rPr>
        <w:t xml:space="preserve">)</w:t>
      </w:r>
    </w:p>
    <w:p>
      <w:pPr>
        <w:pStyle w:val="FigureWithCaption"/>
      </w:pPr>
      <w:r>
        <w:drawing>
          <wp:inline>
            <wp:extent cx="5334000" cy="5334000"/>
            <wp:effectExtent b="0" l="0" r="0" t="0"/>
            <wp:docPr descr="Person dropping bootstrap of Imputation 1" id="1" name="Picture"/>
            <a:graphic>
              <a:graphicData uri="http://schemas.openxmlformats.org/drawingml/2006/picture">
                <pic:pic>
                  <pic:nvPicPr>
                    <pic:cNvPr descr="Plots/PersonDropping/gsad_pdb1.png" id="0" name="Picture"/>
                    <pic:cNvPicPr>
                      <a:picLocks noChangeArrowheads="1" noChangeAspect="1"/>
                    </pic:cNvPicPr>
                  </pic:nvPicPr>
                  <pic:blipFill>
                    <a:blip r:embed="rId40"/>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Person dropping bootstrap of Imputation 1</w:t>
      </w:r>
    </w:p>
    <w:p>
      <w:pPr>
        <w:pStyle w:val="FigureWithCaption"/>
      </w:pPr>
      <w:r>
        <w:drawing>
          <wp:inline>
            <wp:extent cx="5334000" cy="5334000"/>
            <wp:effectExtent b="0" l="0" r="0" t="0"/>
            <wp:docPr descr="Person dropping bootstrap of Imputation 2" id="1" name="Picture"/>
            <a:graphic>
              <a:graphicData uri="http://schemas.openxmlformats.org/drawingml/2006/picture">
                <pic:pic>
                  <pic:nvPicPr>
                    <pic:cNvPr descr="Plots/PersonDropping/gsad_pdb2.png" id="0" name="Picture"/>
                    <pic:cNvPicPr>
                      <a:picLocks noChangeArrowheads="1" noChangeAspect="1"/>
                    </pic:cNvPicPr>
                  </pic:nvPicPr>
                  <pic:blipFill>
                    <a:blip r:embed="rId41"/>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Person dropping bootstrap of Imputation 2</w:t>
      </w:r>
    </w:p>
    <w:p>
      <w:pPr>
        <w:pStyle w:val="FigureWithCaption"/>
      </w:pPr>
      <w:r>
        <w:drawing>
          <wp:inline>
            <wp:extent cx="5334000" cy="5334000"/>
            <wp:effectExtent b="0" l="0" r="0" t="0"/>
            <wp:docPr descr="Person dropping bootstrap of Imputation 3" id="1" name="Picture"/>
            <a:graphic>
              <a:graphicData uri="http://schemas.openxmlformats.org/drawingml/2006/picture">
                <pic:pic>
                  <pic:nvPicPr>
                    <pic:cNvPr descr="Plots/PersonDropping/gsad_pdb3.png" id="0" name="Picture"/>
                    <pic:cNvPicPr>
                      <a:picLocks noChangeArrowheads="1" noChangeAspect="1"/>
                    </pic:cNvPicPr>
                  </pic:nvPicPr>
                  <pic:blipFill>
                    <a:blip r:embed="rId42"/>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Person dropping bootstrap of Imputation 3</w:t>
      </w:r>
    </w:p>
    <w:p>
      <w:pPr>
        <w:pStyle w:val="FigureWithCaption"/>
      </w:pPr>
      <w:r>
        <w:drawing>
          <wp:inline>
            <wp:extent cx="5334000" cy="5334000"/>
            <wp:effectExtent b="0" l="0" r="0" t="0"/>
            <wp:docPr descr="Person dropping bootstrap of Imputation 4" id="1" name="Picture"/>
            <a:graphic>
              <a:graphicData uri="http://schemas.openxmlformats.org/drawingml/2006/picture">
                <pic:pic>
                  <pic:nvPicPr>
                    <pic:cNvPr descr="Plots/PersonDropping/gsad_pdb4.png" id="0" name="Picture"/>
                    <pic:cNvPicPr>
                      <a:picLocks noChangeArrowheads="1" noChangeAspect="1"/>
                    </pic:cNvPicPr>
                  </pic:nvPicPr>
                  <pic:blipFill>
                    <a:blip r:embed="rId43"/>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Person dropping bootstrap of Imputation 4</w:t>
      </w:r>
    </w:p>
    <w:p>
      <w:pPr>
        <w:pStyle w:val="FigureWithCaption"/>
      </w:pPr>
      <w:r>
        <w:drawing>
          <wp:inline>
            <wp:extent cx="5334000" cy="5334000"/>
            <wp:effectExtent b="0" l="0" r="0" t="0"/>
            <wp:docPr descr="Person dropping bootstrap of Imputation 5" id="1" name="Picture"/>
            <a:graphic>
              <a:graphicData uri="http://schemas.openxmlformats.org/drawingml/2006/picture">
                <pic:pic>
                  <pic:nvPicPr>
                    <pic:cNvPr descr="Plots/PersonDropping/gsad_pdb5.png" id="0" name="Picture"/>
                    <pic:cNvPicPr>
                      <a:picLocks noChangeArrowheads="1" noChangeAspect="1"/>
                    </pic:cNvPicPr>
                  </pic:nvPicPr>
                  <pic:blipFill>
                    <a:blip r:embed="rId44"/>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Person dropping bootstrap of Imputation 5</w:t>
      </w:r>
    </w:p>
    <w:p>
      <w:pPr>
        <w:pStyle w:val="Heading2"/>
      </w:pPr>
      <w:bookmarkStart w:id="45" w:name="obtaining-correlation-stability-coefficients"/>
      <w:bookmarkEnd w:id="45"/>
      <w:r>
        <w:t xml:space="preserve">Obtaining Correlation Stability Coefficients</w:t>
      </w:r>
    </w:p>
    <w:p>
      <w:pPr>
        <w:pStyle w:val="FirstParagraph"/>
      </w:pPr>
      <w:r>
        <w:t xml:space="preserve">We computed CS-coefficients indicating the stability of each centrality index after subsetting cases.</w:t>
      </w:r>
    </w:p>
    <w:p>
      <w:pPr>
        <w:pStyle w:val="SourceCode"/>
      </w:pPr>
      <w:r>
        <w:rPr>
          <w:rStyle w:val="NormalTok"/>
        </w:rPr>
        <w:t xml:space="preserve">gsad.corstability&lt;-</w:t>
      </w:r>
      <w:r>
        <w:rPr>
          <w:rStyle w:val="KeywordTok"/>
        </w:rPr>
        <w:t xml:space="preserve">lapply</w:t>
      </w:r>
      <w:r>
        <w:rPr>
          <w:rStyle w:val="NormalTok"/>
        </w:rPr>
        <w:t xml:space="preserve">(gsad.pdboot,function(i)</w:t>
      </w:r>
      <w:r>
        <w:rPr>
          <w:rStyle w:val="KeywordTok"/>
        </w:rPr>
        <w:t xml:space="preserve">corStability</w:t>
      </w:r>
      <w:r>
        <w:rPr>
          <w:rStyle w:val="NormalTok"/>
        </w:rPr>
        <w:t xml:space="preserve">(i,</w:t>
      </w:r>
      <w:r>
        <w:rPr>
          <w:rStyle w:val="DataTypeTok"/>
        </w:rPr>
        <w:t xml:space="preserve">cor=</w:t>
      </w:r>
      <w:r>
        <w:rPr>
          <w:rStyle w:val="FloatTok"/>
        </w:rPr>
        <w:t xml:space="preserve">0.7</w:t>
      </w:r>
      <w:r>
        <w:rPr>
          <w:rStyle w:val="NormalTok"/>
        </w:rPr>
        <w:t xml:space="preserve">))</w:t>
      </w:r>
    </w:p>
    <w:tbl>
      <w:tblPr>
        <w:tblStyle w:val="TableNormal"/>
        <w:tblW w:type="pct" w:w="0.0"/>
        <w:tblLook w:firstRow="1"/>
      </w:tblPr>
      <w:tblGrid/>
      <w:tr>
        <w:trPr>
          <w:cnfStyle w:firstRow="1"/>
        </w:trPr>
        <w:tc>
          <w:tcPr>
            <w:tcBorders>
              <w:bottom w:val="single"/>
            </w:tcBorders>
            <w:vAlign w:val="bottom"/>
          </w:tcPr>
          <w:p>
            <w:pPr>
              <w:pStyle w:val="Compact"/>
              <w:jc w:val="left"/>
            </w:pPr>
            <w:r>
              <w:t xml:space="preserve">Imputation No.</w:t>
            </w:r>
          </w:p>
        </w:tc>
        <w:tc>
          <w:tcPr>
            <w:tcBorders>
              <w:bottom w:val="single"/>
            </w:tcBorders>
            <w:vAlign w:val="bottom"/>
          </w:tcPr>
          <w:p>
            <w:pPr>
              <w:pStyle w:val="Compact"/>
              <w:jc w:val="left"/>
            </w:pPr>
            <w:r>
              <w:t xml:space="preserve">Betweenness</w:t>
            </w:r>
          </w:p>
        </w:tc>
        <w:tc>
          <w:tcPr>
            <w:tcBorders>
              <w:bottom w:val="single"/>
            </w:tcBorders>
            <w:vAlign w:val="bottom"/>
          </w:tcPr>
          <w:p>
            <w:pPr>
              <w:pStyle w:val="Compact"/>
              <w:jc w:val="left"/>
            </w:pPr>
            <w:r>
              <w:t xml:space="preserve">Closeness</w:t>
            </w:r>
          </w:p>
        </w:tc>
        <w:tc>
          <w:tcPr>
            <w:tcBorders>
              <w:bottom w:val="single"/>
            </w:tcBorders>
            <w:vAlign w:val="bottom"/>
          </w:tcPr>
          <w:p>
            <w:pPr>
              <w:pStyle w:val="Compact"/>
              <w:jc w:val="left"/>
            </w:pPr>
            <w:r>
              <w:t xml:space="preserve">Strength</w:t>
            </w:r>
          </w:p>
        </w:tc>
      </w:tr>
      <w:tr>
        <w:tc>
          <w:p>
            <w:pPr>
              <w:pStyle w:val="Compact"/>
              <w:jc w:val="left"/>
            </w:pPr>
            <w:r>
              <w:t xml:space="preserve">1</w:t>
            </w:r>
          </w:p>
        </w:tc>
        <w:tc>
          <w:p>
            <w:pPr>
              <w:pStyle w:val="Compact"/>
              <w:jc w:val="left"/>
            </w:pPr>
            <w:r>
              <w:t xml:space="preserve">0.28</w:t>
            </w:r>
          </w:p>
        </w:tc>
        <w:tc>
          <w:p>
            <w:pPr>
              <w:pStyle w:val="Compact"/>
              <w:jc w:val="left"/>
            </w:pPr>
            <w:r>
              <w:t xml:space="preserve">0.21</w:t>
            </w:r>
          </w:p>
        </w:tc>
        <w:tc>
          <w:p>
            <w:pPr>
              <w:pStyle w:val="Compact"/>
              <w:jc w:val="left"/>
            </w:pPr>
            <w:r>
              <w:t xml:space="preserve">0.59</w:t>
            </w:r>
          </w:p>
        </w:tc>
      </w:tr>
      <w:tr>
        <w:tc>
          <w:p>
            <w:pPr>
              <w:pStyle w:val="Compact"/>
              <w:jc w:val="left"/>
            </w:pPr>
            <w:r>
              <w:t xml:space="preserve">2</w:t>
            </w:r>
          </w:p>
        </w:tc>
        <w:tc>
          <w:p>
            <w:pPr>
              <w:pStyle w:val="Compact"/>
              <w:jc w:val="left"/>
            </w:pPr>
            <w:r>
              <w:t xml:space="preserve">0.28</w:t>
            </w:r>
          </w:p>
        </w:tc>
        <w:tc>
          <w:p>
            <w:pPr>
              <w:pStyle w:val="Compact"/>
              <w:jc w:val="left"/>
            </w:pPr>
            <w:r>
              <w:t xml:space="preserve">0.28</w:t>
            </w:r>
          </w:p>
        </w:tc>
        <w:tc>
          <w:p>
            <w:pPr>
              <w:pStyle w:val="Compact"/>
              <w:jc w:val="left"/>
            </w:pPr>
            <w:r>
              <w:t xml:space="preserve">0.59</w:t>
            </w:r>
          </w:p>
        </w:tc>
      </w:tr>
      <w:tr>
        <w:tc>
          <w:p>
            <w:pPr>
              <w:pStyle w:val="Compact"/>
              <w:jc w:val="left"/>
            </w:pPr>
            <w:r>
              <w:t xml:space="preserve">3</w:t>
            </w:r>
          </w:p>
        </w:tc>
        <w:tc>
          <w:p>
            <w:pPr>
              <w:pStyle w:val="Compact"/>
              <w:jc w:val="left"/>
            </w:pPr>
            <w:r>
              <w:t xml:space="preserve">0.28</w:t>
            </w:r>
          </w:p>
        </w:tc>
        <w:tc>
          <w:p>
            <w:pPr>
              <w:pStyle w:val="Compact"/>
              <w:jc w:val="left"/>
            </w:pPr>
            <w:r>
              <w:t xml:space="preserve">0.28</w:t>
            </w:r>
          </w:p>
        </w:tc>
        <w:tc>
          <w:p>
            <w:pPr>
              <w:pStyle w:val="Compact"/>
              <w:jc w:val="left"/>
            </w:pPr>
            <w:r>
              <w:t xml:space="preserve">0.59</w:t>
            </w:r>
          </w:p>
        </w:tc>
      </w:tr>
      <w:tr>
        <w:tc>
          <w:p>
            <w:pPr>
              <w:pStyle w:val="Compact"/>
              <w:jc w:val="left"/>
            </w:pPr>
            <w:r>
              <w:t xml:space="preserve">4</w:t>
            </w:r>
          </w:p>
        </w:tc>
        <w:tc>
          <w:p>
            <w:pPr>
              <w:pStyle w:val="Compact"/>
              <w:jc w:val="left"/>
            </w:pPr>
            <w:r>
              <w:t xml:space="preserve">0.28</w:t>
            </w:r>
          </w:p>
        </w:tc>
        <w:tc>
          <w:p>
            <w:pPr>
              <w:pStyle w:val="Compact"/>
              <w:jc w:val="left"/>
            </w:pPr>
            <w:r>
              <w:t xml:space="preserve">0.21</w:t>
            </w:r>
          </w:p>
        </w:tc>
        <w:tc>
          <w:p>
            <w:pPr>
              <w:pStyle w:val="Compact"/>
              <w:jc w:val="left"/>
            </w:pPr>
            <w:r>
              <w:t xml:space="preserve">0.67</w:t>
            </w:r>
          </w:p>
        </w:tc>
      </w:tr>
      <w:tr>
        <w:tc>
          <w:p>
            <w:pPr>
              <w:pStyle w:val="Compact"/>
              <w:jc w:val="left"/>
            </w:pPr>
            <w:r>
              <w:t xml:space="preserve">5</w:t>
            </w:r>
          </w:p>
        </w:tc>
        <w:tc>
          <w:p>
            <w:pPr>
              <w:pStyle w:val="Compact"/>
              <w:jc w:val="left"/>
            </w:pPr>
            <w:r>
              <w:t xml:space="preserve">0.28</w:t>
            </w:r>
          </w:p>
        </w:tc>
        <w:tc>
          <w:p>
            <w:pPr>
              <w:pStyle w:val="Compact"/>
              <w:jc w:val="left"/>
            </w:pPr>
            <w:r>
              <w:t xml:space="preserve">0.28</w:t>
            </w:r>
          </w:p>
        </w:tc>
        <w:tc>
          <w:p>
            <w:pPr>
              <w:pStyle w:val="Compact"/>
              <w:jc w:val="left"/>
            </w:pPr>
            <w:r>
              <w:t xml:space="preserve">0.59</w:t>
            </w:r>
          </w:p>
        </w:tc>
      </w:tr>
    </w:tbl>
    <w:p>
      <w:pPr>
        <w:pStyle w:val="Heading2"/>
      </w:pPr>
      <w:bookmarkStart w:id="46" w:name="edge-weight-bootstrap"/>
      <w:bookmarkEnd w:id="46"/>
      <w:r>
        <w:t xml:space="preserve">Edge Weight Bootstrap</w:t>
      </w:r>
    </w:p>
    <w:p>
      <w:pPr>
        <w:pStyle w:val="SourceCode"/>
      </w:pPr>
      <w:r>
        <w:rPr>
          <w:rStyle w:val="NormalTok"/>
        </w:rPr>
        <w:t xml:space="preserve">gsad.pdboot.nonparametric&lt;-</w:t>
      </w:r>
      <w:r>
        <w:rPr>
          <w:rStyle w:val="KeywordTok"/>
        </w:rPr>
        <w:t xml:space="preserve">lapply</w:t>
      </w:r>
      <w:r>
        <w:rPr>
          <w:rStyle w:val="NormalTok"/>
        </w:rPr>
        <w:t xml:space="preserve">(gsad.rawdatalist,function(i)</w:t>
      </w:r>
      <w:r>
        <w:rPr>
          <w:rStyle w:val="KeywordTok"/>
        </w:rPr>
        <w:t xml:space="preserve">bootnet</w:t>
      </w:r>
      <w:r>
        <w:rPr>
          <w:rStyle w:val="NormalTok"/>
        </w:rPr>
        <w:t xml:space="preserve">(i,</w:t>
      </w:r>
      <w:r>
        <w:rPr>
          <w:rStyle w:val="DataTypeTok"/>
        </w:rPr>
        <w:t xml:space="preserve">default=</w:t>
      </w:r>
      <w:r>
        <w:rPr>
          <w:rStyle w:val="StringTok"/>
        </w:rPr>
        <w:t xml:space="preserve">"EBICglasso"</w:t>
      </w:r>
      <w:r>
        <w:rPr>
          <w:rStyle w:val="NormalTok"/>
        </w:rPr>
        <w:t xml:space="preserve">,</w:t>
      </w:r>
      <w:r>
        <w:rPr>
          <w:rStyle w:val="DataTypeTok"/>
        </w:rPr>
        <w:t xml:space="preserve">nBoot=</w:t>
      </w:r>
      <w:r>
        <w:rPr>
          <w:rStyle w:val="DecValTok"/>
        </w:rPr>
        <w:t xml:space="preserve">1000</w:t>
      </w:r>
      <w:r>
        <w:rPr>
          <w:rStyle w:val="NormalTok"/>
        </w:rPr>
        <w:t xml:space="preserve">,</w:t>
      </w:r>
      <w:r>
        <w:rPr>
          <w:rStyle w:val="DataTypeTok"/>
        </w:rPr>
        <w:t xml:space="preserve">type=</w:t>
      </w:r>
      <w:r>
        <w:rPr>
          <w:rStyle w:val="StringTok"/>
        </w:rPr>
        <w:t xml:space="preserve">"nonparametric"</w:t>
      </w:r>
      <w:r>
        <w:rPr>
          <w:rStyle w:val="NormalTok"/>
        </w:rPr>
        <w:t xml:space="preserve">,</w:t>
      </w:r>
      <w:r>
        <w:rPr>
          <w:rStyle w:val="DataTypeTok"/>
        </w:rPr>
        <w:t xml:space="preserve">nCores=</w:t>
      </w:r>
      <w:r>
        <w:rPr>
          <w:rStyle w:val="DecValTok"/>
        </w:rPr>
        <w:t xml:space="preserve">8</w:t>
      </w:r>
      <w:r>
        <w:rPr>
          <w:rStyle w:val="NormalTok"/>
        </w:rPr>
        <w:t xml:space="preserve">))</w:t>
      </w:r>
    </w:p>
    <w:p>
      <w:pPr>
        <w:pStyle w:val="FirstParagraph"/>
      </w:pPr>
      <w:r>
        <w:t xml:space="preserve">Visualizations of the edge weights. Each point represents the value of an node pair edge and grey lines indicate the bootstrapped confidence interval. Edges are ordered by node (e.g., first point is node1-node2, second point is node1-node3).</w:t>
      </w:r>
    </w:p>
    <w:p>
      <w:pPr>
        <w:pStyle w:val="FigureWithCaption"/>
      </w:pPr>
      <w:r>
        <w:drawing>
          <wp:inline>
            <wp:extent cx="5334000" cy="5334000"/>
            <wp:effectExtent b="0" l="0" r="0" t="0"/>
            <wp:docPr descr="Edge weight bootstrap of Imputation 1" id="1" name="Picture"/>
            <a:graphic>
              <a:graphicData uri="http://schemas.openxmlformats.org/drawingml/2006/picture">
                <pic:pic>
                  <pic:nvPicPr>
                    <pic:cNvPr descr="Plots/EdgeWeight/gsad_ebplot1.png" id="0" name="Picture"/>
                    <pic:cNvPicPr>
                      <a:picLocks noChangeArrowheads="1" noChangeAspect="1"/>
                    </pic:cNvPicPr>
                  </pic:nvPicPr>
                  <pic:blipFill>
                    <a:blip r:embed="rId47"/>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Edge weight bootstrap of Imputation 1</w:t>
      </w:r>
    </w:p>
    <w:p>
      <w:pPr>
        <w:pStyle w:val="FigureWithCaption"/>
      </w:pPr>
      <w:r>
        <w:drawing>
          <wp:inline>
            <wp:extent cx="5334000" cy="5334000"/>
            <wp:effectExtent b="0" l="0" r="0" t="0"/>
            <wp:docPr descr="Edge weight bootstrap of Imputation 2" id="1" name="Picture"/>
            <a:graphic>
              <a:graphicData uri="http://schemas.openxmlformats.org/drawingml/2006/picture">
                <pic:pic>
                  <pic:nvPicPr>
                    <pic:cNvPr descr="Plots/EdgeWeight/gsad_ebplot2.png" id="0" name="Picture"/>
                    <pic:cNvPicPr>
                      <a:picLocks noChangeArrowheads="1" noChangeAspect="1"/>
                    </pic:cNvPicPr>
                  </pic:nvPicPr>
                  <pic:blipFill>
                    <a:blip r:embed="rId48"/>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Edge weight bootstrap of Imputation 2</w:t>
      </w:r>
    </w:p>
    <w:p>
      <w:pPr>
        <w:pStyle w:val="FigureWithCaption"/>
      </w:pPr>
      <w:r>
        <w:drawing>
          <wp:inline>
            <wp:extent cx="5334000" cy="5334000"/>
            <wp:effectExtent b="0" l="0" r="0" t="0"/>
            <wp:docPr descr="Edge weight bootstrap of Imputation 3" id="1" name="Picture"/>
            <a:graphic>
              <a:graphicData uri="http://schemas.openxmlformats.org/drawingml/2006/picture">
                <pic:pic>
                  <pic:nvPicPr>
                    <pic:cNvPr descr="Plots/EdgeWeight/gsad_ebplot3.png" id="0" name="Picture"/>
                    <pic:cNvPicPr>
                      <a:picLocks noChangeArrowheads="1" noChangeAspect="1"/>
                    </pic:cNvPicPr>
                  </pic:nvPicPr>
                  <pic:blipFill>
                    <a:blip r:embed="rId49"/>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Edge weight bootstrap of Imputation 3</w:t>
      </w:r>
    </w:p>
    <w:p>
      <w:pPr>
        <w:pStyle w:val="FigureWithCaption"/>
      </w:pPr>
      <w:r>
        <w:drawing>
          <wp:inline>
            <wp:extent cx="5334000" cy="5334000"/>
            <wp:effectExtent b="0" l="0" r="0" t="0"/>
            <wp:docPr descr="Edge weight bootstrap of Imputation 4" id="1" name="Picture"/>
            <a:graphic>
              <a:graphicData uri="http://schemas.openxmlformats.org/drawingml/2006/picture">
                <pic:pic>
                  <pic:nvPicPr>
                    <pic:cNvPr descr="Plots/EdgeWeight/gsad_ebplot4.png" id="0" name="Picture"/>
                    <pic:cNvPicPr>
                      <a:picLocks noChangeArrowheads="1" noChangeAspect="1"/>
                    </pic:cNvPicPr>
                  </pic:nvPicPr>
                  <pic:blipFill>
                    <a:blip r:embed="rId50"/>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Edge weight bootstrap of Imputation 4</w:t>
      </w:r>
    </w:p>
    <w:p>
      <w:pPr>
        <w:pStyle w:val="FigureWithCaption"/>
      </w:pPr>
      <w:r>
        <w:drawing>
          <wp:inline>
            <wp:extent cx="5334000" cy="5334000"/>
            <wp:effectExtent b="0" l="0" r="0" t="0"/>
            <wp:docPr descr="Edge weight bootstrap of Imputation 5" id="1" name="Picture"/>
            <a:graphic>
              <a:graphicData uri="http://schemas.openxmlformats.org/drawingml/2006/picture">
                <pic:pic>
                  <pic:nvPicPr>
                    <pic:cNvPr descr="Plots/EdgeWeight/gsad_ebplot5.png" id="0" name="Picture"/>
                    <pic:cNvPicPr>
                      <a:picLocks noChangeArrowheads="1" noChangeAspect="1"/>
                    </pic:cNvPicPr>
                  </pic:nvPicPr>
                  <pic:blipFill>
                    <a:blip r:embed="rId51"/>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Edge weight bootstrap of Imputation 5</w:t>
      </w:r>
    </w:p>
    <w:p>
      <w:pPr>
        <w:pStyle w:val="Heading2"/>
      </w:pPr>
      <w:bookmarkStart w:id="52" w:name="difference-tests"/>
      <w:bookmarkEnd w:id="52"/>
      <w:r>
        <w:t xml:space="preserve">Difference Tests</w:t>
      </w:r>
    </w:p>
    <w:p>
      <w:pPr>
        <w:pStyle w:val="FirstParagraph"/>
      </w:pPr>
      <w:r>
        <w:t xml:space="preserve">The difference test plots are calculated based on a new bootstrap of the 5 samples. These show whether nodes differ from each other on each centrality index.</w:t>
      </w:r>
    </w:p>
    <w:p>
      <w:pPr>
        <w:pStyle w:val="SourceCode"/>
      </w:pPr>
      <w:r>
        <w:rPr>
          <w:rStyle w:val="NormalTok"/>
        </w:rPr>
        <w:t xml:space="preserve">gsad.DTlists&lt;-</w:t>
      </w:r>
      <w:r>
        <w:rPr>
          <w:rStyle w:val="KeywordTok"/>
        </w:rPr>
        <w:t xml:space="preserve">lapply</w:t>
      </w:r>
      <w:r>
        <w:rPr>
          <w:rStyle w:val="NormalTok"/>
        </w:rPr>
        <w:t xml:space="preserve">(gsad.rawlist,function(i)</w:t>
      </w:r>
      <w:r>
        <w:rPr>
          <w:rStyle w:val="KeywordTok"/>
        </w:rPr>
        <w:t xml:space="preserve">bootnet</w:t>
      </w:r>
      <w:r>
        <w:rPr>
          <w:rStyle w:val="NormalTok"/>
        </w:rPr>
        <w:t xml:space="preserve">(i,</w:t>
      </w:r>
      <w:r>
        <w:rPr>
          <w:rStyle w:val="DataTypeTok"/>
        </w:rPr>
        <w:t xml:space="preserve">default=</w:t>
      </w:r>
      <w:r>
        <w:rPr>
          <w:rStyle w:val="StringTok"/>
        </w:rPr>
        <w:t xml:space="preserve">"EBICglasso"</w:t>
      </w:r>
      <w:r>
        <w:rPr>
          <w:rStyle w:val="NormalTok"/>
        </w:rPr>
        <w:t xml:space="preserve">, </w:t>
      </w:r>
      <w:r>
        <w:rPr>
          <w:rStyle w:val="DataTypeTok"/>
        </w:rPr>
        <w:t xml:space="preserve">nBoot=</w:t>
      </w:r>
      <w:r>
        <w:rPr>
          <w:rStyle w:val="DecValTok"/>
        </w:rPr>
        <w:t xml:space="preserve">1000</w:t>
      </w:r>
      <w:r>
        <w:rPr>
          <w:rStyle w:val="NormalTok"/>
        </w:rPr>
        <w:t xml:space="preserve">,</w:t>
      </w:r>
      <w:r>
        <w:rPr>
          <w:rStyle w:val="DataTypeTok"/>
        </w:rPr>
        <w:t xml:space="preserve">nCores=</w:t>
      </w:r>
      <w:r>
        <w:rPr>
          <w:rStyle w:val="DecValTok"/>
        </w:rPr>
        <w:t xml:space="preserve">8</w:t>
      </w:r>
      <w:r>
        <w:rPr>
          <w:rStyle w:val="NormalTok"/>
        </w:rPr>
        <w:t xml:space="preserve">)</w:t>
      </w:r>
    </w:p>
    <w:p>
      <w:pPr>
        <w:pStyle w:val="FirstParagraph"/>
      </w:pPr>
      <w:r>
        <w:t xml:space="preserve">Visualizations of difference tests for each of the 3 centrality indices for all 5 imputations. The value of each node's centrality index is presented on the diagonal. Squares in black indicate a significant difference between two nodes.</w:t>
      </w:r>
    </w:p>
    <w:p>
      <w:pPr>
        <w:pStyle w:val="Heading3"/>
      </w:pPr>
      <w:bookmarkStart w:id="53" w:name="closeness"/>
      <w:bookmarkEnd w:id="53"/>
      <w:r>
        <w:t xml:space="preserve">Closeness</w:t>
      </w:r>
    </w:p>
    <w:p>
      <w:pPr>
        <w:pStyle w:val="FigureWithCaption"/>
      </w:pPr>
      <w:r>
        <w:drawing>
          <wp:inline>
            <wp:extent cx="5334000" cy="5334000"/>
            <wp:effectExtent b="0" l="0" r="0" t="0"/>
            <wp:docPr descr="Difference tests bootstrap of Imputation 1" id="1" name="Picture"/>
            <a:graphic>
              <a:graphicData uri="http://schemas.openxmlformats.org/drawingml/2006/picture">
                <pic:pic>
                  <pic:nvPicPr>
                    <pic:cNvPr descr="Plots/DifferenceTest/gsad_dt_cls1.png" id="0" name="Picture"/>
                    <pic:cNvPicPr>
                      <a:picLocks noChangeArrowheads="1" noChangeAspect="1"/>
                    </pic:cNvPicPr>
                  </pic:nvPicPr>
                  <pic:blipFill>
                    <a:blip r:embed="rId54"/>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Difference tests bootstrap of Imputation 1</w:t>
      </w:r>
    </w:p>
    <w:p>
      <w:pPr>
        <w:pStyle w:val="FigureWithCaption"/>
      </w:pPr>
      <w:r>
        <w:drawing>
          <wp:inline>
            <wp:extent cx="5334000" cy="5334000"/>
            <wp:effectExtent b="0" l="0" r="0" t="0"/>
            <wp:docPr descr="Difference tests bootstrap of Imputation 2" id="1" name="Picture"/>
            <a:graphic>
              <a:graphicData uri="http://schemas.openxmlformats.org/drawingml/2006/picture">
                <pic:pic>
                  <pic:nvPicPr>
                    <pic:cNvPr descr="Plots/DifferenceTest/gsad_dt_cls2.png" id="0" name="Picture"/>
                    <pic:cNvPicPr>
                      <a:picLocks noChangeArrowheads="1" noChangeAspect="1"/>
                    </pic:cNvPicPr>
                  </pic:nvPicPr>
                  <pic:blipFill>
                    <a:blip r:embed="rId55"/>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Difference tests bootstrap of Imputation 2</w:t>
      </w:r>
    </w:p>
    <w:p>
      <w:pPr>
        <w:pStyle w:val="FigureWithCaption"/>
      </w:pPr>
      <w:r>
        <w:drawing>
          <wp:inline>
            <wp:extent cx="5334000" cy="5334000"/>
            <wp:effectExtent b="0" l="0" r="0" t="0"/>
            <wp:docPr descr="Difference tests bootstrap of Imputation 3" id="1" name="Picture"/>
            <a:graphic>
              <a:graphicData uri="http://schemas.openxmlformats.org/drawingml/2006/picture">
                <pic:pic>
                  <pic:nvPicPr>
                    <pic:cNvPr descr="Plots/DifferenceTest/gsad_dt_cls3.png" id="0" name="Picture"/>
                    <pic:cNvPicPr>
                      <a:picLocks noChangeArrowheads="1" noChangeAspect="1"/>
                    </pic:cNvPicPr>
                  </pic:nvPicPr>
                  <pic:blipFill>
                    <a:blip r:embed="rId56"/>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Difference tests bootstrap of Imputation 3</w:t>
      </w:r>
    </w:p>
    <w:p>
      <w:pPr>
        <w:pStyle w:val="FigureWithCaption"/>
      </w:pPr>
      <w:r>
        <w:drawing>
          <wp:inline>
            <wp:extent cx="5334000" cy="5334000"/>
            <wp:effectExtent b="0" l="0" r="0" t="0"/>
            <wp:docPr descr="Difference tests bootstrap of Imputation 4" id="1" name="Picture"/>
            <a:graphic>
              <a:graphicData uri="http://schemas.openxmlformats.org/drawingml/2006/picture">
                <pic:pic>
                  <pic:nvPicPr>
                    <pic:cNvPr descr="Plots/DifferenceTest/gsad_dt_cls4.png" id="0" name="Picture"/>
                    <pic:cNvPicPr>
                      <a:picLocks noChangeArrowheads="1" noChangeAspect="1"/>
                    </pic:cNvPicPr>
                  </pic:nvPicPr>
                  <pic:blipFill>
                    <a:blip r:embed="rId57"/>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Difference tests bootstrap of Imputation 4</w:t>
      </w:r>
    </w:p>
    <w:p>
      <w:pPr>
        <w:pStyle w:val="FigureWithCaption"/>
      </w:pPr>
      <w:r>
        <w:drawing>
          <wp:inline>
            <wp:extent cx="5334000" cy="5334000"/>
            <wp:effectExtent b="0" l="0" r="0" t="0"/>
            <wp:docPr descr="Difference tests bootstrap of Imputation 5" id="1" name="Picture"/>
            <a:graphic>
              <a:graphicData uri="http://schemas.openxmlformats.org/drawingml/2006/picture">
                <pic:pic>
                  <pic:nvPicPr>
                    <pic:cNvPr descr="Plots/DifferenceTest/gsad_dt_cls5.png" id="0" name="Picture"/>
                    <pic:cNvPicPr>
                      <a:picLocks noChangeArrowheads="1" noChangeAspect="1"/>
                    </pic:cNvPicPr>
                  </pic:nvPicPr>
                  <pic:blipFill>
                    <a:blip r:embed="rId58"/>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Difference tests bootstrap of Imputation 5</w:t>
      </w:r>
    </w:p>
    <w:p>
      <w:pPr>
        <w:pStyle w:val="Heading3"/>
      </w:pPr>
      <w:bookmarkStart w:id="59" w:name="strength"/>
      <w:bookmarkEnd w:id="59"/>
      <w:r>
        <w:t xml:space="preserve">Strength</w:t>
      </w:r>
    </w:p>
    <w:p>
      <w:pPr>
        <w:pStyle w:val="FigureWithCaption"/>
      </w:pPr>
      <w:r>
        <w:drawing>
          <wp:inline>
            <wp:extent cx="5334000" cy="5334000"/>
            <wp:effectExtent b="0" l="0" r="0" t="0"/>
            <wp:docPr descr="Difference tests bootstrap of Imputation 1" id="1" name="Picture"/>
            <a:graphic>
              <a:graphicData uri="http://schemas.openxmlformats.org/drawingml/2006/picture">
                <pic:pic>
                  <pic:nvPicPr>
                    <pic:cNvPr descr="Plots/DifferenceTest/gsad_dt_str1.png" id="0" name="Picture"/>
                    <pic:cNvPicPr>
                      <a:picLocks noChangeArrowheads="1" noChangeAspect="1"/>
                    </pic:cNvPicPr>
                  </pic:nvPicPr>
                  <pic:blipFill>
                    <a:blip r:embed="rId60"/>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Difference tests bootstrap of Imputation 1</w:t>
      </w:r>
    </w:p>
    <w:p>
      <w:pPr>
        <w:pStyle w:val="FigureWithCaption"/>
      </w:pPr>
      <w:r>
        <w:drawing>
          <wp:inline>
            <wp:extent cx="5334000" cy="5334000"/>
            <wp:effectExtent b="0" l="0" r="0" t="0"/>
            <wp:docPr descr="Difference tests bootstrap of Imputation 2" id="1" name="Picture"/>
            <a:graphic>
              <a:graphicData uri="http://schemas.openxmlformats.org/drawingml/2006/picture">
                <pic:pic>
                  <pic:nvPicPr>
                    <pic:cNvPr descr="Plots/DifferenceTest/gsad_dt_str2.png" id="0" name="Picture"/>
                    <pic:cNvPicPr>
                      <a:picLocks noChangeArrowheads="1" noChangeAspect="1"/>
                    </pic:cNvPicPr>
                  </pic:nvPicPr>
                  <pic:blipFill>
                    <a:blip r:embed="rId61"/>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Difference tests bootstrap of Imputation 2</w:t>
      </w:r>
    </w:p>
    <w:p>
      <w:pPr>
        <w:pStyle w:val="FigureWithCaption"/>
      </w:pPr>
      <w:r>
        <w:drawing>
          <wp:inline>
            <wp:extent cx="5334000" cy="5334000"/>
            <wp:effectExtent b="0" l="0" r="0" t="0"/>
            <wp:docPr descr="Difference tests bootstrap of Imputation 3" id="1" name="Picture"/>
            <a:graphic>
              <a:graphicData uri="http://schemas.openxmlformats.org/drawingml/2006/picture">
                <pic:pic>
                  <pic:nvPicPr>
                    <pic:cNvPr descr="Plots/DifferenceTest/gsad_dt_str3.png" id="0" name="Picture"/>
                    <pic:cNvPicPr>
                      <a:picLocks noChangeArrowheads="1" noChangeAspect="1"/>
                    </pic:cNvPicPr>
                  </pic:nvPicPr>
                  <pic:blipFill>
                    <a:blip r:embed="rId62"/>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Difference tests bootstrap of Imputation 3</w:t>
      </w:r>
    </w:p>
    <w:p>
      <w:pPr>
        <w:pStyle w:val="FigureWithCaption"/>
      </w:pPr>
      <w:r>
        <w:drawing>
          <wp:inline>
            <wp:extent cx="5334000" cy="5334000"/>
            <wp:effectExtent b="0" l="0" r="0" t="0"/>
            <wp:docPr descr="Difference tests bootstrap of Imputation 4" id="1" name="Picture"/>
            <a:graphic>
              <a:graphicData uri="http://schemas.openxmlformats.org/drawingml/2006/picture">
                <pic:pic>
                  <pic:nvPicPr>
                    <pic:cNvPr descr="Plots/DifferenceTest/gsad_dt_str4.png" id="0" name="Picture"/>
                    <pic:cNvPicPr>
                      <a:picLocks noChangeArrowheads="1" noChangeAspect="1"/>
                    </pic:cNvPicPr>
                  </pic:nvPicPr>
                  <pic:blipFill>
                    <a:blip r:embed="rId63"/>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Difference tests bootstrap of Imputation 4</w:t>
      </w:r>
    </w:p>
    <w:p>
      <w:pPr>
        <w:pStyle w:val="FigureWithCaption"/>
      </w:pPr>
      <w:r>
        <w:drawing>
          <wp:inline>
            <wp:extent cx="5334000" cy="5334000"/>
            <wp:effectExtent b="0" l="0" r="0" t="0"/>
            <wp:docPr descr="Difference tests bootstrap of Imputation 5" id="1" name="Picture"/>
            <a:graphic>
              <a:graphicData uri="http://schemas.openxmlformats.org/drawingml/2006/picture">
                <pic:pic>
                  <pic:nvPicPr>
                    <pic:cNvPr descr="Plots/DifferenceTest/gsad_dt_str5.png" id="0" name="Picture"/>
                    <pic:cNvPicPr>
                      <a:picLocks noChangeArrowheads="1" noChangeAspect="1"/>
                    </pic:cNvPicPr>
                  </pic:nvPicPr>
                  <pic:blipFill>
                    <a:blip r:embed="rId64"/>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Difference tests bootstrap of Imputation 5</w:t>
      </w:r>
    </w:p>
    <w:p>
      <w:pPr>
        <w:pStyle w:val="Heading3"/>
      </w:pPr>
      <w:bookmarkStart w:id="65" w:name="betweenness"/>
      <w:bookmarkEnd w:id="65"/>
      <w:r>
        <w:t xml:space="preserve">Betweenness</w:t>
      </w:r>
    </w:p>
    <w:p>
      <w:pPr>
        <w:pStyle w:val="FigureWithCaption"/>
      </w:pPr>
      <w:r>
        <w:drawing>
          <wp:inline>
            <wp:extent cx="5334000" cy="5334000"/>
            <wp:effectExtent b="0" l="0" r="0" t="0"/>
            <wp:docPr descr="Difference tests bootstrap of Imputation 1" id="1" name="Picture"/>
            <a:graphic>
              <a:graphicData uri="http://schemas.openxmlformats.org/drawingml/2006/picture">
                <pic:pic>
                  <pic:nvPicPr>
                    <pic:cNvPr descr="Plots/DifferenceTest/gsad_dt_btwn1.png" id="0" name="Picture"/>
                    <pic:cNvPicPr>
                      <a:picLocks noChangeArrowheads="1" noChangeAspect="1"/>
                    </pic:cNvPicPr>
                  </pic:nvPicPr>
                  <pic:blipFill>
                    <a:blip r:embed="rId66"/>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Difference tests bootstrap of Imputation 1</w:t>
      </w:r>
    </w:p>
    <w:p>
      <w:pPr>
        <w:pStyle w:val="FigureWithCaption"/>
      </w:pPr>
      <w:r>
        <w:drawing>
          <wp:inline>
            <wp:extent cx="5334000" cy="5334000"/>
            <wp:effectExtent b="0" l="0" r="0" t="0"/>
            <wp:docPr descr="Difference tests bootstrap of Imputation 2" id="1" name="Picture"/>
            <a:graphic>
              <a:graphicData uri="http://schemas.openxmlformats.org/drawingml/2006/picture">
                <pic:pic>
                  <pic:nvPicPr>
                    <pic:cNvPr descr="Plots/DifferenceTest/gsad_dt_btwn2.png" id="0" name="Picture"/>
                    <pic:cNvPicPr>
                      <a:picLocks noChangeArrowheads="1" noChangeAspect="1"/>
                    </pic:cNvPicPr>
                  </pic:nvPicPr>
                  <pic:blipFill>
                    <a:blip r:embed="rId67"/>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Difference tests bootstrap of Imputation 2</w:t>
      </w:r>
    </w:p>
    <w:p>
      <w:pPr>
        <w:pStyle w:val="FigureWithCaption"/>
      </w:pPr>
      <w:r>
        <w:drawing>
          <wp:inline>
            <wp:extent cx="5334000" cy="5334000"/>
            <wp:effectExtent b="0" l="0" r="0" t="0"/>
            <wp:docPr descr="Difference tests bootstrap of Imputation 3" id="1" name="Picture"/>
            <a:graphic>
              <a:graphicData uri="http://schemas.openxmlformats.org/drawingml/2006/picture">
                <pic:pic>
                  <pic:nvPicPr>
                    <pic:cNvPr descr="Plots/DifferenceTest/gsad_dt_btwn3.png" id="0" name="Picture"/>
                    <pic:cNvPicPr>
                      <a:picLocks noChangeArrowheads="1" noChangeAspect="1"/>
                    </pic:cNvPicPr>
                  </pic:nvPicPr>
                  <pic:blipFill>
                    <a:blip r:embed="rId68"/>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Difference tests bootstrap of Imputation 3</w:t>
      </w:r>
    </w:p>
    <w:p>
      <w:pPr>
        <w:pStyle w:val="FigureWithCaption"/>
      </w:pPr>
      <w:r>
        <w:drawing>
          <wp:inline>
            <wp:extent cx="5334000" cy="5334000"/>
            <wp:effectExtent b="0" l="0" r="0" t="0"/>
            <wp:docPr descr="Difference tests bootstrap of Imputation 4" id="1" name="Picture"/>
            <a:graphic>
              <a:graphicData uri="http://schemas.openxmlformats.org/drawingml/2006/picture">
                <pic:pic>
                  <pic:nvPicPr>
                    <pic:cNvPr descr="Plots/DifferenceTest/gsad_dt_btwn4.png" id="0" name="Picture"/>
                    <pic:cNvPicPr>
                      <a:picLocks noChangeArrowheads="1" noChangeAspect="1"/>
                    </pic:cNvPicPr>
                  </pic:nvPicPr>
                  <pic:blipFill>
                    <a:blip r:embed="rId69"/>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Difference tests bootstrap of Imputation 4</w:t>
      </w:r>
    </w:p>
    <w:p>
      <w:pPr>
        <w:pStyle w:val="FigureWithCaption"/>
      </w:pPr>
      <w:r>
        <w:drawing>
          <wp:inline>
            <wp:extent cx="5334000" cy="5334000"/>
            <wp:effectExtent b="0" l="0" r="0" t="0"/>
            <wp:docPr descr="Difference tests bootstrap of Imputation 5" id="1" name="Picture"/>
            <a:graphic>
              <a:graphicData uri="http://schemas.openxmlformats.org/drawingml/2006/picture">
                <pic:pic>
                  <pic:nvPicPr>
                    <pic:cNvPr descr="Plots/DifferenceTest/gsad_dt_btwn5.png" id="0" name="Picture"/>
                    <pic:cNvPicPr>
                      <a:picLocks noChangeArrowheads="1" noChangeAspect="1"/>
                    </pic:cNvPicPr>
                  </pic:nvPicPr>
                  <pic:blipFill>
                    <a:blip r:embed="rId70"/>
                    <a:stretch>
                      <a:fillRect/>
                    </a:stretch>
                  </pic:blipFill>
                  <pic:spPr bwMode="auto">
                    <a:xfrm>
                      <a:off x="0" y="0"/>
                      <a:ext cx="5334000" cy="5334000"/>
                    </a:xfrm>
                    <a:prstGeom prst="rect">
                      <a:avLst/>
                    </a:prstGeom>
                    <a:noFill/>
                    <a:ln w="9525">
                      <a:noFill/>
                      <a:headEnd/>
                      <a:tailEnd/>
                    </a:ln>
                  </pic:spPr>
                </pic:pic>
              </a:graphicData>
            </a:graphic>
          </wp:inline>
        </w:drawing>
      </w:r>
    </w:p>
    <w:p>
      <w:pPr>
        <w:pStyle w:val="ImageCaption"/>
      </w:pPr>
      <w:r>
        <w:t xml:space="preserve">Difference tests bootstrap of Imputation 5</w:t>
      </w:r>
    </w:p>
    <w:p>
      <w:pPr>
        <w:pStyle w:val="Heading2"/>
      </w:pPr>
      <w:bookmarkStart w:id="71" w:name="calculating-means-standard-deviation-and-infrequency-of-endorsement"/>
      <w:bookmarkEnd w:id="71"/>
      <w:r>
        <w:t xml:space="preserve">Calculating means, standard deviation and infrequency of endorsement</w:t>
      </w:r>
    </w:p>
    <w:p>
      <w:pPr>
        <w:pStyle w:val="FirstParagraph"/>
      </w:pPr>
      <w:r>
        <w:t xml:space="preserve">To understand the relationship between infrequency of endorsement and centrality indices, we counted the number of times participants endorsed rarely or never had fear or avoidance of each of the 22 situations analysed of the LSAS (48 items). We also calculated the mean and standard deviation of each item.</w:t>
      </w:r>
    </w:p>
    <w:p>
      <w:pPr>
        <w:pStyle w:val="SourceCode"/>
      </w:pPr>
      <w:r>
        <w:rPr>
          <w:rStyle w:val="CommentTok"/>
        </w:rPr>
        <w:t xml:space="preserve">#Example for imputation 1: </w:t>
      </w:r>
      <w:r>
        <w:br w:type="textWrapping"/>
      </w:r>
      <w:r>
        <w:rPr>
          <w:rStyle w:val="NormalTok"/>
        </w:rPr>
        <w:t xml:space="preserve">gsad.counts0s&lt;-</w:t>
      </w:r>
      <w:r>
        <w:rPr>
          <w:rStyle w:val="OtherTok"/>
        </w:rPr>
        <w:t xml:space="preserve">NULL</w:t>
      </w:r>
      <w:r>
        <w:br w:type="textWrapping"/>
      </w:r>
      <w:r>
        <w:rPr>
          <w:rStyle w:val="NormalTok"/>
        </w:rPr>
        <w:t xml:space="preserve">for (i in gsad.rawdatalist)</w:t>
      </w:r>
      <w:r>
        <w:rPr>
          <w:rStyle w:val="ErrorTok"/>
        </w:rPr>
        <w:t xml:space="preserve">)</w:t>
      </w:r>
      <w:r>
        <w:rPr>
          <w:rStyle w:val="NormalTok"/>
        </w:rPr>
        <w:t xml:space="preserve">{</w:t>
      </w:r>
      <w:r>
        <w:br w:type="textWrapping"/>
      </w:r>
      <w:r>
        <w:rPr>
          <w:rStyle w:val="NormalTok"/>
        </w:rPr>
        <w:t xml:space="preserve"> </w:t>
      </w:r>
      <w:r>
        <w:rPr>
          <w:rStyle w:val="NormalTok"/>
        </w:rPr>
        <w:t xml:space="preserve"> </w:t>
      </w:r>
      <w:r>
        <w:rPr>
          <w:rStyle w:val="NormalTok"/>
        </w:rPr>
        <w:t xml:space="preserve">gsad.counts0s[i]&lt;-</w:t>
      </w:r>
      <w:r>
        <w:rPr>
          <w:rStyle w:val="KeywordTok"/>
        </w:rPr>
        <w:t xml:space="preserve">nrow</w:t>
      </w:r>
      <w:r>
        <w:rPr>
          <w:rStyle w:val="NormalTok"/>
        </w:rPr>
        <w:t xml:space="preserve">(gsad.rawdatalist%&gt;%</w:t>
      </w:r>
      <w:r>
        <w:rPr>
          <w:rStyle w:val="KeywordTok"/>
        </w:rPr>
        <w:t xml:space="preserve">select_</w:t>
      </w:r>
      <w:r>
        <w:rPr>
          <w:rStyle w:val="NormalTok"/>
        </w:rPr>
        <w:t xml:space="preserve">(i)%&gt;%</w:t>
      </w:r>
      <w:r>
        <w:rPr>
          <w:rStyle w:val="KeywordTok"/>
        </w:rPr>
        <w:t xml:space="preserve">filter</w:t>
      </w:r>
      <w:r>
        <w:rPr>
          <w:rStyle w:val="NormalTok"/>
        </w:rPr>
        <w:t xml:space="preserve">((.)&lt;</w:t>
      </w:r>
      <w:r>
        <w:rPr>
          <w:rStyle w:val="DecValTok"/>
        </w:rPr>
        <w:t xml:space="preserve">1</w:t>
      </w:r>
      <w:r>
        <w:rPr>
          <w:rStyle w:val="NormalTok"/>
        </w:rPr>
        <w:t xml:space="preserve">))</w:t>
      </w:r>
      <w:r>
        <w:br w:type="textWrapping"/>
      </w:r>
      <w:r>
        <w:rPr>
          <w:rStyle w:val="NormalTok"/>
        </w:rPr>
        <w:t xml:space="preserve"> </w:t>
      </w:r>
      <w:r>
        <w:rPr>
          <w:rStyle w:val="NormalTok"/>
        </w:rPr>
        <w:t xml:space="preserve"> </w:t>
      </w:r>
      <w:r>
        <w:br w:type="textWrapping"/>
      </w:r>
      <w:r>
        <w:rPr>
          <w:rStyle w:val="NormalTok"/>
        </w:rPr>
        <w:t xml:space="preserve">}</w:t>
      </w:r>
      <w:r>
        <w:br w:type="textWrapping"/>
      </w:r>
      <w:r>
        <w:br w:type="textWrapping"/>
      </w:r>
      <w:r>
        <w:rPr>
          <w:rStyle w:val="NormalTok"/>
        </w:rPr>
        <w:t xml:space="preserve">gsad.sd&lt;-</w:t>
      </w:r>
      <w:r>
        <w:rPr>
          <w:rStyle w:val="KeywordTok"/>
        </w:rPr>
        <w:t xml:space="preserve">lapply</w:t>
      </w:r>
      <w:r>
        <w:rPr>
          <w:rStyle w:val="NormalTok"/>
        </w:rPr>
        <w:t xml:space="preserve">(gsadrawdatalist,sd)</w:t>
      </w:r>
      <w:r>
        <w:br w:type="textWrapping"/>
      </w:r>
      <w:r>
        <w:rPr>
          <w:rStyle w:val="NormalTok"/>
        </w:rPr>
        <w:t xml:space="preserve">gsad.mean&lt;-</w:t>
      </w:r>
      <w:r>
        <w:rPr>
          <w:rStyle w:val="KeywordTok"/>
        </w:rPr>
        <w:t xml:space="preserve">lapply</w:t>
      </w:r>
      <w:r>
        <w:rPr>
          <w:rStyle w:val="NormalTok"/>
        </w:rPr>
        <w:t xml:space="preserve">(gsadrawdatalist,mean)</w:t>
      </w:r>
    </w:p>
    <w:p>
      <w:pPr>
        <w:pStyle w:val="Heading1"/>
      </w:pPr>
      <w:bookmarkStart w:id="72" w:name="follow-up-analyses"/>
      <w:bookmarkEnd w:id="72"/>
      <w:r>
        <w:t xml:space="preserve">Follow-Up Analyses</w:t>
      </w:r>
    </w:p>
    <w:p>
      <w:pPr>
        <w:pStyle w:val="FirstParagraph"/>
      </w:pPr>
      <w:r>
        <w:t xml:space="preserve">In addition to analyzing the gaussian graphical models (ggm) of the 22-item data for participants with generalized social anxiety disorder(GSAD), we also investigated a 22-item Ising model for the same participants, a 22-item ggm for all participants including those without GSAD, and a 22-item ggm for a seperate data set of pretreatment participants. For each of these data sets, we used the same procedures as described above.</w:t>
      </w:r>
    </w:p>
    <w:p>
      <w:pPr>
        <w:pStyle w:val="BodyText"/>
      </w:pPr>
      <w:r>
        <w:t xml:space="preserve">Visualizations, adjacency matrices, and correlation matrices can be found in relevant folders. Files with the prefix</w:t>
      </w:r>
      <w:r>
        <w:t xml:space="preserve"> </w:t>
      </w:r>
      <w:r>
        <w:rPr>
          <w:b/>
        </w:rPr>
        <w:t xml:space="preserve">ALL</w:t>
      </w:r>
      <w:r>
        <w:t xml:space="preserve"> </w:t>
      </w:r>
      <w:r>
        <w:t xml:space="preserve">refer to the datasets with all participants,</w:t>
      </w:r>
      <w:r>
        <w:t xml:space="preserve"> </w:t>
      </w:r>
      <w:r>
        <w:rPr>
          <w:b/>
        </w:rPr>
        <w:t xml:space="preserve">PRE</w:t>
      </w:r>
      <w:r>
        <w:t xml:space="preserve"> </w:t>
      </w:r>
      <w:r>
        <w:t xml:space="preserve">refers to pretreatment participants, and the prefix</w:t>
      </w:r>
      <w:r>
        <w:t xml:space="preserve"> </w:t>
      </w:r>
      <w:r>
        <w:rPr>
          <w:b/>
        </w:rPr>
        <w:t xml:space="preserve">GSAD_ising</w:t>
      </w:r>
      <w:r>
        <w:t xml:space="preserve"> </w:t>
      </w:r>
      <w:r>
        <w:t xml:space="preserve">refer to ising model results. For analyses with anxiety and avoidance items seperated, see files with the prefixes</w:t>
      </w:r>
      <w:r>
        <w:t xml:space="preserve"> </w:t>
      </w:r>
      <w:r>
        <w:rPr>
          <w:b/>
        </w:rPr>
        <w:t xml:space="preserve">ANXIETY</w:t>
      </w:r>
      <w:r>
        <w:t xml:space="preserve"> </w:t>
      </w:r>
      <w:r>
        <w:t xml:space="preserve">and</w:t>
      </w:r>
      <w:r>
        <w:t xml:space="preserve"> </w:t>
      </w:r>
      <w:r>
        <w:rPr>
          <w:b/>
        </w:rPr>
        <w:t xml:space="preserve">AVOIDANCE</w:t>
      </w:r>
      <w:r>
        <w:t xml:space="preserve"> </w:t>
      </w:r>
      <w:r>
        <w:t xml:space="preserve">respectively.</w:t>
      </w:r>
    </w:p>
    <w:p>
      <w:pPr>
        <w:pStyle w:val="BodyText"/>
      </w:pPr>
      <w:r>
        <w:t xml:space="preserve">Additional output available upon request.</w:t>
      </w:r>
    </w:p>
    <w:sectPr/>
  </w:body>
</w:document>
</file>

<file path=word/fontTable.xml><?xml version="1.0" encoding="utf-8"?>
<w:fonts xmlns:r="http://schemas.openxmlformats.org/officeDocument/2006/relationships" xmlns:w="http://schemas.openxmlformats.org/wordprocessingml/2006/main">
  <w:font w:name="Symbol">
    <w:panose1 w:val="020005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Cambria">
    <w:panose1 w:val="0204050305040603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numbering.xml><?xml version="1.0" encoding="utf-8"?>
<w:numbering xmlns:w="http://schemas.openxmlformats.org/wordprocessingml/2006/main">
  <w:abstractNum w:abstractNumId="0">
    <w:nsid w:val="e17f69ba"/>
    <w:multiLevelType w:val="multilevel"/>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abstractNum>
  <w:abstractNum w:abstractNumId="990">
    <w:nsid w:val="97f69bed"/>
    <w:multiLevelType w:val="multilevel"/>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abstractNum>
  <w:num w:numId="1">
    <w:abstractNumId w:val="0"/>
  </w:num>
  <w:num w:numId="1000">
    <w:abstractNumId w:val="99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proofState w:spelling="clean" w:grammar="clean"/>
  <w:stylePaneFormatFilter w:val="0004"/>
  <w:footnotePr>
    <w:footnote w:id="-1"/>
    <w:footnote w:id="0"/>
  </w:footnotePr>
  <w:doNotTrackMoves/>
  <w:defaultTabStop w:val="720"/>
  <w:drawingGridHorizontalSpacing w:val="360"/>
  <w:drawingGridVerticalSpacing w:val="360"/>
  <w:displayHorizontalDrawingGridEvery w:val="0"/>
  <w:displayVerticalDrawingGridEvery w:val="0"/>
  <w:characterSpacingControl w:val="doNotCompress"/>
  <w:savePreviewPicture/>
  <w:rsids>
    <w:rsidRoot w:val="00590D07"/>
    <w:rsid w:val="00011C8B"/>
    <w:rsid w:val="004E29B3"/>
    <w:rsid w:val="00590D07"/>
    <w:rsid w:val="00784D58"/>
    <w:rsid w:val="008D6863"/>
    <w:rsid w:val="00B86B75"/>
    <w:rsid w:val="00BC48D5"/>
    <w:rsid w:val="00C36279"/>
    <w:rsid w:val="00E315A3"/>
  </w:rsids>
  <m:mathPr>
    <m:mathFont m:val="Lucida Grande"/>
    <m:brkBin m:val="before"/>
    <m:brkBinSub m:val="--"/>
    <m:smallFrac m:val="false"/>
    <m:dispDef m:val="false"/>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76"/>
  <w:style w:type="paragraph" w:default="1" w:styleId="Normal">
    <w:name w:val="Normal"/>
    <w:qFormat/>
  </w:style>
  <w:style w:type="paragraph" w:styleId="BodyText">
    <w:name w:val="Body Text"/>
    <w:basedOn w:val="Normal"/>
    <w:link w:val="BodyTextChar"/>
    <w:pPr>
      <w:spacing w:before="180" w:after="180"/>
    </w:pPr>
    <w:qFormat/>
  </w:style>
  <w:style w:type="paragraph" w:customStyle="1" w:styleId="FirstParagraph">
    <w:name w:val="First Paragraph"/>
    <w:basedOn w:val="BodyText"/>
    <w:next w:val="BodyText"/>
    <w:qFormat/>
  </w:style>
  <w:style w:type="paragraph" w:customStyle="1" w:styleId="Compact">
    <w:name w:val="Compact"/>
    <w:basedOn w:val="BodyText"/>
    <w:qFormat/>
    <w:pPr>
      <w:spacing w:before="36" w:after="36"/>
    </w:pPr>
  </w:style>
  <w:style w:type="paragraph" w:styleId="Title">
    <w:name w:val="Title"/>
    <w:basedOn w:val="Normal"/>
    <w:next w:val="BodyText"/>
    <w:qFormat/>
    <w:pPr>
      <w:keepNext/>
      <w:keepLines/>
      <w:spacing w:before="480" w:after="240"/>
      <w:jc w:val="center"/>
    </w:pPr>
    <w:rPr>
      <w:rFonts w:asciiTheme="majorHAnsi" w:eastAsiaTheme="majorEastAsia" w:hAnsiTheme="majorHAnsi" w:cstheme="majorBidi"/>
      <w:b/>
      <w:bCs/>
      <w:color w:val="345A8A" w:themeColor="accent1" w:themeShade="B5"/>
      <w:sz w:val="36"/>
      <w:szCs w:val="36"/>
    </w:rPr>
  </w:style>
  <w:style w:type="paragraph" w:styleId="Subtitle">
    <w:name w:val="Subtitle"/>
    <w:basedOn w:val="Title"/>
    <w:next w:val="BodyText"/>
    <w:qFormat/>
    <w:pPr>
      <w:keepNext/>
      <w:keepLines/>
      <w:spacing w:before="240" w:after="240"/>
      <w:jc w:val="center"/>
    </w:pPr>
    <w:rPr>
      <w:sz w:val="30"/>
      <w:szCs w:val="30"/>
    </w:rPr>
  </w:style>
  <w:style w:type="paragraph" w:customStyle="1" w:styleId="Author">
    <w:name w:val="Author"/>
    <w:next w:val="BodyText"/>
    <w:qFormat/>
    <w:pPr>
      <w:keepNext/>
      <w:keepLines/>
      <w:jc w:val="center"/>
    </w:pPr>
  </w:style>
  <w:style w:type="paragraph" w:styleId="Date">
    <w:name w:val="Date"/>
    <w:next w:val="BodyText"/>
    <w:qFormat/>
    <w:pPr>
      <w:keepNext/>
      <w:keepLines/>
      <w:jc w:val="center"/>
    </w:pPr>
  </w:style>
  <w:style w:type="paragraph" w:customStyle="1" w:styleId="Abstract">
    <w:name w:val="Abstract"/>
    <w:basedOn w:val="Normal"/>
    <w:next w:val="BodyText"/>
    <w:qFormat/>
    <w:pPr>
      <w:keepNext/>
      <w:keepLines/>
      <w:spacing w:before="300" w:after="300"/>
    </w:pPr>
    <w:rPr>
      <w:sz w:val="20"/>
      <w:szCs w:val="20"/>
    </w:rPr>
  </w:style>
  <w:style w:type="paragraph" w:styleId="Bibliography">
    <w:name w:val="Bibliography"/>
    <w:basedOn w:val="Normal"/>
    <w:next w:val="Bibliography"/>
    <w:qFormat/>
    <w:pPr/>
    <w:rPr/>
  </w:style>
  <w:style w:type="paragraph" w:styleId="Heading1">
    <w:name w:val="Heading 1"/>
    <w:basedOn w:val="Normal"/>
    <w:next w:val="BodyText"/>
    <w:uiPriority w:val="9"/>
    <w:qFormat/>
    <w:pPr>
      <w:keepNext/>
      <w:keepLines/>
      <w:spacing w:before="480" w:after="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BodyText"/>
    <w:uiPriority w:val="9"/>
    <w:unhideWhenUsed/>
    <w:qFormat/>
    <w:pPr>
      <w:keepNext/>
      <w:keepLines/>
      <w:spacing w:before="200" w:after="0"/>
      <w:outlineLvl w:val="1"/>
    </w:pPr>
    <w:rPr>
      <w:rFonts w:asciiTheme="majorHAnsi" w:eastAsiaTheme="majorEastAsia" w:hAnsiTheme="majorHAnsi" w:cstheme="majorBidi"/>
      <w:b/>
      <w:bCs/>
      <w:color w:val="4F81BD" w:themeColor="accent1"/>
      <w:sz w:val="32"/>
      <w:szCs w:val="32"/>
    </w:rPr>
  </w:style>
  <w:style w:type="paragraph" w:styleId="Heading3">
    <w:name w:val="Heading 3"/>
    <w:basedOn w:val="Normal"/>
    <w:next w:val="BodyText"/>
    <w:uiPriority w:val="9"/>
    <w:unhideWhenUsed/>
    <w:qFormat/>
    <w:pPr>
      <w:keepNext/>
      <w:keepLines/>
      <w:spacing w:before="200" w:after="0"/>
      <w:outlineLvl w:val="2"/>
    </w:pPr>
    <w:rPr>
      <w:rFonts w:asciiTheme="majorHAnsi" w:eastAsiaTheme="majorEastAsia" w:hAnsiTheme="majorHAnsi" w:cstheme="majorBidi"/>
      <w:b/>
      <w:bCs/>
      <w:color w:val="4F81BD" w:themeColor="accent1"/>
      <w:sz w:val="28"/>
      <w:szCs w:val="28"/>
    </w:rPr>
  </w:style>
  <w:style w:type="paragraph" w:styleId="Heading4">
    <w:name w:val="Heading 4"/>
    <w:basedOn w:val="Normal"/>
    <w:next w:val="BodyText"/>
    <w:uiPriority w:val="9"/>
    <w:unhideWhenUsed/>
    <w:qFormat/>
    <w:pPr>
      <w:keepNext/>
      <w:keepLines/>
      <w:spacing w:before="200" w:after="0"/>
      <w:outlineLvl w:val="3"/>
    </w:pPr>
    <w:rPr>
      <w:rFonts w:asciiTheme="majorHAnsi" w:eastAsiaTheme="majorEastAsia" w:hAnsiTheme="majorHAnsi" w:cstheme="majorBidi"/>
      <w:b/>
      <w:bCs/>
      <w:color w:val="4F81BD" w:themeColor="accent1"/>
      <w:sz w:val="24"/>
      <w:szCs w:val="24"/>
    </w:rPr>
  </w:style>
  <w:style w:type="paragraph" w:styleId="Heading5">
    <w:name w:val="Heading 5"/>
    <w:basedOn w:val="Normal"/>
    <w:next w:val="BodyText"/>
    <w:uiPriority w:val="9"/>
    <w:unhideWhenUsed/>
    <w:qFormat/>
    <w:pPr>
      <w:keepNext/>
      <w:keepLines/>
      <w:spacing w:before="200" w:after="0"/>
      <w:outlineLvl w:val="4"/>
    </w:pPr>
    <w:rPr>
      <w:rFonts w:asciiTheme="majorHAnsi" w:eastAsiaTheme="majorEastAsia" w:hAnsiTheme="majorHAnsi" w:cstheme="majorBidi"/>
      <w:i/>
      <w:iCs/>
      <w:color w:val="4F81BD" w:themeColor="accent1"/>
      <w:sz w:val="24"/>
      <w:szCs w:val="24"/>
    </w:rPr>
  </w:style>
  <w:style w:type="paragraph" w:styleId="Heading6">
    <w:name w:val="Heading 6"/>
    <w:basedOn w:val="Normal"/>
    <w:next w:val="BodyText"/>
    <w:uiPriority w:val="9"/>
    <w:unhideWhenUsed/>
    <w:qFormat/>
    <w:pPr>
      <w:keepNext/>
      <w:keepLines/>
      <w:spacing w:before="200" w:after="0"/>
      <w:outlineLvl w:val="5"/>
    </w:pPr>
    <w:rPr>
      <w:rFonts w:asciiTheme="majorHAnsi" w:eastAsiaTheme="majorEastAsia" w:hAnsiTheme="majorHAnsi" w:cstheme="majorBidi"/>
      <w:color w:val="4F81BD" w:themeColor="accent1"/>
      <w:sz w:val="24"/>
      <w:szCs w:val="24"/>
    </w:rPr>
  </w:style>
  <w:style w:type="paragraph" w:styleId="BlockText">
    <w:name w:val="Block Text"/>
    <w:basedOn w:val="BodyText"/>
    <w:next w:val="BodyText"/>
    <w:uiPriority w:val="9"/>
    <w:unhideWhenUsed/>
    <w:qFormat/>
    <w:pPr>
      <w:spacing w:before="100" w:after="100"/>
      <w:ind w:firstLine="0"/>
    </w:pPr>
    <w:rPr>
      <w:rFonts w:asciiTheme="majorHAnsi" w:eastAsiaTheme="majorEastAsia" w:hAnsiTheme="majorHAnsi" w:cstheme="majorBidi"/>
      <w:bCs/>
      <w:sz w:val="20"/>
      <w:szCs w:val="20"/>
    </w:rPr>
  </w:style>
  <w:style w:type="paragraph" w:styleId="FootnoteText">
    <w:name w:val="Footnote Text"/>
    <w:basedOn w:val="Normal"/>
    <w:next w:val="FootnoteText"/>
    <w:uiPriority w:val="9"/>
    <w:unhideWhenUsed/>
    <w:qFormat/>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paragraph" w:customStyle="1" w:styleId="DefinitionTerm">
    <w:name w:val="Definition Term"/>
    <w:basedOn w:val="Normal"/>
    <w:next w:val="Definition"/>
    <w:pPr>
      <w:keepNext/>
      <w:keepLines/>
      <w:spacing w:after="0"/>
    </w:pPr>
    <w:rPr>
      <w:b/>
    </w:rPr>
  </w:style>
  <w:style w:type="paragraph" w:customStyle="1" w:styleId="Definition">
    <w:name w:val="Definition"/>
    <w:basedOn w:val="Normal"/>
  </w:style>
  <w:style w:type="paragraph" w:styleId="Caption">
    <w:name w:val="Caption"/>
    <w:basedOn w:val="Normal"/>
    <w:link w:val="BodyTextChar"/>
    <w:pPr>
      <w:spacing w:before="0" w:after="120"/>
    </w:pPr>
    <w:rPr>
      <w:i/>
    </w:rPr>
  </w:style>
  <w:style w:type="paragraph" w:customStyle="1" w:styleId="TableCaption">
    <w:name w:val="Table Caption"/>
    <w:basedOn w:val="Caption"/>
    <w:pPr>
      <w:keepNext/>
    </w:pPr>
  </w:style>
  <w:style w:type="paragraph" w:customStyle="1" w:styleId="ImageCaption">
    <w:name w:val="Image Caption"/>
    <w:basedOn w:val="Caption"/>
  </w:style>
  <w:style w:type="paragraph" w:customStyle="1" w:styleId="Figure">
    <w:name w:val="Figure"/>
    <w:basedOn w:val="Normal"/>
  </w:style>
  <w:style w:type="paragraph" w:customStyle="1" w:styleId="FigureWithCaption">
    <w:name w:val="Figure with Caption"/>
    <w:basedOn w:val="Figure"/>
    <w:pPr>
      <w:keepNext/>
    </w:pPr>
  </w:style>
  <w:style w:type="character" w:customStyle="1" w:styleId="BodyTextChar">
    <w:name w:val="Body Text Char"/>
    <w:basedOn w:val="DefaultParagraphFont"/>
    <w:link w:val="BodyText"/>
  </w:style>
  <w:style w:type="character" w:customStyle="1" w:styleId="VerbatimChar">
    <w:name w:val="Verbatim Char"/>
    <w:basedOn w:val="BodyTextChar"/>
    <w:rPr>
      <w:rFonts w:ascii="Consolas" w:hAnsi="Consolas"/>
      <w:sz w:val="22"/>
    </w:rPr>
  </w:style>
  <w:style w:type="character" w:styleId="FootnoteReference">
    <w:name w:val="Footnote Reference"/>
    <w:basedOn w:val="BodyTextChar"/>
    <w:rPr>
      <w:vertAlign w:val="superscript"/>
    </w:rPr>
  </w:style>
  <w:style w:type="character" w:styleId="Hyperlink">
    <w:name w:val="Hyperlink"/>
    <w:basedOn w:val="BodyTextChar"/>
    <w:rPr>
      <w:color w:val="4F81BD" w:themeColor="accent1"/>
    </w:rPr>
  </w:style>
  <w:style w:type="paragraph" w:styleId="TOCHeading">
    <w:name w:val="TOC Heading"/>
    <w:basedOn w:val="Heading1"/>
    <w:next w:val="BodyText"/>
    <w:uiPriority w:val="39"/>
    <w:unhideWhenUsed/>
    <w:qFormat/>
    <w:pPr>
      <w:spacing w:before="240" w:line="259" w:lineRule="auto"/>
      <w:outlineLvl w:val="9"/>
    </w:pPr>
    <w:rPr>
      <w:rFonts w:asciiTheme="majorHAnsi" w:eastAsiaTheme="majorEastAsia" w:hAnsiTheme="majorHAnsi" w:cstheme="majorBidi"/>
      <w:b w:val="0"/>
      <w:bCs w:val="0"/>
      <w:color w:val="365F91" w:themeColor="accent1" w:themeShade="BF"/>
    </w:rPr>
  </w:style>
  <w:style w:type="paragraph" w:customStyle="1" w:styleId="SourceCode">
    <w:name w:val="Source Code"/>
    <w:basedOn w:val="Normal"/>
    <w:link w:val="VerbatimChar"/>
    <w:pPr>
      <w:wordWrap w:val="off"/>
      <w:shd w:val="clear" w:fill="f8f8f8"/>
    </w:pPr>
  </w:style>
  <w:style w:type="character" w:customStyle="1" w:styleId="KeywordTok">
    <w:name w:val="KeywordTok"/>
    <w:basedOn w:val="VerbatimChar"/>
    <w:rPr>
      <w:color w:val="204a87"/>
      <w:shd w:val="clear" w:fill="f8f8f8"/>
      <w:b/>
    </w:rPr>
  </w:style>
  <w:style w:type="character" w:customStyle="1" w:styleId="DataTypeTok">
    <w:name w:val="DataTypeTok"/>
    <w:basedOn w:val="VerbatimChar"/>
    <w:rPr>
      <w:color w:val="204a87"/>
      <w:shd w:val="clear" w:fill="f8f8f8"/>
    </w:rPr>
  </w:style>
  <w:style w:type="character" w:customStyle="1" w:styleId="DecValTok">
    <w:name w:val="DecValTok"/>
    <w:basedOn w:val="VerbatimChar"/>
    <w:rPr>
      <w:color w:val="0000cf"/>
      <w:shd w:val="clear" w:fill="f8f8f8"/>
    </w:rPr>
  </w:style>
  <w:style w:type="character" w:customStyle="1" w:styleId="BaseNTok">
    <w:name w:val="BaseNTok"/>
    <w:basedOn w:val="VerbatimChar"/>
    <w:rPr>
      <w:color w:val="0000cf"/>
      <w:shd w:val="clear" w:fill="f8f8f8"/>
    </w:rPr>
  </w:style>
  <w:style w:type="character" w:customStyle="1" w:styleId="FloatTok">
    <w:name w:val="FloatTok"/>
    <w:basedOn w:val="VerbatimChar"/>
    <w:rPr>
      <w:color w:val="0000cf"/>
      <w:shd w:val="clear" w:fill="f8f8f8"/>
    </w:rPr>
  </w:style>
  <w:style w:type="character" w:customStyle="1" w:styleId="ConstantTok">
    <w:name w:val="ConstantTok"/>
    <w:basedOn w:val="VerbatimChar"/>
    <w:rPr>
      <w:color w:val="000000"/>
      <w:shd w:val="clear" w:fill="f8f8f8"/>
    </w:rPr>
  </w:style>
  <w:style w:type="character" w:customStyle="1" w:styleId="CharTok">
    <w:name w:val="CharTok"/>
    <w:basedOn w:val="VerbatimChar"/>
    <w:rPr>
      <w:color w:val="4e9a06"/>
      <w:shd w:val="clear" w:fill="f8f8f8"/>
    </w:rPr>
  </w:style>
  <w:style w:type="character" w:customStyle="1" w:styleId="SpecialCharTok">
    <w:name w:val="SpecialCharTok"/>
    <w:basedOn w:val="VerbatimChar"/>
    <w:rPr>
      <w:color w:val="000000"/>
      <w:shd w:val="clear" w:fill="f8f8f8"/>
    </w:rPr>
  </w:style>
  <w:style w:type="character" w:customStyle="1" w:styleId="StringTok">
    <w:name w:val="StringTok"/>
    <w:basedOn w:val="VerbatimChar"/>
    <w:rPr>
      <w:color w:val="4e9a06"/>
      <w:shd w:val="clear" w:fill="f8f8f8"/>
    </w:rPr>
  </w:style>
  <w:style w:type="character" w:customStyle="1" w:styleId="VerbatimStringTok">
    <w:name w:val="VerbatimStringTok"/>
    <w:basedOn w:val="VerbatimChar"/>
    <w:rPr>
      <w:color w:val="4e9a06"/>
      <w:shd w:val="clear" w:fill="f8f8f8"/>
    </w:rPr>
  </w:style>
  <w:style w:type="character" w:customStyle="1" w:styleId="SpecialStringTok">
    <w:name w:val="SpecialStringTok"/>
    <w:basedOn w:val="VerbatimChar"/>
    <w:rPr>
      <w:color w:val="4e9a06"/>
      <w:shd w:val="clear" w:fill="f8f8f8"/>
    </w:rPr>
  </w:style>
  <w:style w:type="character" w:customStyle="1" w:styleId="ImportTok">
    <w:name w:val="ImportTok"/>
    <w:basedOn w:val="VerbatimChar"/>
    <w:rPr>
      <w:shd w:val="clear" w:fill="f8f8f8"/>
    </w:rPr>
  </w:style>
  <w:style w:type="character" w:customStyle="1" w:styleId="CommentTok">
    <w:name w:val="CommentTok"/>
    <w:basedOn w:val="VerbatimChar"/>
    <w:rPr>
      <w:color w:val="8f5902"/>
      <w:shd w:val="clear" w:fill="f8f8f8"/>
      <w:i/>
    </w:rPr>
  </w:style>
  <w:style w:type="character" w:customStyle="1" w:styleId="DocumentationTok">
    <w:name w:val="DocumentationTok"/>
    <w:basedOn w:val="VerbatimChar"/>
    <w:rPr>
      <w:color w:val="8f5902"/>
      <w:shd w:val="clear" w:fill="f8f8f8"/>
      <w:b/>
      <w:i/>
    </w:rPr>
  </w:style>
  <w:style w:type="character" w:customStyle="1" w:styleId="AnnotationTok">
    <w:name w:val="AnnotationTok"/>
    <w:basedOn w:val="VerbatimChar"/>
    <w:rPr>
      <w:color w:val="8f5902"/>
      <w:shd w:val="clear" w:fill="f8f8f8"/>
      <w:b/>
      <w:i/>
    </w:rPr>
  </w:style>
  <w:style w:type="character" w:customStyle="1" w:styleId="CommentVarTok">
    <w:name w:val="CommentVarTok"/>
    <w:basedOn w:val="VerbatimChar"/>
    <w:rPr>
      <w:color w:val="8f5902"/>
      <w:shd w:val="clear" w:fill="f8f8f8"/>
      <w:b/>
      <w:i/>
    </w:rPr>
  </w:style>
  <w:style w:type="character" w:customStyle="1" w:styleId="OtherTok">
    <w:name w:val="OtherTok"/>
    <w:basedOn w:val="VerbatimChar"/>
    <w:rPr>
      <w:color w:val="8f5902"/>
      <w:shd w:val="clear" w:fill="f8f8f8"/>
    </w:rPr>
  </w:style>
  <w:style w:type="character" w:customStyle="1" w:styleId="FunctionTok">
    <w:name w:val="FunctionTok"/>
    <w:basedOn w:val="VerbatimChar"/>
    <w:rPr>
      <w:color w:val="000000"/>
      <w:shd w:val="clear" w:fill="f8f8f8"/>
    </w:rPr>
  </w:style>
  <w:style w:type="character" w:customStyle="1" w:styleId="VariableTok">
    <w:name w:val="VariableTok"/>
    <w:basedOn w:val="VerbatimChar"/>
    <w:rPr>
      <w:color w:val="000000"/>
      <w:shd w:val="clear" w:fill="f8f8f8"/>
    </w:rPr>
  </w:style>
  <w:style w:type="character" w:customStyle="1" w:styleId="ControlFlowTok">
    <w:name w:val="ControlFlowTok"/>
    <w:basedOn w:val="VerbatimChar"/>
    <w:rPr>
      <w:color w:val="204a87"/>
      <w:shd w:val="clear" w:fill="f8f8f8"/>
      <w:b/>
    </w:rPr>
  </w:style>
  <w:style w:type="character" w:customStyle="1" w:styleId="OperatorTok">
    <w:name w:val="OperatorTok"/>
    <w:basedOn w:val="VerbatimChar"/>
    <w:rPr>
      <w:color w:val="ce5c00"/>
      <w:shd w:val="clear" w:fill="f8f8f8"/>
      <w:b/>
    </w:rPr>
  </w:style>
  <w:style w:type="character" w:customStyle="1" w:styleId="BuiltInTok">
    <w:name w:val="BuiltInTok"/>
    <w:basedOn w:val="VerbatimChar"/>
    <w:rPr>
      <w:shd w:val="clear" w:fill="f8f8f8"/>
    </w:rPr>
  </w:style>
  <w:style w:type="character" w:customStyle="1" w:styleId="ExtensionTok">
    <w:name w:val="ExtensionTok"/>
    <w:basedOn w:val="VerbatimChar"/>
    <w:rPr>
      <w:shd w:val="clear" w:fill="f8f8f8"/>
    </w:rPr>
  </w:style>
  <w:style w:type="character" w:customStyle="1" w:styleId="PreprocessorTok">
    <w:name w:val="PreprocessorTok"/>
    <w:basedOn w:val="VerbatimChar"/>
    <w:rPr>
      <w:color w:val="8f5902"/>
      <w:shd w:val="clear" w:fill="f8f8f8"/>
      <w:i/>
    </w:rPr>
  </w:style>
  <w:style w:type="character" w:customStyle="1" w:styleId="AttributeTok">
    <w:name w:val="AttributeTok"/>
    <w:basedOn w:val="VerbatimChar"/>
    <w:rPr>
      <w:color w:val="c4a000"/>
      <w:shd w:val="clear" w:fill="f8f8f8"/>
    </w:rPr>
  </w:style>
  <w:style w:type="character" w:customStyle="1" w:styleId="RegionMarkerTok">
    <w:name w:val="RegionMarkerTok"/>
    <w:basedOn w:val="VerbatimChar"/>
    <w:rPr>
      <w:shd w:val="clear" w:fill="f8f8f8"/>
    </w:rPr>
  </w:style>
  <w:style w:type="character" w:customStyle="1" w:styleId="InformationTok">
    <w:name w:val="InformationTok"/>
    <w:basedOn w:val="VerbatimChar"/>
    <w:rPr>
      <w:color w:val="8f5902"/>
      <w:shd w:val="clear" w:fill="f8f8f8"/>
      <w:b/>
      <w:i/>
    </w:rPr>
  </w:style>
  <w:style w:type="character" w:customStyle="1" w:styleId="WarningTok">
    <w:name w:val="WarningTok"/>
    <w:basedOn w:val="VerbatimChar"/>
    <w:rPr>
      <w:color w:val="8f5902"/>
      <w:shd w:val="clear" w:fill="f8f8f8"/>
      <w:b/>
      <w:i/>
    </w:rPr>
  </w:style>
  <w:style w:type="character" w:customStyle="1" w:styleId="AlertTok">
    <w:name w:val="AlertTok"/>
    <w:basedOn w:val="VerbatimChar"/>
    <w:rPr>
      <w:color w:val="ef2929"/>
      <w:shd w:val="clear" w:fill="f8f8f8"/>
    </w:rPr>
  </w:style>
  <w:style w:type="character" w:customStyle="1" w:styleId="ErrorTok">
    <w:name w:val="ErrorTok"/>
    <w:basedOn w:val="VerbatimChar"/>
    <w:rPr>
      <w:color w:val="a40000"/>
      <w:shd w:val="clear" w:fill="f8f8f8"/>
      <w:b/>
    </w:rPr>
  </w:style>
  <w:style w:type="character" w:customStyle="1" w:styleId="NormalTok">
    <w:name w:val="NormalTok"/>
    <w:basedOn w:val="VerbatimChar"/>
    <w:rPr>
      <w:shd w:val="clear" w:fill="f8f8f8"/>
    </w:rPr>
  </w:style>
</w:styles>
</file>

<file path=word/webSettings.xml><?xml version="1.0" encoding="utf-8"?>
<ns0:webSettings xmlns:ns0="http://schemas.openxmlformats.org/wordprocessingml/2006/main">
  <ns0:allowPNG/>
  <ns0:doNotSaveAsSingleFile/>
</ns0:webSettings>
</file>

<file path=word/_rels/document.xml.rels><?xml version="1.0" encoding="UTF-8"?>
<Relationships xmlns="http://schemas.openxmlformats.org/package/2006/relationships"><Relationship Type="http://schemas.openxmlformats.org/officeDocument/2006/relationships/numbering" Id="rId1" Target="numbering.xml" /><Relationship Type="http://schemas.openxmlformats.org/officeDocument/2006/relationships/styles" Id="rId2" Target="styles.xml" /><Relationship Type="http://schemas.openxmlformats.org/officeDocument/2006/relationships/settings" Id="rId3" Target="settings.xml" /><Relationship Type="http://schemas.openxmlformats.org/officeDocument/2006/relationships/webSettings" Id="rId4" Target="webSettings.xml" /><Relationship Type="http://schemas.openxmlformats.org/officeDocument/2006/relationships/fontTable" Id="rId5" Target="fontTable.xml" /><Relationship Type="http://schemas.openxmlformats.org/officeDocument/2006/relationships/theme" Id="rId6" Target="theme/theme1.xml" /><Relationship Type="http://schemas.openxmlformats.org/officeDocument/2006/relationships/footnotes" Id="rId7" Target="footnotes.xml" /><Relationship Type="http://schemas.openxmlformats.org/officeDocument/2006/relationships/image" Id="rId24" Target="media/rId24.png" /><Relationship Type="http://schemas.openxmlformats.org/officeDocument/2006/relationships/image" Id="rId25" Target="media/rId25.png" /><Relationship Type="http://schemas.openxmlformats.org/officeDocument/2006/relationships/image" Id="rId33" Target="media/rId33.png" /><Relationship Type="http://schemas.openxmlformats.org/officeDocument/2006/relationships/image" Id="rId34" Target="media/rId34.png" /><Relationship Type="http://schemas.openxmlformats.org/officeDocument/2006/relationships/image" Id="rId35" Target="media/rId35.png" /><Relationship Type="http://schemas.openxmlformats.org/officeDocument/2006/relationships/image" Id="rId36" Target="media/rId36.png" /><Relationship Type="http://schemas.openxmlformats.org/officeDocument/2006/relationships/image" Id="rId37" Target="media/rId37.png" /><Relationship Type="http://schemas.openxmlformats.org/officeDocument/2006/relationships/image" Id="rId66" Target="media/rId66.png" /><Relationship Type="http://schemas.openxmlformats.org/officeDocument/2006/relationships/image" Id="rId67" Target="media/rId67.png" /><Relationship Type="http://schemas.openxmlformats.org/officeDocument/2006/relationships/image" Id="rId68" Target="media/rId68.png" /><Relationship Type="http://schemas.openxmlformats.org/officeDocument/2006/relationships/image" Id="rId69" Target="media/rId69.png" /><Relationship Type="http://schemas.openxmlformats.org/officeDocument/2006/relationships/image" Id="rId70" Target="media/rId70.png" /><Relationship Type="http://schemas.openxmlformats.org/officeDocument/2006/relationships/image" Id="rId54" Target="media/rId54.png" /><Relationship Type="http://schemas.openxmlformats.org/officeDocument/2006/relationships/image" Id="rId55" Target="media/rId55.png" /><Relationship Type="http://schemas.openxmlformats.org/officeDocument/2006/relationships/image" Id="rId56" Target="media/rId56.png" /><Relationship Type="http://schemas.openxmlformats.org/officeDocument/2006/relationships/image" Id="rId57" Target="media/rId57.png" /><Relationship Type="http://schemas.openxmlformats.org/officeDocument/2006/relationships/image" Id="rId58" Target="media/rId58.png" /><Relationship Type="http://schemas.openxmlformats.org/officeDocument/2006/relationships/image" Id="rId60" Target="media/rId60.png" /><Relationship Type="http://schemas.openxmlformats.org/officeDocument/2006/relationships/image" Id="rId61" Target="media/rId61.png" /><Relationship Type="http://schemas.openxmlformats.org/officeDocument/2006/relationships/image" Id="rId62" Target="media/rId62.png" /><Relationship Type="http://schemas.openxmlformats.org/officeDocument/2006/relationships/image" Id="rId63" Target="media/rId63.png" /><Relationship Type="http://schemas.openxmlformats.org/officeDocument/2006/relationships/image" Id="rId64" Target="media/rId64.png" /><Relationship Type="http://schemas.openxmlformats.org/officeDocument/2006/relationships/image" Id="rId47" Target="media/rId47.png" /><Relationship Type="http://schemas.openxmlformats.org/officeDocument/2006/relationships/image" Id="rId48" Target="media/rId48.png" /><Relationship Type="http://schemas.openxmlformats.org/officeDocument/2006/relationships/image" Id="rId49" Target="media/rId49.png" /><Relationship Type="http://schemas.openxmlformats.org/officeDocument/2006/relationships/image" Id="rId50" Target="media/rId50.png" /><Relationship Type="http://schemas.openxmlformats.org/officeDocument/2006/relationships/image" Id="rId51" Target="media/rId51.png" /><Relationship Type="http://schemas.openxmlformats.org/officeDocument/2006/relationships/image" Id="rId27" Target="media/rId27.png" /><Relationship Type="http://schemas.openxmlformats.org/officeDocument/2006/relationships/image" Id="rId28" Target="media/rId28.png" /><Relationship Type="http://schemas.openxmlformats.org/officeDocument/2006/relationships/image" Id="rId29" Target="media/rId29.png" /><Relationship Type="http://schemas.openxmlformats.org/officeDocument/2006/relationships/image" Id="rId30" Target="media/rId30.png" /><Relationship Type="http://schemas.openxmlformats.org/officeDocument/2006/relationships/image" Id="rId31" Target="media/rId31.png" /><Relationship Type="http://schemas.openxmlformats.org/officeDocument/2006/relationships/image" Id="rId40" Target="media/rId40.png" /><Relationship Type="http://schemas.openxmlformats.org/officeDocument/2006/relationships/image" Id="rId41" Target="media/rId41.png" /><Relationship Type="http://schemas.openxmlformats.org/officeDocument/2006/relationships/image" Id="rId42" Target="media/rId42.png" /><Relationship Type="http://schemas.openxmlformats.org/officeDocument/2006/relationships/image" Id="rId43" Target="media/rId43.png" /><Relationship Type="http://schemas.openxmlformats.org/officeDocument/2006/relationships/image" Id="rId44" Target="media/rId44.png" /></Relationships>
</file>

<file path=word/_rels/footnotes.xml.rels><?xml version="1.0" encoding="UTF-8"?>
<Relationships xmlns="http://schemas.openxmlformats.org/package/2006/relationships" />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Words>83</Words>
  <SharedDoc>false</SharedDoc>
  <HyperlinksChanged>false</HyperlinksChanged>
  <Lines>12</Lines>
  <AppVersion>12.0000</AppVersion>
  <LinksUpToDate>false</LinksUpToDate>
  <Application>Microsoft Word 12.0.0</Application>
  <CharactersWithSpaces>583</CharactersWithSpaces>
  <Template>Normal.dotm</Template>
  <DocSecurity>0</DocSecurity>
  <TotalTime>6</TotalTime>
  <ScaleCrop>false</ScaleCrop>
  <Characters>475</Characters>
  <Paragraphs>8</Paragraphs>
  <Pages>1</Pag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LSAS Analyses &amp; Supplement: R Code</dc:title>
  <dc:creator/>
  <dcterms:created xsi:type="dcterms:W3CDTF">2018-02-28T22:31:58Z</dcterms:created>
  <dcterms:modified xsi:type="dcterms:W3CDTF">2018-02-28T22:31:58Z</dcterms:modified>
</cp:coreProperties>
</file>