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F8BBA" w14:textId="77777777" w:rsidR="006A13B8" w:rsidRDefault="006A13B8" w:rsidP="006A13B8">
      <w:pPr>
        <w:pStyle w:val="Heading1"/>
      </w:pPr>
      <w:r w:rsidRPr="6D71FC31">
        <w:t>Supplemental Material</w:t>
      </w:r>
    </w:p>
    <w:p w14:paraId="263026CE" w14:textId="77777777" w:rsidR="006A13B8" w:rsidRDefault="006A13B8" w:rsidP="006A13B8">
      <w:pPr>
        <w:ind w:firstLine="0"/>
      </w:pPr>
      <w:r w:rsidRPr="46F49096">
        <w:t xml:space="preserve">Figure </w:t>
      </w:r>
      <w:r>
        <w:t>S</w:t>
      </w:r>
      <w:r w:rsidRPr="46F49096">
        <w:t>1</w:t>
      </w:r>
    </w:p>
    <w:p w14:paraId="204D7B37" w14:textId="77777777" w:rsidR="006A13B8" w:rsidRDefault="006A13B8" w:rsidP="006A13B8">
      <w:pPr>
        <w:ind w:firstLine="0"/>
        <w:rPr>
          <w:color w:val="000000" w:themeColor="text1"/>
          <w:sz w:val="20"/>
          <w:szCs w:val="20"/>
        </w:rPr>
      </w:pPr>
      <w:r>
        <w:rPr>
          <w:noProof/>
        </w:rPr>
        <w:drawing>
          <wp:inline distT="0" distB="0" distL="0" distR="0" wp14:anchorId="674D8CDA" wp14:editId="252177D1">
            <wp:extent cx="5939883" cy="2743200"/>
            <wp:effectExtent l="0" t="0" r="16510" b="12700"/>
            <wp:docPr id="1900314871" name="Chart 1">
              <a:extLst xmlns:a="http://schemas.openxmlformats.org/drawingml/2006/main">
                <a:ext uri="{FF2B5EF4-FFF2-40B4-BE49-F238E27FC236}">
                  <a16:creationId xmlns:a16="http://schemas.microsoft.com/office/drawing/2014/main" id="{3EC889EC-20F9-AD51-816C-679BC6B5C4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577CA04E" w14:textId="77777777" w:rsidR="006A13B8" w:rsidRPr="00487ED3" w:rsidRDefault="006A13B8" w:rsidP="006A13B8">
      <w:pPr>
        <w:ind w:firstLine="0"/>
        <w:rPr>
          <w:sz w:val="20"/>
          <w:szCs w:val="20"/>
        </w:rPr>
      </w:pPr>
      <w:r w:rsidRPr="00487ED3">
        <w:rPr>
          <w:sz w:val="20"/>
          <w:szCs w:val="20"/>
        </w:rPr>
        <w:t>Note. Errors bars represent 95% confidence intervals. Results are marginal means controlling for gender (male vs. all other), race (white vs. all other), age, political orientation, conservative news consumption, mainstream/liberal news consumption, education, and income.</w:t>
      </w:r>
    </w:p>
    <w:p w14:paraId="631EBA6F" w14:textId="77777777" w:rsidR="006A13B8" w:rsidRDefault="006A13B8" w:rsidP="006A13B8">
      <w:pPr>
        <w:ind w:firstLine="0"/>
      </w:pPr>
    </w:p>
    <w:p w14:paraId="2CE315F5" w14:textId="77777777" w:rsidR="006A13B8" w:rsidRDefault="006A13B8" w:rsidP="006A13B8">
      <w:pPr>
        <w:ind w:firstLine="0"/>
      </w:pPr>
      <w:r>
        <w:t>Figure S1</w:t>
      </w:r>
      <w:r w:rsidRPr="76951ED4">
        <w:t xml:space="preserve"> shows marginal means on civic-related behavior</w:t>
      </w:r>
      <w:r>
        <w:t>al intentions</w:t>
      </w:r>
      <w:r w:rsidRPr="76951ED4">
        <w:t xml:space="preserve"> between three groups: those who deny the existence of climate change (</w:t>
      </w:r>
      <w:r w:rsidRPr="76951ED4">
        <w:rPr>
          <w:i/>
          <w:iCs/>
        </w:rPr>
        <w:t>M</w:t>
      </w:r>
      <w:r w:rsidRPr="76951ED4">
        <w:t xml:space="preserve"> = 2.74), those who ascribe to a natural causation belief (</w:t>
      </w:r>
      <w:r w:rsidRPr="76951ED4">
        <w:rPr>
          <w:i/>
          <w:iCs/>
        </w:rPr>
        <w:t>M</w:t>
      </w:r>
      <w:r w:rsidRPr="76951ED4">
        <w:t>=3.21), and non-contrarians (</w:t>
      </w:r>
      <w:r w:rsidRPr="76951ED4">
        <w:rPr>
          <w:i/>
          <w:iCs/>
        </w:rPr>
        <w:t>M</w:t>
      </w:r>
      <w:r w:rsidRPr="76951ED4">
        <w:t xml:space="preserve">=4.30). An ANCOVA suggested significant differences across these three groups, </w:t>
      </w:r>
      <w:proofErr w:type="gramStart"/>
      <w:r w:rsidRPr="76951ED4">
        <w:rPr>
          <w:i/>
          <w:iCs/>
        </w:rPr>
        <w:t>F</w:t>
      </w:r>
      <w:r w:rsidRPr="76951ED4">
        <w:t>(</w:t>
      </w:r>
      <w:proofErr w:type="gramEnd"/>
      <w:r w:rsidRPr="76951ED4">
        <w:t xml:space="preserve">2, 818) = 33.848, </w:t>
      </w:r>
      <w:r w:rsidRPr="76951ED4">
        <w:rPr>
          <w:i/>
          <w:iCs/>
        </w:rPr>
        <w:t>p</w:t>
      </w:r>
      <w:r w:rsidRPr="76951ED4">
        <w:t xml:space="preserve"> &lt;.001. Contrasts between groups show the non-contrarians are significantly different from both those who deny climate change and those who ascribe to a natural causation belief (</w:t>
      </w:r>
      <w:proofErr w:type="spellStart"/>
      <w:r w:rsidRPr="76951ED4">
        <w:rPr>
          <w:i/>
          <w:iCs/>
        </w:rPr>
        <w:t>p</w:t>
      </w:r>
      <w:r w:rsidRPr="76951ED4">
        <w:t>s</w:t>
      </w:r>
      <w:proofErr w:type="spellEnd"/>
      <w:r w:rsidRPr="76951ED4">
        <w:t xml:space="preserve"> &lt; .001). On the surface, these groups do not seem as reachable on behavioral intentions. However, only after breaking down the natural causation believers into subgroups do we find that some are more supportive of climate behaviors than others.</w:t>
      </w:r>
    </w:p>
    <w:p w14:paraId="6580B27A" w14:textId="77777777" w:rsidR="006A13B8" w:rsidRPr="008144E1" w:rsidRDefault="006A13B8" w:rsidP="006A13B8">
      <w:pPr>
        <w:ind w:firstLine="0"/>
      </w:pPr>
      <w:r w:rsidRPr="008144E1">
        <w:lastRenderedPageBreak/>
        <w:t xml:space="preserve">Figure </w:t>
      </w:r>
      <w:r>
        <w:t>S</w:t>
      </w:r>
      <w:r w:rsidRPr="008144E1">
        <w:t xml:space="preserve">2 </w:t>
      </w:r>
    </w:p>
    <w:p w14:paraId="154BE783" w14:textId="77777777" w:rsidR="006A13B8" w:rsidRDefault="006A13B8" w:rsidP="006A13B8">
      <w:pPr>
        <w:ind w:firstLine="0"/>
        <w:rPr>
          <w:color w:val="000000" w:themeColor="text1"/>
          <w:sz w:val="20"/>
          <w:szCs w:val="20"/>
        </w:rPr>
      </w:pPr>
      <w:r>
        <w:rPr>
          <w:noProof/>
        </w:rPr>
        <w:drawing>
          <wp:inline distT="0" distB="0" distL="0" distR="0" wp14:anchorId="0FFE40A1" wp14:editId="280220B4">
            <wp:extent cx="5947317" cy="2743200"/>
            <wp:effectExtent l="0" t="0" r="9525" b="12700"/>
            <wp:docPr id="19846289" name="Chart 1">
              <a:extLst xmlns:a="http://schemas.openxmlformats.org/drawingml/2006/main">
                <a:ext uri="{FF2B5EF4-FFF2-40B4-BE49-F238E27FC236}">
                  <a16:creationId xmlns:a16="http://schemas.microsoft.com/office/drawing/2014/main" id="{41769388-6A73-F5C7-8134-0B0D9CCD22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BFD435D" w14:textId="77777777" w:rsidR="006A13B8" w:rsidRDefault="006A13B8" w:rsidP="006A13B8">
      <w:pPr>
        <w:spacing w:line="240" w:lineRule="auto"/>
        <w:ind w:firstLine="0"/>
        <w:rPr>
          <w:sz w:val="20"/>
          <w:szCs w:val="20"/>
        </w:rPr>
      </w:pPr>
      <w:r w:rsidRPr="00487ED3">
        <w:rPr>
          <w:sz w:val="20"/>
          <w:szCs w:val="20"/>
        </w:rPr>
        <w:t>Note. Errors bars represent 95% confidence intervals. Results are marginal means controlling for gender (male vs. all other), race (white vs. all other), age, political orientation, conservative news consumption, mainstream/liberal news consumption, education, and income.</w:t>
      </w:r>
    </w:p>
    <w:p w14:paraId="5E0E1828" w14:textId="77777777" w:rsidR="006A13B8" w:rsidRPr="00487ED3" w:rsidRDefault="006A13B8" w:rsidP="006A13B8">
      <w:pPr>
        <w:spacing w:line="240" w:lineRule="auto"/>
        <w:ind w:firstLine="0"/>
        <w:rPr>
          <w:sz w:val="20"/>
          <w:szCs w:val="20"/>
        </w:rPr>
      </w:pPr>
    </w:p>
    <w:p w14:paraId="5DC19A69" w14:textId="77777777" w:rsidR="006A13B8" w:rsidRPr="00BB23F7" w:rsidRDefault="006A13B8" w:rsidP="006A13B8">
      <w:r>
        <w:t>Figure S2</w:t>
      </w:r>
      <w:r w:rsidRPr="3779B93C">
        <w:t xml:space="preserve"> shows marginal mean differences on climate policy support between those who deny the existence of climate change (</w:t>
      </w:r>
      <w:r w:rsidRPr="00AD7482">
        <w:rPr>
          <w:i/>
          <w:iCs/>
        </w:rPr>
        <w:t>M</w:t>
      </w:r>
      <w:r w:rsidRPr="3779B93C">
        <w:t xml:space="preserve"> = 3.16), </w:t>
      </w:r>
      <w:r>
        <w:t>argue for</w:t>
      </w:r>
      <w:r w:rsidRPr="3779B93C">
        <w:t xml:space="preserve"> natural causation (</w:t>
      </w:r>
      <w:r w:rsidRPr="00AD7482">
        <w:rPr>
          <w:i/>
          <w:iCs/>
        </w:rPr>
        <w:t>M</w:t>
      </w:r>
      <w:r w:rsidRPr="3779B93C">
        <w:t>=3.85), and non-contrarians (</w:t>
      </w:r>
      <w:r w:rsidRPr="00AD7482">
        <w:rPr>
          <w:i/>
          <w:iCs/>
        </w:rPr>
        <w:t>M</w:t>
      </w:r>
      <w:r>
        <w:t xml:space="preserve"> = </w:t>
      </w:r>
      <w:r w:rsidRPr="3779B93C">
        <w:t xml:space="preserve">4.85). An ANCOVA suggested differences across the three groups, </w:t>
      </w:r>
      <w:proofErr w:type="gramStart"/>
      <w:r w:rsidRPr="00AD7482">
        <w:rPr>
          <w:i/>
          <w:iCs/>
        </w:rPr>
        <w:t>F</w:t>
      </w:r>
      <w:r w:rsidRPr="3779B93C">
        <w:t>(</w:t>
      </w:r>
      <w:proofErr w:type="gramEnd"/>
      <w:r w:rsidRPr="3779B93C">
        <w:t xml:space="preserve">2, 821) = 39.96, </w:t>
      </w:r>
      <w:r w:rsidRPr="00AD7482">
        <w:rPr>
          <w:i/>
          <w:iCs/>
        </w:rPr>
        <w:t>p</w:t>
      </w:r>
      <w:r w:rsidRPr="3779B93C">
        <w:t xml:space="preserve"> &lt;.001. Contrast results show that non-contrarians are significantly different from both those who deny climate change and those who </w:t>
      </w:r>
      <w:r>
        <w:t>argue for</w:t>
      </w:r>
      <w:r w:rsidRPr="3779B93C">
        <w:t xml:space="preserve"> natural causatio</w:t>
      </w:r>
      <w:r>
        <w:t>n</w:t>
      </w:r>
      <w:r w:rsidRPr="3779B93C">
        <w:t xml:space="preserve"> (</w:t>
      </w:r>
      <w:proofErr w:type="spellStart"/>
      <w:r w:rsidRPr="3779B93C">
        <w:t>p</w:t>
      </w:r>
      <w:r>
        <w:t>s</w:t>
      </w:r>
      <w:proofErr w:type="spellEnd"/>
      <w:r w:rsidRPr="3779B93C">
        <w:t xml:space="preserve"> &lt; .001). On the surface, those who </w:t>
      </w:r>
      <w:r>
        <w:t>argue for natural causation</w:t>
      </w:r>
      <w:r w:rsidRPr="3779B93C">
        <w:t xml:space="preserve"> appear significantly less supportive of climate policies. However, after breaking down this group, some individuals emerge as closer to non-contrarians than deniers, underscoring the importance of a nuanced appreciation of natural causation </w:t>
      </w:r>
      <w:r>
        <w:t>arguments</w:t>
      </w:r>
      <w:r w:rsidRPr="3779B93C">
        <w:t xml:space="preserve">. </w:t>
      </w:r>
    </w:p>
    <w:p w14:paraId="526C95D4" w14:textId="77777777" w:rsidR="006A13B8" w:rsidRDefault="006A13B8"/>
    <w:sectPr w:rsidR="006A13B8" w:rsidSect="005522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3B8"/>
    <w:rsid w:val="0055227D"/>
    <w:rsid w:val="005F2162"/>
    <w:rsid w:val="006A1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A6F4"/>
  <w15:chartTrackingRefBased/>
  <w15:docId w15:val="{0DBB2956-8A4D-48FC-919A-AF84EEA0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3B8"/>
    <w:pPr>
      <w:spacing w:after="0" w:line="480" w:lineRule="auto"/>
      <w:ind w:firstLine="720"/>
    </w:pPr>
    <w:rPr>
      <w:rFonts w:ascii="Times New Roman" w:eastAsia="Calibri" w:hAnsi="Times New Roman" w:cs="Times New Roman"/>
      <w:kern w:val="0"/>
      <w14:ligatures w14:val="none"/>
    </w:rPr>
  </w:style>
  <w:style w:type="paragraph" w:styleId="Heading1">
    <w:name w:val="heading 1"/>
    <w:basedOn w:val="Normal"/>
    <w:next w:val="Normal"/>
    <w:link w:val="Heading1Char"/>
    <w:uiPriority w:val="3"/>
    <w:qFormat/>
    <w:rsid w:val="006A13B8"/>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A13B8"/>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A13B8"/>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A13B8"/>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A13B8"/>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A13B8"/>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A13B8"/>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A13B8"/>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A13B8"/>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6A13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3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3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3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3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3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3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3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3B8"/>
    <w:rPr>
      <w:rFonts w:eastAsiaTheme="majorEastAsia" w:cstheme="majorBidi"/>
      <w:color w:val="272727" w:themeColor="text1" w:themeTint="D8"/>
    </w:rPr>
  </w:style>
  <w:style w:type="paragraph" w:styleId="Title">
    <w:name w:val="Title"/>
    <w:basedOn w:val="Normal"/>
    <w:next w:val="Normal"/>
    <w:link w:val="TitleChar"/>
    <w:uiPriority w:val="10"/>
    <w:qFormat/>
    <w:rsid w:val="006A13B8"/>
    <w:pPr>
      <w:spacing w:after="80" w:line="240" w:lineRule="auto"/>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A13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3B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A13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3B8"/>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A13B8"/>
    <w:rPr>
      <w:i/>
      <w:iCs/>
      <w:color w:val="404040" w:themeColor="text1" w:themeTint="BF"/>
    </w:rPr>
  </w:style>
  <w:style w:type="paragraph" w:styleId="ListParagraph">
    <w:name w:val="List Paragraph"/>
    <w:basedOn w:val="Normal"/>
    <w:uiPriority w:val="34"/>
    <w:qFormat/>
    <w:rsid w:val="006A13B8"/>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A13B8"/>
    <w:rPr>
      <w:i/>
      <w:iCs/>
      <w:color w:val="0F4761" w:themeColor="accent1" w:themeShade="BF"/>
    </w:rPr>
  </w:style>
  <w:style w:type="paragraph" w:styleId="IntenseQuote">
    <w:name w:val="Intense Quote"/>
    <w:basedOn w:val="Normal"/>
    <w:next w:val="Normal"/>
    <w:link w:val="IntenseQuoteChar"/>
    <w:uiPriority w:val="30"/>
    <w:qFormat/>
    <w:rsid w:val="006A13B8"/>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A13B8"/>
    <w:rPr>
      <w:i/>
      <w:iCs/>
      <w:color w:val="0F4761" w:themeColor="accent1" w:themeShade="BF"/>
    </w:rPr>
  </w:style>
  <w:style w:type="character" w:styleId="IntenseReference">
    <w:name w:val="Intense Reference"/>
    <w:basedOn w:val="DefaultParagraphFont"/>
    <w:uiPriority w:val="32"/>
    <w:qFormat/>
    <w:rsid w:val="006A13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indiana-my.sharepoint.com/personal/timdwye_iu_edu/Documents/Research/Natural%20Cycles%20Paper%20Overhaul/SPSS%20Analysis/Supplementals%20Tables%20and%20Means%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indiana-my.sharepoint.com/personal/timdwye_iu_edu/Documents/Research/Natural%20Cycles%20Paper%20Overhaul/SPSS%20Analysis/Supplementals%20Tables%20and%20Means%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Behavior!$A$2</c:f>
              <c:strCache>
                <c:ptCount val="1"/>
                <c:pt idx="0">
                  <c:v>Mean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cust"/>
            <c:noEndCap val="0"/>
            <c:plus>
              <c:numRef>
                <c:f>Behavior!$B$4:$D$4</c:f>
                <c:numCache>
                  <c:formatCode>General</c:formatCode>
                  <c:ptCount val="3"/>
                  <c:pt idx="0">
                    <c:v>0.56839999999999991</c:v>
                  </c:pt>
                  <c:pt idx="1">
                    <c:v>0.27635999999999999</c:v>
                  </c:pt>
                  <c:pt idx="2">
                    <c:v>0.10976</c:v>
                  </c:pt>
                </c:numCache>
              </c:numRef>
            </c:plus>
            <c:minus>
              <c:numRef>
                <c:f>Behavior!$B$4:$D$4</c:f>
                <c:numCache>
                  <c:formatCode>General</c:formatCode>
                  <c:ptCount val="3"/>
                  <c:pt idx="0">
                    <c:v>0.56839999999999991</c:v>
                  </c:pt>
                  <c:pt idx="1">
                    <c:v>0.27635999999999999</c:v>
                  </c:pt>
                  <c:pt idx="2">
                    <c:v>0.10976</c:v>
                  </c:pt>
                </c:numCache>
              </c:numRef>
            </c:minus>
            <c:spPr>
              <a:noFill/>
              <a:ln w="9525">
                <a:solidFill>
                  <a:schemeClr val="tx2">
                    <a:lumMod val="75000"/>
                    <a:lumOff val="25000"/>
                  </a:schemeClr>
                </a:solidFill>
                <a:round/>
              </a:ln>
              <a:effectLst/>
            </c:spPr>
          </c:errBars>
          <c:cat>
            <c:strRef>
              <c:f>Behavior!$B$1:$D$1</c:f>
              <c:strCache>
                <c:ptCount val="3"/>
                <c:pt idx="0">
                  <c:v>No Climate Change</c:v>
                </c:pt>
                <c:pt idx="1">
                  <c:v>Natural Causation</c:v>
                </c:pt>
                <c:pt idx="2">
                  <c:v>Non Contrarian Arguments</c:v>
                </c:pt>
              </c:strCache>
            </c:strRef>
          </c:cat>
          <c:val>
            <c:numRef>
              <c:f>Behavior!$B$2:$D$2</c:f>
              <c:numCache>
                <c:formatCode>General</c:formatCode>
                <c:ptCount val="3"/>
                <c:pt idx="0">
                  <c:v>2.7389999999999999</c:v>
                </c:pt>
                <c:pt idx="1">
                  <c:v>3.2130000000000001</c:v>
                </c:pt>
                <c:pt idx="2">
                  <c:v>4.3040000000000003</c:v>
                </c:pt>
              </c:numCache>
            </c:numRef>
          </c:val>
          <c:extLst>
            <c:ext xmlns:c16="http://schemas.microsoft.com/office/drawing/2014/chart" uri="{C3380CC4-5D6E-409C-BE32-E72D297353CC}">
              <c16:uniqueId val="{00000000-712B-4674-B4C2-588E586483F6}"/>
            </c:ext>
          </c:extLst>
        </c:ser>
        <c:dLbls>
          <c:dLblPos val="inBase"/>
          <c:showLegendKey val="0"/>
          <c:showVal val="1"/>
          <c:showCatName val="0"/>
          <c:showSerName val="0"/>
          <c:showPercent val="0"/>
          <c:showBubbleSize val="0"/>
        </c:dLbls>
        <c:gapWidth val="100"/>
        <c:overlap val="-24"/>
        <c:axId val="1619960384"/>
        <c:axId val="1619962112"/>
      </c:barChart>
      <c:catAx>
        <c:axId val="161996038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Full</a:t>
                </a:r>
                <a:r>
                  <a:rPr lang="en-US" baseline="0"/>
                  <a:t> Groups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19962112"/>
        <c:crosses val="autoZero"/>
        <c:auto val="1"/>
        <c:lblAlgn val="ctr"/>
        <c:lblOffset val="100"/>
        <c:noMultiLvlLbl val="0"/>
      </c:catAx>
      <c:valAx>
        <c:axId val="1619962112"/>
        <c:scaling>
          <c:orientation val="minMax"/>
          <c:max val="7"/>
          <c:min val="1"/>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Mean Civic</a:t>
                </a:r>
                <a:r>
                  <a:rPr lang="en-US" baseline="0"/>
                  <a:t> Behavioral intentions</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19960384"/>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Policy!$A$2</c:f>
              <c:strCache>
                <c:ptCount val="1"/>
                <c:pt idx="0">
                  <c:v>Mean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cust"/>
            <c:noEndCap val="0"/>
            <c:plus>
              <c:numRef>
                <c:f>Policy!$B$4:$D$4</c:f>
                <c:numCache>
                  <c:formatCode>General</c:formatCode>
                  <c:ptCount val="3"/>
                  <c:pt idx="0">
                    <c:v>0.51156000000000001</c:v>
                  </c:pt>
                  <c:pt idx="1">
                    <c:v>0.24892</c:v>
                  </c:pt>
                  <c:pt idx="2">
                    <c:v>9.8000000000000004E-2</c:v>
                  </c:pt>
                </c:numCache>
              </c:numRef>
            </c:plus>
            <c:minus>
              <c:numRef>
                <c:f>Policy!$B$4:$D$4</c:f>
                <c:numCache>
                  <c:formatCode>General</c:formatCode>
                  <c:ptCount val="3"/>
                  <c:pt idx="0">
                    <c:v>0.51156000000000001</c:v>
                  </c:pt>
                  <c:pt idx="1">
                    <c:v>0.24892</c:v>
                  </c:pt>
                  <c:pt idx="2">
                    <c:v>9.8000000000000004E-2</c:v>
                  </c:pt>
                </c:numCache>
              </c:numRef>
            </c:minus>
            <c:spPr>
              <a:noFill/>
              <a:ln w="9525">
                <a:solidFill>
                  <a:schemeClr val="tx2">
                    <a:lumMod val="75000"/>
                    <a:lumOff val="25000"/>
                  </a:schemeClr>
                </a:solidFill>
                <a:round/>
              </a:ln>
              <a:effectLst/>
            </c:spPr>
          </c:errBars>
          <c:cat>
            <c:strRef>
              <c:f>Policy!$B$1:$D$1</c:f>
              <c:strCache>
                <c:ptCount val="3"/>
                <c:pt idx="0">
                  <c:v>No Climate Change</c:v>
                </c:pt>
                <c:pt idx="1">
                  <c:v>Natural Causation</c:v>
                </c:pt>
                <c:pt idx="2">
                  <c:v>Non Contrarian Arguments</c:v>
                </c:pt>
              </c:strCache>
            </c:strRef>
          </c:cat>
          <c:val>
            <c:numRef>
              <c:f>Policy!$B$2:$D$2</c:f>
              <c:numCache>
                <c:formatCode>0.00</c:formatCode>
                <c:ptCount val="3"/>
                <c:pt idx="0">
                  <c:v>3.1560000000000001</c:v>
                </c:pt>
                <c:pt idx="1">
                  <c:v>3.85</c:v>
                </c:pt>
                <c:pt idx="2">
                  <c:v>4.8529999999999998</c:v>
                </c:pt>
              </c:numCache>
            </c:numRef>
          </c:val>
          <c:extLst>
            <c:ext xmlns:c16="http://schemas.microsoft.com/office/drawing/2014/chart" uri="{C3380CC4-5D6E-409C-BE32-E72D297353CC}">
              <c16:uniqueId val="{00000000-429D-4EC4-8F3D-3A84F0C41E5F}"/>
            </c:ext>
          </c:extLst>
        </c:ser>
        <c:dLbls>
          <c:dLblPos val="inBase"/>
          <c:showLegendKey val="0"/>
          <c:showVal val="1"/>
          <c:showCatName val="0"/>
          <c:showSerName val="0"/>
          <c:showPercent val="0"/>
          <c:showBubbleSize val="0"/>
        </c:dLbls>
        <c:gapWidth val="100"/>
        <c:overlap val="-24"/>
        <c:axId val="1619960384"/>
        <c:axId val="1619962112"/>
      </c:barChart>
      <c:catAx>
        <c:axId val="161996038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Full Groups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19962112"/>
        <c:crosses val="autoZero"/>
        <c:auto val="1"/>
        <c:lblAlgn val="ctr"/>
        <c:lblOffset val="100"/>
        <c:noMultiLvlLbl val="0"/>
      </c:catAx>
      <c:valAx>
        <c:axId val="1619962112"/>
        <c:scaling>
          <c:orientation val="minMax"/>
          <c:max val="7"/>
          <c:min val="1"/>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Mean Policy Support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19960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1802</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Geiger, Nathaniel</dc:creator>
  <cp:keywords/>
  <dc:description/>
  <cp:lastModifiedBy>Geiger, Nathaniel</cp:lastModifiedBy>
  <cp:revision>2</cp:revision>
  <dcterms:created xsi:type="dcterms:W3CDTF">2024-04-22T21:54:00Z</dcterms:created>
  <dcterms:modified xsi:type="dcterms:W3CDTF">2024-04-22T21:55:00Z</dcterms:modified>
</cp:coreProperties>
</file>