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9CDA5" w14:textId="28D548BF" w:rsidR="00E26F30" w:rsidRDefault="008E2F2F" w:rsidP="008E2F2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2F2F">
        <w:rPr>
          <w:rFonts w:ascii="Times New Roman" w:hAnsi="Times New Roman" w:cs="Times New Roman"/>
          <w:b/>
          <w:bCs/>
          <w:sz w:val="24"/>
          <w:szCs w:val="24"/>
        </w:rPr>
        <w:t xml:space="preserve">Supplemental Material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E2F2F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Deviations from the Preregistration</w:t>
      </w:r>
    </w:p>
    <w:p w14:paraId="535F5924" w14:textId="2AE06C64" w:rsidR="008E2F2F" w:rsidRDefault="008E2F2F" w:rsidP="008E2F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the preregistration, </w:t>
      </w:r>
      <w:r w:rsidR="000A6E9E" w:rsidRPr="000A6E9E">
        <w:rPr>
          <w:rFonts w:ascii="Times New Roman" w:hAnsi="Times New Roman" w:cs="Times New Roman"/>
          <w:sz w:val="24"/>
          <w:szCs w:val="24"/>
        </w:rPr>
        <w:t>we stated that we would include standardization samples from 19 intelligence tests, which would result in 27 analysis samples. However, an additional standardization sample (PSB-R 6-13) was added after preregistration</w:t>
      </w:r>
      <w:r w:rsidR="008460A8">
        <w:rPr>
          <w:rFonts w:ascii="Times New Roman" w:hAnsi="Times New Roman" w:cs="Times New Roman"/>
          <w:sz w:val="24"/>
          <w:szCs w:val="24"/>
        </w:rPr>
        <w:t xml:space="preserve"> (providing two samples for form A and B)</w:t>
      </w:r>
      <w:r w:rsidR="000A6E9E" w:rsidRPr="000A6E9E">
        <w:rPr>
          <w:rFonts w:ascii="Times New Roman" w:hAnsi="Times New Roman" w:cs="Times New Roman"/>
          <w:sz w:val="24"/>
          <w:szCs w:val="24"/>
        </w:rPr>
        <w:t>, resulting in 29 analysis samples.</w:t>
      </w:r>
    </w:p>
    <w:p w14:paraId="12FFAA07" w14:textId="5D9A833B" w:rsidR="008E2F2F" w:rsidRDefault="008E2F2F" w:rsidP="000A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Some of the expected sample sizes reported in the preregistration </w:t>
      </w:r>
      <w:r w:rsidR="000A6E9E">
        <w:rPr>
          <w:rFonts w:ascii="Times New Roman" w:hAnsi="Times New Roman" w:cs="Times New Roman"/>
          <w:sz w:val="24"/>
          <w:szCs w:val="24"/>
        </w:rPr>
        <w:t>differ</w:t>
      </w:r>
      <w:r>
        <w:rPr>
          <w:rFonts w:ascii="Times New Roman" w:hAnsi="Times New Roman" w:cs="Times New Roman"/>
          <w:sz w:val="24"/>
          <w:szCs w:val="24"/>
        </w:rPr>
        <w:t xml:space="preserve"> slightly from the final sample sizes in the analyses. This is because we did not have access to the </w:t>
      </w:r>
      <w:r w:rsidR="008460A8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 at the time of preregistration</w:t>
      </w:r>
      <w:r w:rsidR="009C48F2" w:rsidRPr="009C48F2">
        <w:rPr>
          <w:rFonts w:ascii="Times New Roman" w:hAnsi="Times New Roman" w:cs="Times New Roman"/>
          <w:sz w:val="24"/>
          <w:szCs w:val="24"/>
        </w:rPr>
        <w:t>, which made it necessary to estimate the sample size based on available information</w:t>
      </w:r>
      <w:r w:rsidR="009C48F2">
        <w:rPr>
          <w:rFonts w:ascii="Times New Roman" w:hAnsi="Times New Roman" w:cs="Times New Roman"/>
          <w:sz w:val="24"/>
          <w:szCs w:val="24"/>
        </w:rPr>
        <w:t xml:space="preserve"> at the time</w:t>
      </w:r>
      <w:r w:rsidR="009C48F2" w:rsidRPr="009C48F2">
        <w:rPr>
          <w:rFonts w:ascii="Times New Roman" w:hAnsi="Times New Roman" w:cs="Times New Roman"/>
          <w:sz w:val="24"/>
          <w:szCs w:val="24"/>
        </w:rPr>
        <w:t>.</w:t>
      </w:r>
    </w:p>
    <w:p w14:paraId="0BD568B3" w14:textId="4FB8E22B" w:rsidR="000A6E9E" w:rsidRDefault="000A6E9E" w:rsidP="000A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A6E9E">
        <w:rPr>
          <w:rFonts w:ascii="Times New Roman" w:hAnsi="Times New Roman" w:cs="Times New Roman"/>
          <w:sz w:val="24"/>
          <w:szCs w:val="24"/>
        </w:rPr>
        <w:t xml:space="preserve">In the preregistration, we stated that the moderator grid for the local structural equation modeling </w:t>
      </w:r>
      <w:r>
        <w:rPr>
          <w:rFonts w:ascii="Times New Roman" w:hAnsi="Times New Roman" w:cs="Times New Roman"/>
          <w:sz w:val="24"/>
          <w:szCs w:val="24"/>
        </w:rPr>
        <w:t xml:space="preserve">(LSEM) </w:t>
      </w:r>
      <w:r w:rsidRPr="000A6E9E">
        <w:rPr>
          <w:rFonts w:ascii="Times New Roman" w:hAnsi="Times New Roman" w:cs="Times New Roman"/>
          <w:sz w:val="24"/>
          <w:szCs w:val="24"/>
        </w:rPr>
        <w:t xml:space="preserve">would be specified in 2-year intervals. In the final </w:t>
      </w:r>
      <w:proofErr w:type="gramStart"/>
      <w:r w:rsidRPr="000A6E9E">
        <w:rPr>
          <w:rFonts w:ascii="Times New Roman" w:hAnsi="Times New Roman" w:cs="Times New Roman"/>
          <w:sz w:val="24"/>
          <w:szCs w:val="24"/>
        </w:rPr>
        <w:t>analyses</w:t>
      </w:r>
      <w:proofErr w:type="gramEnd"/>
      <w:r w:rsidRPr="000A6E9E">
        <w:rPr>
          <w:rFonts w:ascii="Times New Roman" w:hAnsi="Times New Roman" w:cs="Times New Roman"/>
          <w:sz w:val="24"/>
          <w:szCs w:val="24"/>
        </w:rPr>
        <w:t>, however, we used 1-year intervals to obtain a more detailed picture of the differentiation trends. Changing the intervals only affected the precision of the curves, not their overall slope.</w:t>
      </w:r>
    </w:p>
    <w:p w14:paraId="06A2C5EA" w14:textId="0787489C" w:rsidR="008E2F2F" w:rsidRPr="000A6E9E" w:rsidRDefault="000A6E9E" w:rsidP="000A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A6E9E">
        <w:rPr>
          <w:rFonts w:ascii="Times New Roman" w:hAnsi="Times New Roman" w:cs="Times New Roman"/>
          <w:sz w:val="24"/>
          <w:szCs w:val="24"/>
        </w:rPr>
        <w:t>In the preregistration, we stated that</w:t>
      </w:r>
      <w:r>
        <w:rPr>
          <w:rFonts w:ascii="Times New Roman" w:hAnsi="Times New Roman" w:cs="Times New Roman"/>
          <w:sz w:val="24"/>
          <w:szCs w:val="24"/>
        </w:rPr>
        <w:t xml:space="preserve"> we would plot </w:t>
      </w:r>
      <w:r w:rsidRPr="000A6E9E">
        <w:rPr>
          <w:rFonts w:ascii="Times New Roman" w:hAnsi="Times New Roman" w:cs="Times New Roman"/>
          <w:sz w:val="24"/>
          <w:szCs w:val="24"/>
        </w:rPr>
        <w:t>LSEM curves for the mean CHC broad ability-specific factor loadings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A6E9E">
        <w:rPr>
          <w:rFonts w:ascii="Times New Roman" w:hAnsi="Times New Roman" w:cs="Times New Roman"/>
          <w:sz w:val="24"/>
          <w:szCs w:val="24"/>
        </w:rPr>
        <w:t>However, we did not create these plots because there were no significant differences in differentiation trends between the most frequently assessed CHC abilities.</w:t>
      </w:r>
    </w:p>
    <w:sectPr w:rsidR="008E2F2F" w:rsidRPr="000A6E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A5303"/>
    <w:multiLevelType w:val="hybridMultilevel"/>
    <w:tmpl w:val="FCF83F1E"/>
    <w:lvl w:ilvl="0" w:tplc="130E84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005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8AC"/>
    <w:rsid w:val="000A6E9E"/>
    <w:rsid w:val="002668A5"/>
    <w:rsid w:val="005248AC"/>
    <w:rsid w:val="008460A8"/>
    <w:rsid w:val="008619E5"/>
    <w:rsid w:val="008E2F2F"/>
    <w:rsid w:val="009B5F78"/>
    <w:rsid w:val="009C48F2"/>
    <w:rsid w:val="00A1380D"/>
    <w:rsid w:val="00B10EE6"/>
    <w:rsid w:val="00B64267"/>
    <w:rsid w:val="00B64C58"/>
    <w:rsid w:val="00E2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F615B"/>
  <w15:chartTrackingRefBased/>
  <w15:docId w15:val="{87022197-3643-4CC8-B626-A9B1ABE88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248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24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248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248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248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48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248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248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248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248A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248A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248AC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248AC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248AC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48A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248AC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248A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248AC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5248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248A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248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248A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524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248AC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5248A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248A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248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248AC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5248AC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64C5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64C5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64C58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64C5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64C58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 Breit</dc:creator>
  <cp:keywords/>
  <dc:description/>
  <cp:lastModifiedBy>Moritz Breit</cp:lastModifiedBy>
  <cp:revision>6</cp:revision>
  <dcterms:created xsi:type="dcterms:W3CDTF">2025-11-04T13:58:00Z</dcterms:created>
  <dcterms:modified xsi:type="dcterms:W3CDTF">2025-11-17T09:46:00Z</dcterms:modified>
</cp:coreProperties>
</file>