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b w:val="0"/>
          <w:bCs w:val="0"/>
          <w:color w:val="000000" w:themeColor="text1"/>
        </w:rPr>
        <w:alias w:val="Bibliography text:"/>
        <w:tag w:val="Bibliography text:"/>
        <w:id w:val="47114671"/>
        <w15:appearance w15:val="hidden"/>
      </w:sdtPr>
      <w:sdtEndPr/>
      <w:sdtContent>
        <w:p w14:paraId="57732995" w14:textId="63B5A4AE" w:rsidR="00011F42" w:rsidRPr="005554ED" w:rsidRDefault="00F97B72" w:rsidP="00F97B72">
          <w:pPr>
            <w:pStyle w:val="Heading1"/>
            <w:rPr>
              <w:color w:val="000000" w:themeColor="text1"/>
            </w:rPr>
          </w:pPr>
          <w:r w:rsidRPr="005554ED">
            <w:rPr>
              <w:color w:val="000000" w:themeColor="text1"/>
            </w:rPr>
            <w:t>Supplementary Material</w:t>
          </w:r>
        </w:p>
        <w:p w14:paraId="7836336C" w14:textId="18C0D845" w:rsidR="009D3C9D" w:rsidRPr="005554ED" w:rsidRDefault="009D3C9D" w:rsidP="009D3C9D">
          <w:pPr>
            <w:pBdr>
              <w:top w:val="none" w:sz="0" w:space="0" w:color="auto"/>
              <w:left w:val="none" w:sz="0" w:space="0" w:color="auto"/>
              <w:bottom w:val="none" w:sz="0" w:space="0" w:color="auto"/>
              <w:right w:val="none" w:sz="0" w:space="0" w:color="auto"/>
              <w:between w:val="none" w:sz="0" w:space="0" w:color="auto"/>
            </w:pBdr>
            <w:ind w:firstLine="0"/>
            <w:rPr>
              <w:color w:val="000000" w:themeColor="text1"/>
              <w:lang w:eastAsia="de-DE"/>
            </w:rPr>
          </w:pPr>
          <w:r w:rsidRPr="005554ED">
            <w:rPr>
              <w:color w:val="000000" w:themeColor="text1"/>
              <w:lang w:eastAsia="de-DE"/>
            </w:rPr>
            <w:t>Corresponding manuscript:</w:t>
          </w:r>
        </w:p>
        <w:p w14:paraId="53D0F6AA" w14:textId="6D90EFAB" w:rsidR="009D3C9D" w:rsidRPr="005554ED" w:rsidRDefault="008D656F" w:rsidP="003225D4">
          <w:pPr>
            <w:ind w:firstLine="0"/>
            <w:rPr>
              <w:color w:val="000000" w:themeColor="text1"/>
            </w:rPr>
          </w:pPr>
          <w:r w:rsidRPr="00A04F18">
            <w:rPr>
              <w:color w:val="000000" w:themeColor="text1"/>
              <w:lang w:val="de-DE"/>
            </w:rPr>
            <w:t>Buecker, S.</w:t>
          </w:r>
          <w:r w:rsidR="009D3C9D" w:rsidRPr="00A04F18">
            <w:rPr>
              <w:color w:val="000000" w:themeColor="text1"/>
              <w:lang w:val="de-DE"/>
            </w:rPr>
            <w:t xml:space="preserve">, </w:t>
          </w:r>
          <w:r w:rsidRPr="00A04F18">
            <w:rPr>
              <w:color w:val="000000" w:themeColor="text1"/>
              <w:lang w:val="de-DE"/>
            </w:rPr>
            <w:t>Mund, M.</w:t>
          </w:r>
          <w:r w:rsidR="009D3C9D" w:rsidRPr="00A04F18">
            <w:rPr>
              <w:color w:val="000000" w:themeColor="text1"/>
              <w:lang w:val="de-DE"/>
            </w:rPr>
            <w:t xml:space="preserve">, </w:t>
          </w:r>
          <w:r>
            <w:rPr>
              <w:color w:val="000000" w:themeColor="text1"/>
              <w:lang w:val="de-DE"/>
            </w:rPr>
            <w:t>Chwastek, S.</w:t>
          </w:r>
          <w:r w:rsidR="009D3C9D" w:rsidRPr="00A04F18">
            <w:rPr>
              <w:color w:val="000000" w:themeColor="text1"/>
              <w:lang w:val="de-DE"/>
            </w:rPr>
            <w:t xml:space="preserve">, </w:t>
          </w:r>
          <w:r>
            <w:rPr>
              <w:color w:val="000000" w:themeColor="text1"/>
              <w:lang w:val="de-DE"/>
            </w:rPr>
            <w:t>Sostmann, M.</w:t>
          </w:r>
          <w:r w:rsidR="009D3C9D" w:rsidRPr="00A04F18">
            <w:rPr>
              <w:color w:val="000000" w:themeColor="text1"/>
              <w:lang w:val="de-DE"/>
            </w:rPr>
            <w:t xml:space="preserve">, &amp; </w:t>
          </w:r>
          <w:r>
            <w:rPr>
              <w:color w:val="000000" w:themeColor="text1"/>
              <w:lang w:val="de-DE"/>
            </w:rPr>
            <w:t>Luhmann, M.</w:t>
          </w:r>
          <w:r w:rsidR="009D3C9D" w:rsidRPr="00A04F18">
            <w:rPr>
              <w:color w:val="000000" w:themeColor="text1"/>
              <w:lang w:val="de-DE"/>
            </w:rPr>
            <w:t xml:space="preserve"> (</w:t>
          </w:r>
          <w:r w:rsidRPr="00A04F18">
            <w:rPr>
              <w:color w:val="000000" w:themeColor="text1"/>
              <w:lang w:val="de-DE"/>
            </w:rPr>
            <w:t>2021</w:t>
          </w:r>
          <w:r w:rsidR="009D3C9D" w:rsidRPr="00A04F18">
            <w:rPr>
              <w:color w:val="000000" w:themeColor="text1"/>
              <w:lang w:val="de-DE"/>
            </w:rPr>
            <w:t xml:space="preserve">). </w:t>
          </w:r>
          <w:r w:rsidR="009D3C9D" w:rsidRPr="005554ED">
            <w:rPr>
              <w:color w:val="000000" w:themeColor="text1"/>
            </w:rPr>
            <w:t>Is loneliness in emerging adults increasing over time? A preregistered cross-temporal meta-analysis</w:t>
          </w:r>
          <w:r>
            <w:rPr>
              <w:color w:val="000000" w:themeColor="text1"/>
            </w:rPr>
            <w:t xml:space="preserve"> and systematic review</w:t>
          </w:r>
          <w:r w:rsidR="009D3C9D" w:rsidRPr="005554ED">
            <w:rPr>
              <w:color w:val="000000" w:themeColor="text1"/>
            </w:rPr>
            <w:t>.</w:t>
          </w:r>
        </w:p>
        <w:p w14:paraId="336B28CC" w14:textId="73DE8B36" w:rsidR="00D63F9D" w:rsidRPr="005554ED" w:rsidRDefault="00A04F18" w:rsidP="00C1158D">
          <w:pPr>
            <w:ind w:firstLine="0"/>
            <w:rPr>
              <w:color w:val="000000" w:themeColor="text1"/>
              <w:sz w:val="22"/>
              <w:szCs w:val="22"/>
            </w:rPr>
          </w:pPr>
        </w:p>
      </w:sdtContent>
    </w:sdt>
    <w:p w14:paraId="3D6F0E43" w14:textId="77777777" w:rsidR="003B6E9A" w:rsidRPr="005554ED" w:rsidRDefault="003B6E9A" w:rsidP="003B6E9A">
      <w:pPr>
        <w:pStyle w:val="NoSpacing"/>
        <w:pBdr>
          <w:top w:val="none" w:sz="4" w:space="2" w:color="000000"/>
        </w:pBdr>
        <w:rPr>
          <w:color w:val="000000" w:themeColor="text1"/>
        </w:rPr>
      </w:pPr>
      <w:r w:rsidRPr="005554ED">
        <w:rPr>
          <w:color w:val="000000" w:themeColor="text1"/>
        </w:rPr>
        <w:t>Table S1</w:t>
      </w:r>
    </w:p>
    <w:p w14:paraId="6882F9CD" w14:textId="7848C8C2" w:rsidR="003B6E9A" w:rsidRPr="005554ED" w:rsidRDefault="003B6E9A" w:rsidP="003B6E9A">
      <w:pPr>
        <w:pStyle w:val="NoSpacing"/>
        <w:pBdr>
          <w:top w:val="none" w:sz="4" w:space="2" w:color="000000"/>
        </w:pBdr>
        <w:rPr>
          <w:color w:val="000000" w:themeColor="text1"/>
        </w:rPr>
      </w:pPr>
      <w:r w:rsidRPr="005554ED">
        <w:rPr>
          <w:i/>
          <w:iCs/>
          <w:color w:val="000000" w:themeColor="text1"/>
        </w:rPr>
        <w:t xml:space="preserve">Frequencies of the </w:t>
      </w:r>
      <w:r w:rsidR="00AF0843" w:rsidRPr="005554ED">
        <w:rPr>
          <w:i/>
          <w:iCs/>
          <w:color w:val="000000" w:themeColor="text1"/>
        </w:rPr>
        <w:t>r</w:t>
      </w:r>
      <w:r w:rsidRPr="005554ED">
        <w:rPr>
          <w:i/>
          <w:iCs/>
          <w:color w:val="000000" w:themeColor="text1"/>
        </w:rPr>
        <w:t xml:space="preserve">easons for </w:t>
      </w:r>
      <w:r w:rsidR="00AF0843" w:rsidRPr="005554ED">
        <w:rPr>
          <w:i/>
          <w:iCs/>
          <w:color w:val="000000" w:themeColor="text1"/>
        </w:rPr>
        <w:t>e</w:t>
      </w:r>
      <w:r w:rsidRPr="005554ED">
        <w:rPr>
          <w:i/>
          <w:iCs/>
          <w:color w:val="000000" w:themeColor="text1"/>
        </w:rPr>
        <w:t xml:space="preserve">xclusions in Step 1a </w:t>
      </w:r>
      <w:r w:rsidR="00AF0843" w:rsidRPr="005554ED">
        <w:rPr>
          <w:i/>
          <w:iCs/>
          <w:color w:val="000000" w:themeColor="text1"/>
        </w:rPr>
        <w:t>p</w:t>
      </w:r>
      <w:r w:rsidRPr="005554ED">
        <w:rPr>
          <w:i/>
          <w:iCs/>
          <w:color w:val="000000" w:themeColor="text1"/>
        </w:rPr>
        <w:t>re-</w:t>
      </w:r>
      <w:r w:rsidR="00AF0843" w:rsidRPr="005554ED">
        <w:rPr>
          <w:i/>
          <w:iCs/>
          <w:color w:val="000000" w:themeColor="text1"/>
        </w:rPr>
        <w:t>s</w:t>
      </w:r>
      <w:r w:rsidRPr="005554ED">
        <w:rPr>
          <w:i/>
          <w:iCs/>
          <w:color w:val="000000" w:themeColor="text1"/>
        </w:rPr>
        <w:t>creening</w:t>
      </w:r>
    </w:p>
    <w:tbl>
      <w:tblPr>
        <w:tblStyle w:val="APAReport"/>
        <w:tblW w:w="0" w:type="auto"/>
        <w:tblLook w:val="04A0" w:firstRow="1" w:lastRow="0" w:firstColumn="1" w:lastColumn="0" w:noHBand="0" w:noVBand="1"/>
      </w:tblPr>
      <w:tblGrid>
        <w:gridCol w:w="4680"/>
        <w:gridCol w:w="1699"/>
      </w:tblGrid>
      <w:tr w:rsidR="005554ED" w:rsidRPr="005554ED" w14:paraId="7F9C7D7B" w14:textId="77777777" w:rsidTr="00CB4703">
        <w:trPr>
          <w:cnfStyle w:val="100000000000" w:firstRow="1" w:lastRow="0" w:firstColumn="0" w:lastColumn="0" w:oddVBand="0" w:evenVBand="0" w:oddHBand="0" w:evenHBand="0" w:firstRowFirstColumn="0" w:firstRowLastColumn="0" w:lastRowFirstColumn="0" w:lastRowLastColumn="0"/>
        </w:trPr>
        <w:tc>
          <w:tcPr>
            <w:tcW w:w="4680" w:type="dxa"/>
          </w:tcPr>
          <w:p w14:paraId="03B62909" w14:textId="77777777" w:rsidR="003B6E9A" w:rsidRPr="005554ED" w:rsidRDefault="003B6E9A" w:rsidP="003B6E9A">
            <w:pPr>
              <w:rPr>
                <w:color w:val="000000" w:themeColor="text1"/>
              </w:rPr>
            </w:pPr>
            <w:bookmarkStart w:id="0" w:name="OLE_LINK135"/>
            <w:bookmarkStart w:id="1" w:name="OLE_LINK136"/>
            <w:r w:rsidRPr="005554ED">
              <w:rPr>
                <w:color w:val="000000" w:themeColor="text1"/>
              </w:rPr>
              <w:t>Reason for exclusion</w:t>
            </w:r>
          </w:p>
        </w:tc>
        <w:tc>
          <w:tcPr>
            <w:tcW w:w="1699" w:type="dxa"/>
          </w:tcPr>
          <w:p w14:paraId="7E50DF89" w14:textId="77777777" w:rsidR="003B6E9A" w:rsidRPr="005554ED" w:rsidRDefault="003B6E9A" w:rsidP="003B6E9A">
            <w:pPr>
              <w:rPr>
                <w:color w:val="000000" w:themeColor="text1"/>
              </w:rPr>
            </w:pPr>
            <w:r w:rsidRPr="005554ED">
              <w:rPr>
                <w:color w:val="000000" w:themeColor="text1"/>
              </w:rPr>
              <w:t>Frequencies</w:t>
            </w:r>
          </w:p>
        </w:tc>
      </w:tr>
      <w:tr w:rsidR="005554ED" w:rsidRPr="005554ED" w14:paraId="74AA5FB9" w14:textId="77777777" w:rsidTr="00CB4703">
        <w:tc>
          <w:tcPr>
            <w:tcW w:w="4680" w:type="dxa"/>
            <w:vAlign w:val="bottom"/>
          </w:tcPr>
          <w:p w14:paraId="3186DB7C" w14:textId="77777777" w:rsidR="003B6E9A" w:rsidRPr="005554ED" w:rsidRDefault="003B6E9A" w:rsidP="003B6E9A">
            <w:pPr>
              <w:rPr>
                <w:color w:val="000000" w:themeColor="text1"/>
              </w:rPr>
            </w:pPr>
            <w:r w:rsidRPr="005554ED">
              <w:rPr>
                <w:color w:val="000000" w:themeColor="text1"/>
              </w:rPr>
              <w:t>Duplicate</w:t>
            </w:r>
          </w:p>
        </w:tc>
        <w:tc>
          <w:tcPr>
            <w:tcW w:w="1699" w:type="dxa"/>
          </w:tcPr>
          <w:p w14:paraId="1D9EEB02" w14:textId="77777777" w:rsidR="003B6E9A" w:rsidRPr="005554ED" w:rsidRDefault="003B6E9A" w:rsidP="003B6E9A">
            <w:pPr>
              <w:jc w:val="right"/>
              <w:rPr>
                <w:color w:val="000000" w:themeColor="text1"/>
              </w:rPr>
            </w:pPr>
            <w:r w:rsidRPr="005554ED">
              <w:rPr>
                <w:color w:val="000000" w:themeColor="text1"/>
              </w:rPr>
              <w:t>1</w:t>
            </w:r>
          </w:p>
        </w:tc>
      </w:tr>
      <w:tr w:rsidR="005554ED" w:rsidRPr="005554ED" w14:paraId="36D6C8E8" w14:textId="77777777" w:rsidTr="00CB4703">
        <w:tc>
          <w:tcPr>
            <w:tcW w:w="4680" w:type="dxa"/>
            <w:vAlign w:val="bottom"/>
          </w:tcPr>
          <w:p w14:paraId="47273EA8" w14:textId="77777777" w:rsidR="003B6E9A" w:rsidRPr="005554ED" w:rsidRDefault="003B6E9A" w:rsidP="003B6E9A">
            <w:pPr>
              <w:rPr>
                <w:color w:val="000000" w:themeColor="text1"/>
              </w:rPr>
            </w:pPr>
            <w:r w:rsidRPr="005554ED">
              <w:rPr>
                <w:color w:val="000000" w:themeColor="text1"/>
              </w:rPr>
              <w:t>Studies published before UCLA or DJG-LS were published</w:t>
            </w:r>
          </w:p>
        </w:tc>
        <w:tc>
          <w:tcPr>
            <w:tcW w:w="1699" w:type="dxa"/>
          </w:tcPr>
          <w:p w14:paraId="479B9603" w14:textId="77777777" w:rsidR="003B6E9A" w:rsidRPr="005554ED" w:rsidRDefault="003B6E9A" w:rsidP="003B6E9A">
            <w:pPr>
              <w:jc w:val="right"/>
              <w:rPr>
                <w:color w:val="000000" w:themeColor="text1"/>
              </w:rPr>
            </w:pPr>
            <w:r w:rsidRPr="005554ED">
              <w:rPr>
                <w:color w:val="000000" w:themeColor="text1"/>
              </w:rPr>
              <w:t>88</w:t>
            </w:r>
          </w:p>
        </w:tc>
      </w:tr>
      <w:tr w:rsidR="005554ED" w:rsidRPr="005554ED" w14:paraId="4806ACC6" w14:textId="77777777" w:rsidTr="00CB4703">
        <w:tc>
          <w:tcPr>
            <w:tcW w:w="4680" w:type="dxa"/>
            <w:vAlign w:val="bottom"/>
          </w:tcPr>
          <w:p w14:paraId="68E6419F" w14:textId="77777777" w:rsidR="003B6E9A" w:rsidRPr="005554ED" w:rsidRDefault="003B6E9A" w:rsidP="003B6E9A">
            <w:pPr>
              <w:rPr>
                <w:color w:val="000000" w:themeColor="text1"/>
              </w:rPr>
            </w:pPr>
            <w:r w:rsidRPr="005554ED">
              <w:rPr>
                <w:color w:val="000000" w:themeColor="text1"/>
              </w:rPr>
              <w:t>No appropriate loneliness measure</w:t>
            </w:r>
          </w:p>
        </w:tc>
        <w:tc>
          <w:tcPr>
            <w:tcW w:w="1699" w:type="dxa"/>
          </w:tcPr>
          <w:p w14:paraId="64706CB1" w14:textId="77777777" w:rsidR="003B6E9A" w:rsidRPr="005554ED" w:rsidRDefault="003B6E9A" w:rsidP="003B6E9A">
            <w:pPr>
              <w:jc w:val="right"/>
              <w:rPr>
                <w:color w:val="000000" w:themeColor="text1"/>
              </w:rPr>
            </w:pPr>
            <w:r w:rsidRPr="005554ED">
              <w:rPr>
                <w:color w:val="000000" w:themeColor="text1"/>
              </w:rPr>
              <w:t>234</w:t>
            </w:r>
          </w:p>
        </w:tc>
      </w:tr>
      <w:tr w:rsidR="005554ED" w:rsidRPr="005554ED" w14:paraId="2623F552" w14:textId="77777777" w:rsidTr="00CB4703">
        <w:tc>
          <w:tcPr>
            <w:tcW w:w="4680" w:type="dxa"/>
            <w:vAlign w:val="bottom"/>
          </w:tcPr>
          <w:p w14:paraId="431F060A" w14:textId="77777777" w:rsidR="003B6E9A" w:rsidRPr="005554ED" w:rsidRDefault="003B6E9A" w:rsidP="003B6E9A">
            <w:pPr>
              <w:rPr>
                <w:color w:val="000000" w:themeColor="text1"/>
              </w:rPr>
            </w:pPr>
            <w:r w:rsidRPr="005554ED">
              <w:rPr>
                <w:color w:val="000000" w:themeColor="text1"/>
              </w:rPr>
              <w:t>No original empirical study</w:t>
            </w:r>
          </w:p>
        </w:tc>
        <w:tc>
          <w:tcPr>
            <w:tcW w:w="1699" w:type="dxa"/>
          </w:tcPr>
          <w:p w14:paraId="18378CDF" w14:textId="77777777" w:rsidR="003B6E9A" w:rsidRPr="005554ED" w:rsidRDefault="003B6E9A" w:rsidP="003B6E9A">
            <w:pPr>
              <w:jc w:val="right"/>
              <w:rPr>
                <w:color w:val="000000" w:themeColor="text1"/>
              </w:rPr>
            </w:pPr>
            <w:r w:rsidRPr="005554ED">
              <w:rPr>
                <w:color w:val="000000" w:themeColor="text1"/>
              </w:rPr>
              <w:t>780</w:t>
            </w:r>
          </w:p>
        </w:tc>
      </w:tr>
      <w:tr w:rsidR="005554ED" w:rsidRPr="005554ED" w14:paraId="1E082A0E" w14:textId="77777777" w:rsidTr="00CB4703">
        <w:tc>
          <w:tcPr>
            <w:tcW w:w="4680" w:type="dxa"/>
            <w:vAlign w:val="bottom"/>
          </w:tcPr>
          <w:p w14:paraId="4C870801" w14:textId="77777777" w:rsidR="003B6E9A" w:rsidRPr="005554ED" w:rsidRDefault="003B6E9A" w:rsidP="003B6E9A">
            <w:pPr>
              <w:rPr>
                <w:color w:val="000000" w:themeColor="text1"/>
              </w:rPr>
            </w:pPr>
            <w:r w:rsidRPr="005554ED">
              <w:rPr>
                <w:color w:val="000000" w:themeColor="text1"/>
              </w:rPr>
              <w:t>Age range not appropriate</w:t>
            </w:r>
          </w:p>
        </w:tc>
        <w:tc>
          <w:tcPr>
            <w:tcW w:w="1699" w:type="dxa"/>
          </w:tcPr>
          <w:p w14:paraId="734AF78F" w14:textId="77777777" w:rsidR="003B6E9A" w:rsidRPr="005554ED" w:rsidRDefault="003B6E9A" w:rsidP="003B6E9A">
            <w:pPr>
              <w:jc w:val="right"/>
              <w:rPr>
                <w:color w:val="000000" w:themeColor="text1"/>
              </w:rPr>
            </w:pPr>
            <w:r w:rsidRPr="005554ED">
              <w:rPr>
                <w:color w:val="000000" w:themeColor="text1"/>
              </w:rPr>
              <w:t>1,515</w:t>
            </w:r>
          </w:p>
        </w:tc>
      </w:tr>
      <w:tr w:rsidR="005554ED" w:rsidRPr="005554ED" w14:paraId="217BADB0" w14:textId="77777777" w:rsidTr="00CB4703">
        <w:tc>
          <w:tcPr>
            <w:tcW w:w="4680" w:type="dxa"/>
            <w:tcBorders>
              <w:top w:val="single" w:sz="4" w:space="0" w:color="auto"/>
              <w:bottom w:val="single" w:sz="12" w:space="0" w:color="000000"/>
            </w:tcBorders>
            <w:vAlign w:val="bottom"/>
          </w:tcPr>
          <w:p w14:paraId="3A420D5D" w14:textId="77777777" w:rsidR="003B6E9A" w:rsidRPr="005554ED" w:rsidRDefault="003B6E9A" w:rsidP="003B6E9A">
            <w:pPr>
              <w:rPr>
                <w:color w:val="000000" w:themeColor="text1"/>
              </w:rPr>
            </w:pPr>
            <w:r w:rsidRPr="005554ED">
              <w:rPr>
                <w:color w:val="000000" w:themeColor="text1"/>
              </w:rPr>
              <w:t>Total</w:t>
            </w:r>
          </w:p>
        </w:tc>
        <w:tc>
          <w:tcPr>
            <w:tcW w:w="1699" w:type="dxa"/>
            <w:tcBorders>
              <w:top w:val="single" w:sz="4" w:space="0" w:color="auto"/>
              <w:bottom w:val="single" w:sz="12" w:space="0" w:color="000000"/>
            </w:tcBorders>
          </w:tcPr>
          <w:p w14:paraId="13077E0E" w14:textId="77777777" w:rsidR="003B6E9A" w:rsidRPr="005554ED" w:rsidRDefault="003B6E9A" w:rsidP="003B6E9A">
            <w:pPr>
              <w:jc w:val="right"/>
              <w:rPr>
                <w:color w:val="000000" w:themeColor="text1"/>
              </w:rPr>
            </w:pPr>
            <w:r w:rsidRPr="005554ED">
              <w:rPr>
                <w:color w:val="000000" w:themeColor="text1"/>
              </w:rPr>
              <w:t>2,618</w:t>
            </w:r>
          </w:p>
        </w:tc>
      </w:tr>
      <w:bookmarkEnd w:id="0"/>
      <w:bookmarkEnd w:id="1"/>
    </w:tbl>
    <w:p w14:paraId="20C3012C" w14:textId="77777777" w:rsidR="003B6E9A" w:rsidRPr="005554ED" w:rsidRDefault="003B6E9A" w:rsidP="003B6E9A">
      <w:pPr>
        <w:ind w:firstLine="0"/>
        <w:rPr>
          <w:color w:val="000000" w:themeColor="text1"/>
        </w:rPr>
      </w:pPr>
    </w:p>
    <w:p w14:paraId="7410AC5B" w14:textId="77777777" w:rsidR="003B6E9A" w:rsidRPr="005554ED" w:rsidRDefault="003B6E9A" w:rsidP="003B6E9A">
      <w:pPr>
        <w:pStyle w:val="NoSpacing"/>
        <w:rPr>
          <w:color w:val="000000" w:themeColor="text1"/>
        </w:rPr>
      </w:pPr>
      <w:bookmarkStart w:id="2" w:name="OLE_LINK229"/>
      <w:bookmarkStart w:id="3" w:name="OLE_LINK230"/>
      <w:r w:rsidRPr="005554ED">
        <w:rPr>
          <w:color w:val="000000" w:themeColor="text1"/>
        </w:rPr>
        <w:t>Table S2</w:t>
      </w:r>
    </w:p>
    <w:p w14:paraId="3EB101D1" w14:textId="26FE64CD" w:rsidR="003B6E9A" w:rsidRPr="005554ED" w:rsidRDefault="003B6E9A" w:rsidP="003B6E9A">
      <w:pPr>
        <w:pStyle w:val="NoSpacing"/>
        <w:rPr>
          <w:color w:val="000000" w:themeColor="text1"/>
        </w:rPr>
      </w:pPr>
      <w:r w:rsidRPr="005554ED">
        <w:rPr>
          <w:i/>
          <w:iCs/>
          <w:color w:val="000000" w:themeColor="text1"/>
        </w:rPr>
        <w:t xml:space="preserve">Frequencies of the </w:t>
      </w:r>
      <w:r w:rsidR="00AF0843" w:rsidRPr="005554ED">
        <w:rPr>
          <w:i/>
          <w:iCs/>
          <w:color w:val="000000" w:themeColor="text1"/>
        </w:rPr>
        <w:t>r</w:t>
      </w:r>
      <w:r w:rsidRPr="005554ED">
        <w:rPr>
          <w:i/>
          <w:iCs/>
          <w:color w:val="000000" w:themeColor="text1"/>
        </w:rPr>
        <w:t xml:space="preserve">easons for </w:t>
      </w:r>
      <w:r w:rsidR="00AF0843" w:rsidRPr="005554ED">
        <w:rPr>
          <w:i/>
          <w:iCs/>
          <w:color w:val="000000" w:themeColor="text1"/>
        </w:rPr>
        <w:t>e</w:t>
      </w:r>
      <w:r w:rsidRPr="005554ED">
        <w:rPr>
          <w:i/>
          <w:iCs/>
          <w:color w:val="000000" w:themeColor="text1"/>
        </w:rPr>
        <w:t>xclusions in Step 1b</w:t>
      </w:r>
    </w:p>
    <w:tbl>
      <w:tblPr>
        <w:tblStyle w:val="APAReport"/>
        <w:tblW w:w="0" w:type="auto"/>
        <w:tblLook w:val="04A0" w:firstRow="1" w:lastRow="0" w:firstColumn="1" w:lastColumn="0" w:noHBand="0" w:noVBand="1"/>
      </w:tblPr>
      <w:tblGrid>
        <w:gridCol w:w="4680"/>
        <w:gridCol w:w="1699"/>
      </w:tblGrid>
      <w:tr w:rsidR="005554ED" w:rsidRPr="005554ED" w14:paraId="24ADE401" w14:textId="77777777" w:rsidTr="00CB4703">
        <w:trPr>
          <w:cnfStyle w:val="100000000000" w:firstRow="1" w:lastRow="0" w:firstColumn="0" w:lastColumn="0" w:oddVBand="0" w:evenVBand="0" w:oddHBand="0" w:evenHBand="0" w:firstRowFirstColumn="0" w:firstRowLastColumn="0" w:lastRowFirstColumn="0" w:lastRowLastColumn="0"/>
        </w:trPr>
        <w:tc>
          <w:tcPr>
            <w:tcW w:w="4680" w:type="dxa"/>
          </w:tcPr>
          <w:p w14:paraId="279F71FD" w14:textId="77777777" w:rsidR="003B6E9A" w:rsidRPr="005554ED" w:rsidRDefault="003B6E9A" w:rsidP="003B6E9A">
            <w:pPr>
              <w:rPr>
                <w:color w:val="000000" w:themeColor="text1"/>
              </w:rPr>
            </w:pPr>
            <w:r w:rsidRPr="005554ED">
              <w:rPr>
                <w:color w:val="000000" w:themeColor="text1"/>
              </w:rPr>
              <w:t>Reason for exclusion</w:t>
            </w:r>
          </w:p>
        </w:tc>
        <w:tc>
          <w:tcPr>
            <w:tcW w:w="1699" w:type="dxa"/>
          </w:tcPr>
          <w:p w14:paraId="2AE4C031" w14:textId="77777777" w:rsidR="003B6E9A" w:rsidRPr="005554ED" w:rsidRDefault="003B6E9A" w:rsidP="003B6E9A">
            <w:pPr>
              <w:rPr>
                <w:color w:val="000000" w:themeColor="text1"/>
              </w:rPr>
            </w:pPr>
            <w:r w:rsidRPr="005554ED">
              <w:rPr>
                <w:color w:val="000000" w:themeColor="text1"/>
              </w:rPr>
              <w:t>Frequencies</w:t>
            </w:r>
          </w:p>
        </w:tc>
      </w:tr>
      <w:tr w:rsidR="005554ED" w:rsidRPr="005554ED" w14:paraId="74460EE6" w14:textId="77777777" w:rsidTr="00CB4703">
        <w:tc>
          <w:tcPr>
            <w:tcW w:w="4680" w:type="dxa"/>
            <w:vAlign w:val="bottom"/>
          </w:tcPr>
          <w:p w14:paraId="3E10C9CA" w14:textId="77777777" w:rsidR="003B6E9A" w:rsidRPr="005554ED" w:rsidRDefault="003B6E9A" w:rsidP="003B6E9A">
            <w:pPr>
              <w:rPr>
                <w:color w:val="000000" w:themeColor="text1"/>
              </w:rPr>
            </w:pPr>
            <w:r w:rsidRPr="005554ED">
              <w:rPr>
                <w:color w:val="000000" w:themeColor="text1"/>
              </w:rPr>
              <w:t>Duplicate</w:t>
            </w:r>
          </w:p>
        </w:tc>
        <w:tc>
          <w:tcPr>
            <w:tcW w:w="1699" w:type="dxa"/>
          </w:tcPr>
          <w:p w14:paraId="251A128A" w14:textId="77777777" w:rsidR="003B6E9A" w:rsidRPr="005554ED" w:rsidRDefault="003B6E9A" w:rsidP="003B6E9A">
            <w:pPr>
              <w:jc w:val="right"/>
              <w:rPr>
                <w:color w:val="000000" w:themeColor="text1"/>
              </w:rPr>
            </w:pPr>
            <w:r w:rsidRPr="005554ED">
              <w:rPr>
                <w:color w:val="000000" w:themeColor="text1"/>
              </w:rPr>
              <w:t>1</w:t>
            </w:r>
          </w:p>
        </w:tc>
      </w:tr>
      <w:tr w:rsidR="005554ED" w:rsidRPr="005554ED" w14:paraId="4E9B2505" w14:textId="77777777" w:rsidTr="00CB4703">
        <w:tc>
          <w:tcPr>
            <w:tcW w:w="4680" w:type="dxa"/>
            <w:vAlign w:val="bottom"/>
          </w:tcPr>
          <w:p w14:paraId="3EB6746F" w14:textId="77777777" w:rsidR="003B6E9A" w:rsidRPr="005554ED" w:rsidRDefault="003B6E9A" w:rsidP="003B6E9A">
            <w:pPr>
              <w:rPr>
                <w:color w:val="000000" w:themeColor="text1"/>
              </w:rPr>
            </w:pPr>
            <w:r w:rsidRPr="005554ED">
              <w:rPr>
                <w:color w:val="000000" w:themeColor="text1"/>
              </w:rPr>
              <w:t>Experimental manipulation did affect the loneliness scores</w:t>
            </w:r>
          </w:p>
        </w:tc>
        <w:tc>
          <w:tcPr>
            <w:tcW w:w="1699" w:type="dxa"/>
          </w:tcPr>
          <w:p w14:paraId="789D88EF" w14:textId="77777777" w:rsidR="003B6E9A" w:rsidRPr="005554ED" w:rsidRDefault="003B6E9A" w:rsidP="003B6E9A">
            <w:pPr>
              <w:jc w:val="right"/>
              <w:rPr>
                <w:color w:val="000000" w:themeColor="text1"/>
              </w:rPr>
            </w:pPr>
            <w:r w:rsidRPr="005554ED">
              <w:rPr>
                <w:color w:val="000000" w:themeColor="text1"/>
              </w:rPr>
              <w:t>3</w:t>
            </w:r>
          </w:p>
        </w:tc>
      </w:tr>
      <w:tr w:rsidR="005554ED" w:rsidRPr="005554ED" w14:paraId="07F02A9A" w14:textId="77777777" w:rsidTr="00CB4703">
        <w:tc>
          <w:tcPr>
            <w:tcW w:w="4680" w:type="dxa"/>
            <w:vAlign w:val="bottom"/>
          </w:tcPr>
          <w:p w14:paraId="30E815BF" w14:textId="77777777" w:rsidR="003B6E9A" w:rsidRPr="005554ED" w:rsidRDefault="003B6E9A" w:rsidP="003B6E9A">
            <w:pPr>
              <w:rPr>
                <w:color w:val="000000" w:themeColor="text1"/>
              </w:rPr>
            </w:pPr>
            <w:r w:rsidRPr="005554ED">
              <w:rPr>
                <w:color w:val="000000" w:themeColor="text1"/>
              </w:rPr>
              <w:t>Sample selected based on criteria relating to the loneliness scale</w:t>
            </w:r>
          </w:p>
        </w:tc>
        <w:tc>
          <w:tcPr>
            <w:tcW w:w="1699" w:type="dxa"/>
          </w:tcPr>
          <w:p w14:paraId="52970D90" w14:textId="77777777" w:rsidR="003B6E9A" w:rsidRPr="005554ED" w:rsidRDefault="003B6E9A" w:rsidP="003B6E9A">
            <w:pPr>
              <w:jc w:val="right"/>
              <w:rPr>
                <w:color w:val="000000" w:themeColor="text1"/>
              </w:rPr>
            </w:pPr>
            <w:r w:rsidRPr="005554ED">
              <w:rPr>
                <w:color w:val="000000" w:themeColor="text1"/>
              </w:rPr>
              <w:t>12</w:t>
            </w:r>
          </w:p>
        </w:tc>
      </w:tr>
      <w:tr w:rsidR="005554ED" w:rsidRPr="005554ED" w14:paraId="4D4FE0B0" w14:textId="77777777" w:rsidTr="00CB4703">
        <w:tc>
          <w:tcPr>
            <w:tcW w:w="4680" w:type="dxa"/>
            <w:vAlign w:val="bottom"/>
          </w:tcPr>
          <w:p w14:paraId="239F0EE5" w14:textId="77777777" w:rsidR="003B6E9A" w:rsidRPr="005554ED" w:rsidRDefault="003B6E9A" w:rsidP="003B6E9A">
            <w:pPr>
              <w:rPr>
                <w:color w:val="000000" w:themeColor="text1"/>
              </w:rPr>
            </w:pPr>
            <w:r w:rsidRPr="005554ED">
              <w:rPr>
                <w:color w:val="000000" w:themeColor="text1"/>
              </w:rPr>
              <w:t>No original empirical study</w:t>
            </w:r>
          </w:p>
        </w:tc>
        <w:tc>
          <w:tcPr>
            <w:tcW w:w="1699" w:type="dxa"/>
          </w:tcPr>
          <w:p w14:paraId="280B1C78" w14:textId="77777777" w:rsidR="003B6E9A" w:rsidRPr="005554ED" w:rsidRDefault="003B6E9A" w:rsidP="003B6E9A">
            <w:pPr>
              <w:jc w:val="right"/>
              <w:rPr>
                <w:color w:val="000000" w:themeColor="text1"/>
              </w:rPr>
            </w:pPr>
            <w:r w:rsidRPr="005554ED">
              <w:rPr>
                <w:color w:val="000000" w:themeColor="text1"/>
              </w:rPr>
              <w:t>28</w:t>
            </w:r>
          </w:p>
        </w:tc>
      </w:tr>
      <w:tr w:rsidR="005554ED" w:rsidRPr="005554ED" w14:paraId="1B141229" w14:textId="77777777" w:rsidTr="00CB4703">
        <w:tc>
          <w:tcPr>
            <w:tcW w:w="4680" w:type="dxa"/>
            <w:vAlign w:val="bottom"/>
          </w:tcPr>
          <w:p w14:paraId="0C6BA984" w14:textId="77777777" w:rsidR="003B6E9A" w:rsidRPr="005554ED" w:rsidRDefault="003B6E9A" w:rsidP="003B6E9A">
            <w:pPr>
              <w:rPr>
                <w:color w:val="000000" w:themeColor="text1"/>
              </w:rPr>
            </w:pPr>
            <w:r w:rsidRPr="005554ED">
              <w:rPr>
                <w:color w:val="000000" w:themeColor="text1"/>
              </w:rPr>
              <w:t>No English/German language</w:t>
            </w:r>
          </w:p>
        </w:tc>
        <w:tc>
          <w:tcPr>
            <w:tcW w:w="1699" w:type="dxa"/>
          </w:tcPr>
          <w:p w14:paraId="1952DDCF" w14:textId="77777777" w:rsidR="003B6E9A" w:rsidRPr="005554ED" w:rsidRDefault="003B6E9A" w:rsidP="003B6E9A">
            <w:pPr>
              <w:jc w:val="right"/>
              <w:rPr>
                <w:color w:val="000000" w:themeColor="text1"/>
              </w:rPr>
            </w:pPr>
            <w:r w:rsidRPr="005554ED">
              <w:rPr>
                <w:color w:val="000000" w:themeColor="text1"/>
              </w:rPr>
              <w:t>45</w:t>
            </w:r>
          </w:p>
        </w:tc>
      </w:tr>
      <w:tr w:rsidR="005554ED" w:rsidRPr="005554ED" w14:paraId="520C58A9" w14:textId="77777777" w:rsidTr="00CB4703">
        <w:tc>
          <w:tcPr>
            <w:tcW w:w="4680" w:type="dxa"/>
            <w:vAlign w:val="bottom"/>
          </w:tcPr>
          <w:p w14:paraId="6C097F11" w14:textId="77777777" w:rsidR="003B6E9A" w:rsidRPr="005554ED" w:rsidRDefault="003B6E9A" w:rsidP="003B6E9A">
            <w:pPr>
              <w:rPr>
                <w:color w:val="000000" w:themeColor="text1"/>
              </w:rPr>
            </w:pPr>
            <w:r w:rsidRPr="005554ED">
              <w:rPr>
                <w:color w:val="000000" w:themeColor="text1"/>
              </w:rPr>
              <w:t>No appropriate loneliness measure</w:t>
            </w:r>
          </w:p>
        </w:tc>
        <w:tc>
          <w:tcPr>
            <w:tcW w:w="1699" w:type="dxa"/>
          </w:tcPr>
          <w:p w14:paraId="435C96A7" w14:textId="77777777" w:rsidR="003B6E9A" w:rsidRPr="005554ED" w:rsidRDefault="003B6E9A" w:rsidP="003B6E9A">
            <w:pPr>
              <w:jc w:val="right"/>
              <w:rPr>
                <w:color w:val="000000" w:themeColor="text1"/>
              </w:rPr>
            </w:pPr>
            <w:r w:rsidRPr="005554ED">
              <w:rPr>
                <w:color w:val="000000" w:themeColor="text1"/>
              </w:rPr>
              <w:t>286</w:t>
            </w:r>
          </w:p>
        </w:tc>
      </w:tr>
      <w:tr w:rsidR="005554ED" w:rsidRPr="005554ED" w14:paraId="16263454" w14:textId="77777777" w:rsidTr="00CB4703">
        <w:tc>
          <w:tcPr>
            <w:tcW w:w="4680" w:type="dxa"/>
            <w:vAlign w:val="bottom"/>
          </w:tcPr>
          <w:p w14:paraId="3EB23CFC" w14:textId="77777777" w:rsidR="003B6E9A" w:rsidRPr="005554ED" w:rsidRDefault="003B6E9A" w:rsidP="003B6E9A">
            <w:pPr>
              <w:rPr>
                <w:color w:val="000000" w:themeColor="text1"/>
              </w:rPr>
            </w:pPr>
            <w:r w:rsidRPr="005554ED">
              <w:rPr>
                <w:color w:val="000000" w:themeColor="text1"/>
              </w:rPr>
              <w:t>Full text not available</w:t>
            </w:r>
          </w:p>
        </w:tc>
        <w:tc>
          <w:tcPr>
            <w:tcW w:w="1699" w:type="dxa"/>
          </w:tcPr>
          <w:p w14:paraId="56DA7779" w14:textId="77777777" w:rsidR="003B6E9A" w:rsidRPr="005554ED" w:rsidRDefault="003B6E9A" w:rsidP="003B6E9A">
            <w:pPr>
              <w:jc w:val="right"/>
              <w:rPr>
                <w:color w:val="000000" w:themeColor="text1"/>
              </w:rPr>
            </w:pPr>
            <w:r w:rsidRPr="005554ED">
              <w:rPr>
                <w:color w:val="000000" w:themeColor="text1"/>
              </w:rPr>
              <w:t>402</w:t>
            </w:r>
          </w:p>
        </w:tc>
      </w:tr>
      <w:tr w:rsidR="005554ED" w:rsidRPr="005554ED" w14:paraId="6D0956E4" w14:textId="77777777" w:rsidTr="00CB4703">
        <w:tc>
          <w:tcPr>
            <w:tcW w:w="4680" w:type="dxa"/>
            <w:vAlign w:val="bottom"/>
          </w:tcPr>
          <w:p w14:paraId="52B2260C" w14:textId="77777777" w:rsidR="003B6E9A" w:rsidRPr="005554ED" w:rsidRDefault="003B6E9A" w:rsidP="003B6E9A">
            <w:pPr>
              <w:rPr>
                <w:color w:val="000000" w:themeColor="text1"/>
              </w:rPr>
            </w:pPr>
            <w:r w:rsidRPr="005554ED">
              <w:rPr>
                <w:color w:val="000000" w:themeColor="text1"/>
              </w:rPr>
              <w:t>Age range not appropriate</w:t>
            </w:r>
          </w:p>
        </w:tc>
        <w:tc>
          <w:tcPr>
            <w:tcW w:w="1699" w:type="dxa"/>
          </w:tcPr>
          <w:p w14:paraId="176A88A8" w14:textId="77777777" w:rsidR="003B6E9A" w:rsidRPr="005554ED" w:rsidRDefault="003B6E9A" w:rsidP="003B6E9A">
            <w:pPr>
              <w:jc w:val="right"/>
              <w:rPr>
                <w:color w:val="000000" w:themeColor="text1"/>
              </w:rPr>
            </w:pPr>
            <w:r w:rsidRPr="005554ED">
              <w:rPr>
                <w:color w:val="000000" w:themeColor="text1"/>
              </w:rPr>
              <w:t>453</w:t>
            </w:r>
          </w:p>
        </w:tc>
      </w:tr>
      <w:tr w:rsidR="005554ED" w:rsidRPr="005554ED" w14:paraId="0C691CD1" w14:textId="77777777" w:rsidTr="00CB4703">
        <w:tc>
          <w:tcPr>
            <w:tcW w:w="4680" w:type="dxa"/>
            <w:tcBorders>
              <w:top w:val="single" w:sz="4" w:space="0" w:color="auto"/>
              <w:bottom w:val="single" w:sz="12" w:space="0" w:color="000000"/>
            </w:tcBorders>
            <w:vAlign w:val="bottom"/>
          </w:tcPr>
          <w:p w14:paraId="1A575C12" w14:textId="77777777" w:rsidR="003B6E9A" w:rsidRPr="005554ED" w:rsidRDefault="003B6E9A" w:rsidP="003B6E9A">
            <w:pPr>
              <w:rPr>
                <w:color w:val="000000" w:themeColor="text1"/>
              </w:rPr>
            </w:pPr>
            <w:r w:rsidRPr="005554ED">
              <w:rPr>
                <w:color w:val="000000" w:themeColor="text1"/>
              </w:rPr>
              <w:t>Total</w:t>
            </w:r>
          </w:p>
        </w:tc>
        <w:tc>
          <w:tcPr>
            <w:tcW w:w="1699" w:type="dxa"/>
            <w:tcBorders>
              <w:top w:val="single" w:sz="4" w:space="0" w:color="auto"/>
              <w:bottom w:val="single" w:sz="12" w:space="0" w:color="000000"/>
            </w:tcBorders>
          </w:tcPr>
          <w:p w14:paraId="2473E01A" w14:textId="77777777" w:rsidR="003B6E9A" w:rsidRPr="005554ED" w:rsidRDefault="003B6E9A" w:rsidP="003B6E9A">
            <w:pPr>
              <w:jc w:val="right"/>
              <w:rPr>
                <w:color w:val="000000" w:themeColor="text1"/>
              </w:rPr>
            </w:pPr>
            <w:r w:rsidRPr="005554ED">
              <w:rPr>
                <w:color w:val="000000" w:themeColor="text1"/>
              </w:rPr>
              <w:t>1,230</w:t>
            </w:r>
          </w:p>
        </w:tc>
      </w:tr>
      <w:bookmarkEnd w:id="2"/>
      <w:bookmarkEnd w:id="3"/>
    </w:tbl>
    <w:p w14:paraId="0E683972" w14:textId="048B25E8" w:rsidR="00F97B72" w:rsidRPr="005554ED" w:rsidRDefault="00F97B72" w:rsidP="00F97B72">
      <w:pPr>
        <w:pStyle w:val="NoSpacing"/>
        <w:rPr>
          <w:color w:val="000000" w:themeColor="text1"/>
        </w:rPr>
      </w:pPr>
    </w:p>
    <w:p w14:paraId="0D46C2B8" w14:textId="231077EA" w:rsidR="003C06F2" w:rsidRPr="005554ED" w:rsidRDefault="003C06F2">
      <w:pPr>
        <w:rPr>
          <w:color w:val="000000" w:themeColor="text1"/>
        </w:rPr>
      </w:pPr>
      <w:r w:rsidRPr="005554ED">
        <w:rPr>
          <w:color w:val="000000" w:themeColor="text1"/>
        </w:rPr>
        <w:br w:type="page"/>
      </w:r>
    </w:p>
    <w:p w14:paraId="3667B08B" w14:textId="0849CD20" w:rsidR="000D7418" w:rsidRPr="005554ED" w:rsidRDefault="000D7418">
      <w:pPr>
        <w:rPr>
          <w:color w:val="000000" w:themeColor="text1"/>
        </w:rPr>
      </w:pPr>
    </w:p>
    <w:p w14:paraId="545BB6F0" w14:textId="3A5077CC" w:rsidR="000D7418" w:rsidRPr="005554ED" w:rsidRDefault="000D7418">
      <w:pPr>
        <w:rPr>
          <w:color w:val="000000" w:themeColor="text1"/>
        </w:rPr>
      </w:pPr>
      <w:r w:rsidRPr="005554ED">
        <w:rPr>
          <w:color w:val="000000" w:themeColor="text1"/>
        </w:rPr>
        <w:t>Figure S1</w:t>
      </w:r>
      <w:r w:rsidRPr="005554ED">
        <w:rPr>
          <w:noProof/>
          <w:color w:val="000000" w:themeColor="text1"/>
        </w:rPr>
        <w:drawing>
          <wp:inline distT="0" distB="0" distL="0" distR="0" wp14:anchorId="53969C80" wp14:editId="73559072">
            <wp:extent cx="5943600" cy="396240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3959B986" w14:textId="6B316BB8" w:rsidR="000D7418" w:rsidRPr="005554ED" w:rsidRDefault="000D7418" w:rsidP="001D4651">
      <w:pPr>
        <w:rPr>
          <w:color w:val="000000" w:themeColor="text1"/>
          <w:sz w:val="20"/>
          <w:szCs w:val="20"/>
        </w:rPr>
      </w:pPr>
      <w:r w:rsidRPr="005554ED">
        <w:rPr>
          <w:i/>
          <w:iCs/>
          <w:color w:val="000000" w:themeColor="text1"/>
          <w:sz w:val="20"/>
          <w:szCs w:val="20"/>
        </w:rPr>
        <w:t xml:space="preserve">Note. </w:t>
      </w:r>
      <w:r w:rsidRPr="005554ED">
        <w:rPr>
          <w:color w:val="000000" w:themeColor="text1"/>
          <w:sz w:val="20"/>
          <w:szCs w:val="20"/>
        </w:rPr>
        <w:t xml:space="preserve">UCLA loneliness scale scores (converted into POMP scores) </w:t>
      </w:r>
      <w:r w:rsidR="001D4651" w:rsidRPr="005554ED">
        <w:rPr>
          <w:color w:val="000000" w:themeColor="text1"/>
          <w:sz w:val="20"/>
          <w:szCs w:val="20"/>
        </w:rPr>
        <w:t xml:space="preserve">from European </w:t>
      </w:r>
      <w:r w:rsidR="00CA656A" w:rsidRPr="005554ED">
        <w:rPr>
          <w:color w:val="000000" w:themeColor="text1"/>
          <w:sz w:val="20"/>
          <w:szCs w:val="20"/>
        </w:rPr>
        <w:t xml:space="preserve">samples </w:t>
      </w:r>
      <w:r w:rsidRPr="005554ED">
        <w:rPr>
          <w:color w:val="000000" w:themeColor="text1"/>
          <w:sz w:val="20"/>
          <w:szCs w:val="20"/>
        </w:rPr>
        <w:t>plotted against the year of data collection. The solid blue line represents a LOESS curve. Data-points represent study POMP scores, and the size of the data points is proportional to study (inverse variance) weighting.</w:t>
      </w:r>
    </w:p>
    <w:p w14:paraId="37B7F80D" w14:textId="77777777" w:rsidR="001D4651" w:rsidRPr="005554ED" w:rsidRDefault="001D4651">
      <w:pPr>
        <w:rPr>
          <w:color w:val="000000" w:themeColor="text1"/>
        </w:rPr>
      </w:pPr>
      <w:r w:rsidRPr="005554ED">
        <w:rPr>
          <w:color w:val="000000" w:themeColor="text1"/>
        </w:rPr>
        <w:br w:type="page"/>
      </w:r>
    </w:p>
    <w:p w14:paraId="0FB957FA" w14:textId="5FE6E3A4" w:rsidR="000D7418" w:rsidRPr="005554ED" w:rsidRDefault="000D7418" w:rsidP="000D7418">
      <w:pPr>
        <w:rPr>
          <w:noProof/>
          <w:color w:val="000000" w:themeColor="text1"/>
        </w:rPr>
      </w:pPr>
      <w:bookmarkStart w:id="4" w:name="OLE_LINK203"/>
      <w:bookmarkStart w:id="5" w:name="OLE_LINK204"/>
      <w:r w:rsidRPr="005554ED">
        <w:rPr>
          <w:color w:val="000000" w:themeColor="text1"/>
        </w:rPr>
        <w:lastRenderedPageBreak/>
        <w:t>Figure S2</w:t>
      </w:r>
    </w:p>
    <w:p w14:paraId="45D5B17F" w14:textId="36684456" w:rsidR="000D7418" w:rsidRPr="005554ED" w:rsidRDefault="001D4651" w:rsidP="000D7418">
      <w:pPr>
        <w:rPr>
          <w:color w:val="000000" w:themeColor="text1"/>
        </w:rPr>
      </w:pPr>
      <w:r w:rsidRPr="005554ED">
        <w:rPr>
          <w:noProof/>
          <w:color w:val="000000" w:themeColor="text1"/>
        </w:rPr>
        <w:drawing>
          <wp:inline distT="0" distB="0" distL="0" distR="0" wp14:anchorId="59125C1A" wp14:editId="15BC8F6D">
            <wp:extent cx="5943600" cy="396240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26330E53" w14:textId="3D09555C" w:rsidR="000D7418" w:rsidRPr="005554ED" w:rsidRDefault="000D7418" w:rsidP="001D4651">
      <w:pPr>
        <w:rPr>
          <w:color w:val="000000" w:themeColor="text1"/>
          <w:sz w:val="20"/>
          <w:szCs w:val="20"/>
        </w:rPr>
      </w:pPr>
      <w:r w:rsidRPr="005554ED">
        <w:rPr>
          <w:i/>
          <w:iCs/>
          <w:color w:val="000000" w:themeColor="text1"/>
          <w:sz w:val="20"/>
          <w:szCs w:val="20"/>
        </w:rPr>
        <w:t xml:space="preserve">Note. </w:t>
      </w:r>
      <w:r w:rsidRPr="005554ED">
        <w:rPr>
          <w:color w:val="000000" w:themeColor="text1"/>
          <w:sz w:val="20"/>
          <w:szCs w:val="20"/>
        </w:rPr>
        <w:t xml:space="preserve">UCLA loneliness scale scores (converted into POMP scores) </w:t>
      </w:r>
      <w:r w:rsidR="001D4651" w:rsidRPr="005554ED">
        <w:rPr>
          <w:color w:val="000000" w:themeColor="text1"/>
          <w:sz w:val="20"/>
          <w:szCs w:val="20"/>
        </w:rPr>
        <w:t xml:space="preserve">from American samples </w:t>
      </w:r>
      <w:r w:rsidRPr="005554ED">
        <w:rPr>
          <w:color w:val="000000" w:themeColor="text1"/>
          <w:sz w:val="20"/>
          <w:szCs w:val="20"/>
        </w:rPr>
        <w:t>plotted against the year of data collection. The solid blue line represents a LOESS curve. Data-points represent study POMP scores, and the size of the data points is proportional to study (inverse variance) weighting.</w:t>
      </w:r>
    </w:p>
    <w:bookmarkEnd w:id="4"/>
    <w:bookmarkEnd w:id="5"/>
    <w:p w14:paraId="7D3E64ED" w14:textId="40D26BB9" w:rsidR="001D4651" w:rsidRPr="005554ED" w:rsidRDefault="001D4651">
      <w:pPr>
        <w:rPr>
          <w:color w:val="000000" w:themeColor="text1"/>
        </w:rPr>
      </w:pPr>
      <w:r w:rsidRPr="005554ED">
        <w:rPr>
          <w:color w:val="000000" w:themeColor="text1"/>
        </w:rPr>
        <w:br w:type="page"/>
      </w:r>
    </w:p>
    <w:p w14:paraId="6A58B8BC" w14:textId="1B46DA74" w:rsidR="001D4651" w:rsidRPr="005554ED" w:rsidRDefault="001D4651" w:rsidP="001D4651">
      <w:pPr>
        <w:rPr>
          <w:noProof/>
          <w:color w:val="000000" w:themeColor="text1"/>
        </w:rPr>
      </w:pPr>
      <w:r w:rsidRPr="005554ED">
        <w:rPr>
          <w:color w:val="000000" w:themeColor="text1"/>
        </w:rPr>
        <w:lastRenderedPageBreak/>
        <w:t>Figure S3</w:t>
      </w:r>
    </w:p>
    <w:p w14:paraId="68B3EEEB" w14:textId="72F075ED" w:rsidR="001D4651" w:rsidRPr="005554ED" w:rsidRDefault="001D4651" w:rsidP="001D4651">
      <w:pPr>
        <w:rPr>
          <w:color w:val="000000" w:themeColor="text1"/>
        </w:rPr>
      </w:pPr>
      <w:r w:rsidRPr="005554ED">
        <w:rPr>
          <w:noProof/>
          <w:color w:val="000000" w:themeColor="text1"/>
        </w:rPr>
        <w:drawing>
          <wp:inline distT="0" distB="0" distL="0" distR="0" wp14:anchorId="0DE8F904" wp14:editId="3E2938B3">
            <wp:extent cx="5943600" cy="396240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59E1996B" w14:textId="65497E8D" w:rsidR="001D4651" w:rsidRPr="005554ED" w:rsidRDefault="001D4651" w:rsidP="001D4651">
      <w:pPr>
        <w:rPr>
          <w:color w:val="000000" w:themeColor="text1"/>
          <w:sz w:val="20"/>
          <w:szCs w:val="20"/>
        </w:rPr>
      </w:pPr>
      <w:r w:rsidRPr="005554ED">
        <w:rPr>
          <w:i/>
          <w:iCs/>
          <w:color w:val="000000" w:themeColor="text1"/>
          <w:sz w:val="20"/>
          <w:szCs w:val="20"/>
        </w:rPr>
        <w:t xml:space="preserve">Note. </w:t>
      </w:r>
      <w:r w:rsidRPr="005554ED">
        <w:rPr>
          <w:color w:val="000000" w:themeColor="text1"/>
          <w:sz w:val="20"/>
          <w:szCs w:val="20"/>
        </w:rPr>
        <w:t>UCLA loneliness scale scores (converted into POMP scores) from Asian samples plotted against the year of data collection. The solid blue line represents a LOESS curve. Data-points represent study POMP scores, and the size of the data points is proportional to study (inverse variance) weighting.</w:t>
      </w:r>
    </w:p>
    <w:p w14:paraId="637B7C62" w14:textId="77777777" w:rsidR="000D7418" w:rsidRPr="005554ED" w:rsidRDefault="000D7418">
      <w:pPr>
        <w:rPr>
          <w:color w:val="000000" w:themeColor="text1"/>
        </w:rPr>
      </w:pPr>
    </w:p>
    <w:p w14:paraId="50105CAE" w14:textId="1EC05A7A" w:rsidR="000D7418" w:rsidRPr="005554ED" w:rsidRDefault="000D7418">
      <w:pPr>
        <w:rPr>
          <w:b/>
          <w:bCs/>
          <w:color w:val="000000" w:themeColor="text1"/>
        </w:rPr>
      </w:pPr>
      <w:r w:rsidRPr="005554ED">
        <w:rPr>
          <w:color w:val="000000" w:themeColor="text1"/>
        </w:rPr>
        <w:br w:type="page"/>
      </w:r>
    </w:p>
    <w:p w14:paraId="18CB0F7A" w14:textId="0D3F4A41" w:rsidR="008E0770" w:rsidRPr="005554ED" w:rsidRDefault="00730584" w:rsidP="00730584">
      <w:pPr>
        <w:pStyle w:val="Heading2"/>
        <w:rPr>
          <w:color w:val="000000" w:themeColor="text1"/>
        </w:rPr>
      </w:pPr>
      <w:r w:rsidRPr="005554ED">
        <w:rPr>
          <w:color w:val="000000" w:themeColor="text1"/>
        </w:rPr>
        <w:lastRenderedPageBreak/>
        <w:t>Robustness checks</w:t>
      </w:r>
    </w:p>
    <w:p w14:paraId="0F8CE6E0" w14:textId="2B55BFCE" w:rsidR="00CF2324" w:rsidRPr="005554ED" w:rsidRDefault="00730584" w:rsidP="00CF2324">
      <w:pPr>
        <w:rPr>
          <w:color w:val="000000" w:themeColor="text1"/>
        </w:rPr>
      </w:pPr>
      <w:r w:rsidRPr="005554ED">
        <w:rPr>
          <w:color w:val="000000" w:themeColor="text1"/>
        </w:rPr>
        <w:t>To test the robustness of our findings, we also estimated a model that was based only on studies using the original 20</w:t>
      </w:r>
      <w:r w:rsidR="002A7FC6" w:rsidRPr="005554ED">
        <w:rPr>
          <w:color w:val="000000" w:themeColor="text1"/>
        </w:rPr>
        <w:t>-</w:t>
      </w:r>
      <w:r w:rsidRPr="005554ED">
        <w:rPr>
          <w:color w:val="000000" w:themeColor="text1"/>
        </w:rPr>
        <w:t>item version of the UCLA loneliness scale (</w:t>
      </w:r>
      <w:r w:rsidRPr="005554ED">
        <w:rPr>
          <w:i/>
          <w:iCs/>
          <w:color w:val="000000" w:themeColor="text1"/>
        </w:rPr>
        <w:t>k</w:t>
      </w:r>
      <w:r w:rsidRPr="005554ED">
        <w:rPr>
          <w:color w:val="000000" w:themeColor="text1"/>
        </w:rPr>
        <w:t xml:space="preserve"> = 24</w:t>
      </w:r>
      <w:r w:rsidR="00F67B45" w:rsidRPr="005554ED">
        <w:rPr>
          <w:color w:val="000000" w:themeColor="text1"/>
        </w:rPr>
        <w:t>6</w:t>
      </w:r>
      <w:r w:rsidRPr="005554ED">
        <w:rPr>
          <w:color w:val="000000" w:themeColor="text1"/>
        </w:rPr>
        <w:t xml:space="preserve">, </w:t>
      </w:r>
      <w:proofErr w:type="spellStart"/>
      <w:r w:rsidR="00F36113" w:rsidRPr="005554ED">
        <w:rPr>
          <w:i/>
          <w:iCs/>
          <w:color w:val="000000" w:themeColor="text1"/>
        </w:rPr>
        <w:t>k</w:t>
      </w:r>
      <w:r w:rsidR="00F36113" w:rsidRPr="005554ED">
        <w:rPr>
          <w:color w:val="000000" w:themeColor="text1"/>
          <w:vertAlign w:val="subscript"/>
        </w:rPr>
        <w:t>E</w:t>
      </w:r>
      <w:proofErr w:type="spellEnd"/>
      <w:r w:rsidRPr="005554ED">
        <w:rPr>
          <w:color w:val="000000" w:themeColor="text1"/>
        </w:rPr>
        <w:t xml:space="preserve">= </w:t>
      </w:r>
      <w:r w:rsidR="00F36113" w:rsidRPr="005554ED">
        <w:rPr>
          <w:color w:val="000000" w:themeColor="text1"/>
        </w:rPr>
        <w:t>3</w:t>
      </w:r>
      <w:r w:rsidR="00F67B45" w:rsidRPr="005554ED">
        <w:rPr>
          <w:color w:val="000000" w:themeColor="text1"/>
        </w:rPr>
        <w:t>21</w:t>
      </w:r>
      <w:r w:rsidRPr="005554ED">
        <w:rPr>
          <w:color w:val="000000" w:themeColor="text1"/>
        </w:rPr>
        <w:t xml:space="preserve">). </w:t>
      </w:r>
      <w:bookmarkStart w:id="6" w:name="OLE_LINK133"/>
      <w:bookmarkStart w:id="7" w:name="OLE_LINK134"/>
      <w:r w:rsidRPr="005554ED">
        <w:rPr>
          <w:color w:val="000000" w:themeColor="text1"/>
        </w:rPr>
        <w:t>The meta-regression coefficient for time was positive (</w:t>
      </w:r>
      <w:r w:rsidRPr="005554ED">
        <w:rPr>
          <w:rFonts w:ascii="Symbol" w:hAnsi="Symbol"/>
          <w:color w:val="000000" w:themeColor="text1"/>
        </w:rPr>
        <w:t></w:t>
      </w:r>
      <w:r w:rsidRPr="005554ED">
        <w:rPr>
          <w:color w:val="000000" w:themeColor="text1"/>
        </w:rPr>
        <w:t xml:space="preserve"> = </w:t>
      </w:r>
      <w:r w:rsidR="00F67B45" w:rsidRPr="005554ED">
        <w:rPr>
          <w:color w:val="000000" w:themeColor="text1"/>
        </w:rPr>
        <w:t>0.242</w:t>
      </w:r>
      <w:r w:rsidRPr="005554ED">
        <w:rPr>
          <w:color w:val="000000" w:themeColor="text1"/>
        </w:rPr>
        <w:t>, 95% CI [</w:t>
      </w:r>
      <w:r w:rsidR="00F67B45" w:rsidRPr="005554ED">
        <w:rPr>
          <w:color w:val="000000" w:themeColor="text1"/>
        </w:rPr>
        <w:t>0.146</w:t>
      </w:r>
      <w:r w:rsidRPr="005554ED">
        <w:rPr>
          <w:color w:val="000000" w:themeColor="text1"/>
        </w:rPr>
        <w:t xml:space="preserve">, </w:t>
      </w:r>
      <w:r w:rsidR="00F67B45" w:rsidRPr="005554ED">
        <w:rPr>
          <w:color w:val="000000" w:themeColor="text1"/>
        </w:rPr>
        <w:t>0.339</w:t>
      </w:r>
      <w:r w:rsidRPr="005554ED">
        <w:rPr>
          <w:color w:val="000000" w:themeColor="text1"/>
        </w:rPr>
        <w:t xml:space="preserve">]), which is consistent with the interpretation that emerging adults become lonelier over time (see Figure </w:t>
      </w:r>
      <w:r w:rsidR="00F67B45" w:rsidRPr="005554ED">
        <w:rPr>
          <w:color w:val="000000" w:themeColor="text1"/>
        </w:rPr>
        <w:t>3</w:t>
      </w:r>
      <w:r w:rsidRPr="005554ED">
        <w:rPr>
          <w:color w:val="000000" w:themeColor="text1"/>
        </w:rPr>
        <w:t xml:space="preserve">). </w:t>
      </w:r>
      <w:bookmarkEnd w:id="6"/>
      <w:bookmarkEnd w:id="7"/>
      <w:r w:rsidRPr="005554ED">
        <w:rPr>
          <w:color w:val="000000" w:themeColor="text1"/>
        </w:rPr>
        <w:t>Heterogeneity in effect sizes was large (</w:t>
      </w:r>
      <w:r w:rsidRPr="005554ED">
        <w:rPr>
          <w:i/>
          <w:iCs/>
          <w:color w:val="000000" w:themeColor="text1"/>
        </w:rPr>
        <w:t>I</w:t>
      </w:r>
      <w:r w:rsidRPr="005554ED">
        <w:rPr>
          <w:i/>
          <w:iCs/>
          <w:color w:val="000000" w:themeColor="text1"/>
          <w:vertAlign w:val="superscript"/>
        </w:rPr>
        <w:t>2</w:t>
      </w:r>
      <w:r w:rsidRPr="005554ED">
        <w:rPr>
          <w:color w:val="000000" w:themeColor="text1"/>
        </w:rPr>
        <w:t xml:space="preserve"> = 99.</w:t>
      </w:r>
      <w:r w:rsidR="00F67B45" w:rsidRPr="005554ED">
        <w:rPr>
          <w:color w:val="000000" w:themeColor="text1"/>
        </w:rPr>
        <w:t>31</w:t>
      </w:r>
      <w:r w:rsidRPr="005554ED">
        <w:rPr>
          <w:color w:val="000000" w:themeColor="text1"/>
        </w:rPr>
        <w:t>, τ</w:t>
      </w:r>
      <w:r w:rsidRPr="005554ED">
        <w:rPr>
          <w:color w:val="000000" w:themeColor="text1"/>
          <w:vertAlign w:val="superscript"/>
        </w:rPr>
        <w:t>2</w:t>
      </w:r>
      <w:r w:rsidRPr="005554ED">
        <w:rPr>
          <w:color w:val="000000" w:themeColor="text1"/>
        </w:rPr>
        <w:t xml:space="preserve"> = </w:t>
      </w:r>
      <w:r w:rsidR="00F67B45" w:rsidRPr="005554ED">
        <w:rPr>
          <w:color w:val="000000" w:themeColor="text1"/>
        </w:rPr>
        <w:t>119.27</w:t>
      </w:r>
      <w:r w:rsidRPr="005554ED">
        <w:rPr>
          <w:color w:val="000000" w:themeColor="text1"/>
        </w:rPr>
        <w:t xml:space="preserve">). </w:t>
      </w:r>
      <w:r w:rsidR="004E3DA6" w:rsidRPr="005554ED">
        <w:rPr>
          <w:color w:val="000000" w:themeColor="text1"/>
        </w:rPr>
        <w:t>Thus, our conclusions drawn based on the full sample and those that can be derived from the subset of studies using the 20</w:t>
      </w:r>
      <w:r w:rsidR="002A7FC6" w:rsidRPr="005554ED">
        <w:rPr>
          <w:color w:val="000000" w:themeColor="text1"/>
        </w:rPr>
        <w:t>-</w:t>
      </w:r>
      <w:r w:rsidR="004E3DA6" w:rsidRPr="005554ED">
        <w:rPr>
          <w:color w:val="000000" w:themeColor="text1"/>
        </w:rPr>
        <w:t xml:space="preserve">item version of the UCLA loneliness scale are the same. </w:t>
      </w:r>
    </w:p>
    <w:p w14:paraId="747BA3F4" w14:textId="58B1D1FB" w:rsidR="00DC7703" w:rsidRPr="005554ED" w:rsidRDefault="00CF2324" w:rsidP="00CF2324">
      <w:pPr>
        <w:rPr>
          <w:color w:val="000000" w:themeColor="text1"/>
        </w:rPr>
        <w:sectPr w:rsidR="00DC7703" w:rsidRPr="005554ED">
          <w:headerReference w:type="default" r:id="rId11"/>
          <w:headerReference w:type="first" r:id="rId12"/>
          <w:footnotePr>
            <w:pos w:val="beneathText"/>
          </w:footnotePr>
          <w:pgSz w:w="12240" w:h="15840"/>
          <w:pgMar w:top="1440" w:right="1440" w:bottom="1440" w:left="1440" w:header="720" w:footer="720" w:gutter="0"/>
          <w:cols w:space="720"/>
          <w:titlePg/>
          <w:docGrid w:linePitch="360"/>
        </w:sectPr>
      </w:pPr>
      <w:r w:rsidRPr="005554ED">
        <w:rPr>
          <w:color w:val="000000" w:themeColor="text1"/>
        </w:rPr>
        <w:t>Moreover, we conducted outlier analyses. We based the outlier detection on the 1 and 99 percentiles. Thus, we considered loneliness POMP scores that were above 67.1</w:t>
      </w:r>
      <w:r w:rsidR="008C0F7A" w:rsidRPr="005554ED">
        <w:rPr>
          <w:color w:val="000000" w:themeColor="text1"/>
        </w:rPr>
        <w:t>3</w:t>
      </w:r>
      <w:r w:rsidRPr="005554ED">
        <w:rPr>
          <w:color w:val="000000" w:themeColor="text1"/>
        </w:rPr>
        <w:t xml:space="preserve"> and below 13.</w:t>
      </w:r>
      <w:r w:rsidR="008C0F7A" w:rsidRPr="005554ED">
        <w:rPr>
          <w:color w:val="000000" w:themeColor="text1"/>
        </w:rPr>
        <w:t>38</w:t>
      </w:r>
      <w:r w:rsidRPr="005554ED">
        <w:rPr>
          <w:color w:val="000000" w:themeColor="text1"/>
        </w:rPr>
        <w:t xml:space="preserve"> as outliers. Using this method, we identified ten outliers (see Table S3). Note that for these studies, we double-checked whether there were any coding errors but did not identify such errors. We repeated the meta-regression in which loneliness was predicted by the year of data collection after excluding the ten outliers. The meta-regression coefficient for time was slightly smaller than in our original analysis but still positive and statistically significant (</w:t>
      </w:r>
      <w:r w:rsidRPr="005554ED">
        <w:rPr>
          <w:rFonts w:ascii="Symbol" w:hAnsi="Symbol"/>
          <w:color w:val="000000" w:themeColor="text1"/>
        </w:rPr>
        <w:t></w:t>
      </w:r>
      <w:r w:rsidRPr="005554ED">
        <w:rPr>
          <w:color w:val="000000" w:themeColor="text1"/>
        </w:rPr>
        <w:t xml:space="preserve"> = 0.</w:t>
      </w:r>
      <w:r w:rsidR="008C0F7A" w:rsidRPr="005554ED">
        <w:rPr>
          <w:color w:val="000000" w:themeColor="text1"/>
        </w:rPr>
        <w:t>194</w:t>
      </w:r>
      <w:r w:rsidRPr="005554ED">
        <w:rPr>
          <w:color w:val="000000" w:themeColor="text1"/>
        </w:rPr>
        <w:t>, 95% CI [</w:t>
      </w:r>
      <w:r w:rsidR="008C0F7A" w:rsidRPr="005554ED">
        <w:rPr>
          <w:color w:val="000000" w:themeColor="text1"/>
        </w:rPr>
        <w:t>0.115</w:t>
      </w:r>
      <w:r w:rsidRPr="005554ED">
        <w:rPr>
          <w:color w:val="000000" w:themeColor="text1"/>
        </w:rPr>
        <w:t xml:space="preserve">, </w:t>
      </w:r>
      <w:r w:rsidR="008C0F7A" w:rsidRPr="005554ED">
        <w:rPr>
          <w:color w:val="000000" w:themeColor="text1"/>
        </w:rPr>
        <w:t>0.273</w:t>
      </w:r>
      <w:r w:rsidRPr="005554ED">
        <w:rPr>
          <w:color w:val="000000" w:themeColor="text1"/>
        </w:rPr>
        <w:t>]). Thus, the finding is consistent with the interpretation that emerging adults become lonelier over time.</w:t>
      </w:r>
    </w:p>
    <w:p w14:paraId="15503E84" w14:textId="5BF581A6" w:rsidR="00CB4703" w:rsidRPr="005554ED" w:rsidRDefault="00CB4703" w:rsidP="00CB4703">
      <w:pPr>
        <w:ind w:firstLine="0"/>
        <w:rPr>
          <w:color w:val="000000" w:themeColor="text1"/>
        </w:rPr>
      </w:pPr>
      <w:r w:rsidRPr="005554ED">
        <w:rPr>
          <w:color w:val="000000" w:themeColor="text1"/>
        </w:rPr>
        <w:lastRenderedPageBreak/>
        <w:t>Table S3</w:t>
      </w:r>
    </w:p>
    <w:p w14:paraId="563D9A11" w14:textId="6A729F44" w:rsidR="00CB4703" w:rsidRPr="005554ED" w:rsidRDefault="00CB4703" w:rsidP="00CB4703">
      <w:pPr>
        <w:ind w:firstLine="0"/>
        <w:rPr>
          <w:i/>
          <w:iCs/>
          <w:color w:val="000000" w:themeColor="text1"/>
        </w:rPr>
      </w:pPr>
      <w:r w:rsidRPr="005554ED">
        <w:rPr>
          <w:i/>
          <w:iCs/>
          <w:color w:val="000000" w:themeColor="text1"/>
        </w:rPr>
        <w:t>Study characteristics of the ten studies that were identified as outliers</w:t>
      </w:r>
    </w:p>
    <w:tbl>
      <w:tblPr>
        <w:tblStyle w:val="APAReport"/>
        <w:tblW w:w="0" w:type="auto"/>
        <w:tblBorders>
          <w:top w:val="none" w:sz="0" w:space="0" w:color="auto"/>
          <w:bottom w:val="none" w:sz="0" w:space="0" w:color="auto"/>
        </w:tblBorders>
        <w:tblLook w:val="04A0" w:firstRow="1" w:lastRow="0" w:firstColumn="1" w:lastColumn="0" w:noHBand="0" w:noVBand="1"/>
      </w:tblPr>
      <w:tblGrid>
        <w:gridCol w:w="1983"/>
        <w:gridCol w:w="1416"/>
        <w:gridCol w:w="1418"/>
        <w:gridCol w:w="709"/>
        <w:gridCol w:w="2266"/>
        <w:gridCol w:w="1842"/>
        <w:gridCol w:w="1256"/>
      </w:tblGrid>
      <w:tr w:rsidR="005554ED" w:rsidRPr="005554ED" w14:paraId="11D32C08" w14:textId="1F54D988" w:rsidTr="00B61F0D">
        <w:trPr>
          <w:cnfStyle w:val="100000000000" w:firstRow="1" w:lastRow="0" w:firstColumn="0" w:lastColumn="0" w:oddVBand="0" w:evenVBand="0" w:oddHBand="0" w:evenHBand="0" w:firstRowFirstColumn="0" w:firstRowLastColumn="0" w:lastRowFirstColumn="0" w:lastRowLastColumn="0"/>
        </w:trPr>
        <w:tc>
          <w:tcPr>
            <w:tcW w:w="1983" w:type="dxa"/>
            <w:tcBorders>
              <w:top w:val="single" w:sz="4" w:space="0" w:color="auto"/>
              <w:bottom w:val="single" w:sz="4" w:space="0" w:color="auto"/>
            </w:tcBorders>
          </w:tcPr>
          <w:p w14:paraId="42F88340" w14:textId="1C1C5E27" w:rsidR="00DC7703" w:rsidRPr="005554ED" w:rsidRDefault="00DC7703" w:rsidP="00CB4703">
            <w:pPr>
              <w:rPr>
                <w:color w:val="000000" w:themeColor="text1"/>
              </w:rPr>
            </w:pPr>
            <w:r w:rsidRPr="005554ED">
              <w:rPr>
                <w:color w:val="000000" w:themeColor="text1"/>
              </w:rPr>
              <w:t>Reference</w:t>
            </w:r>
          </w:p>
        </w:tc>
        <w:tc>
          <w:tcPr>
            <w:tcW w:w="1416" w:type="dxa"/>
            <w:tcBorders>
              <w:top w:val="single" w:sz="4" w:space="0" w:color="auto"/>
              <w:bottom w:val="single" w:sz="4" w:space="0" w:color="auto"/>
            </w:tcBorders>
          </w:tcPr>
          <w:p w14:paraId="52D00817" w14:textId="7F00E359" w:rsidR="00DC7703" w:rsidRPr="005554ED" w:rsidRDefault="00DC7703" w:rsidP="006A16A9">
            <w:pPr>
              <w:jc w:val="center"/>
              <w:rPr>
                <w:color w:val="000000" w:themeColor="text1"/>
              </w:rPr>
            </w:pPr>
            <w:r w:rsidRPr="005554ED">
              <w:rPr>
                <w:color w:val="000000" w:themeColor="text1"/>
              </w:rPr>
              <w:t>Year of data collection</w:t>
            </w:r>
          </w:p>
        </w:tc>
        <w:tc>
          <w:tcPr>
            <w:tcW w:w="1418" w:type="dxa"/>
            <w:tcBorders>
              <w:top w:val="single" w:sz="4" w:space="0" w:color="auto"/>
              <w:bottom w:val="single" w:sz="4" w:space="0" w:color="auto"/>
            </w:tcBorders>
          </w:tcPr>
          <w:p w14:paraId="3F4E2A26" w14:textId="3422C7FC" w:rsidR="00DC7703" w:rsidRPr="005554ED" w:rsidRDefault="00DC7703" w:rsidP="006A16A9">
            <w:pPr>
              <w:jc w:val="center"/>
              <w:rPr>
                <w:color w:val="000000" w:themeColor="text1"/>
              </w:rPr>
            </w:pPr>
            <w:r w:rsidRPr="005554ED">
              <w:rPr>
                <w:color w:val="000000" w:themeColor="text1"/>
              </w:rPr>
              <w:t>Continent</w:t>
            </w:r>
          </w:p>
        </w:tc>
        <w:tc>
          <w:tcPr>
            <w:tcW w:w="709" w:type="dxa"/>
            <w:tcBorders>
              <w:top w:val="single" w:sz="4" w:space="0" w:color="auto"/>
              <w:bottom w:val="single" w:sz="4" w:space="0" w:color="auto"/>
            </w:tcBorders>
          </w:tcPr>
          <w:p w14:paraId="14E8BCF7" w14:textId="349CF830" w:rsidR="00DC7703" w:rsidRPr="006A16A9" w:rsidRDefault="00DC7703" w:rsidP="006A16A9">
            <w:pPr>
              <w:jc w:val="center"/>
              <w:rPr>
                <w:i/>
                <w:iCs/>
                <w:color w:val="000000" w:themeColor="text1"/>
              </w:rPr>
            </w:pPr>
            <w:r w:rsidRPr="006A16A9">
              <w:rPr>
                <w:i/>
                <w:iCs/>
                <w:color w:val="000000" w:themeColor="text1"/>
              </w:rPr>
              <w:t>N</w:t>
            </w:r>
          </w:p>
        </w:tc>
        <w:tc>
          <w:tcPr>
            <w:tcW w:w="2266" w:type="dxa"/>
            <w:tcBorders>
              <w:top w:val="single" w:sz="4" w:space="0" w:color="auto"/>
              <w:bottom w:val="single" w:sz="4" w:space="0" w:color="auto"/>
            </w:tcBorders>
          </w:tcPr>
          <w:p w14:paraId="0E8E10B6" w14:textId="2BC9B22F" w:rsidR="00DC7703" w:rsidRPr="005554ED" w:rsidRDefault="00DC7703" w:rsidP="006A16A9">
            <w:pPr>
              <w:jc w:val="center"/>
              <w:rPr>
                <w:color w:val="000000" w:themeColor="text1"/>
              </w:rPr>
            </w:pPr>
            <w:r w:rsidRPr="005554ED">
              <w:rPr>
                <w:color w:val="000000" w:themeColor="text1"/>
              </w:rPr>
              <w:t>Article type</w:t>
            </w:r>
          </w:p>
        </w:tc>
        <w:tc>
          <w:tcPr>
            <w:tcW w:w="1842" w:type="dxa"/>
            <w:tcBorders>
              <w:top w:val="single" w:sz="4" w:space="0" w:color="auto"/>
              <w:bottom w:val="single" w:sz="4" w:space="0" w:color="auto"/>
            </w:tcBorders>
          </w:tcPr>
          <w:p w14:paraId="22203824" w14:textId="268D47F0" w:rsidR="00DC7703" w:rsidRPr="005554ED" w:rsidRDefault="00DC7703" w:rsidP="006A16A9">
            <w:pPr>
              <w:jc w:val="center"/>
              <w:rPr>
                <w:color w:val="000000" w:themeColor="text1"/>
              </w:rPr>
            </w:pPr>
            <w:r w:rsidRPr="005554ED">
              <w:rPr>
                <w:color w:val="000000" w:themeColor="text1"/>
              </w:rPr>
              <w:t>Sample type</w:t>
            </w:r>
          </w:p>
        </w:tc>
        <w:tc>
          <w:tcPr>
            <w:tcW w:w="831" w:type="dxa"/>
            <w:tcBorders>
              <w:top w:val="single" w:sz="4" w:space="0" w:color="auto"/>
              <w:bottom w:val="single" w:sz="4" w:space="0" w:color="auto"/>
            </w:tcBorders>
          </w:tcPr>
          <w:p w14:paraId="60D51A5A" w14:textId="7FF25D13" w:rsidR="00DC7703" w:rsidRPr="005554ED" w:rsidRDefault="00DC7703" w:rsidP="00CB4703">
            <w:pPr>
              <w:rPr>
                <w:color w:val="000000" w:themeColor="text1"/>
              </w:rPr>
            </w:pPr>
            <w:r w:rsidRPr="005554ED">
              <w:rPr>
                <w:color w:val="000000" w:themeColor="text1"/>
              </w:rPr>
              <w:t xml:space="preserve">Loneliness </w:t>
            </w:r>
            <w:proofErr w:type="spellStart"/>
            <w:r w:rsidRPr="005554ED">
              <w:rPr>
                <w:color w:val="000000" w:themeColor="text1"/>
              </w:rPr>
              <w:t>POMP</w:t>
            </w:r>
            <w:r w:rsidRPr="005554ED">
              <w:rPr>
                <w:color w:val="000000" w:themeColor="text1"/>
                <w:vertAlign w:val="subscript"/>
              </w:rPr>
              <w:t>Mean</w:t>
            </w:r>
            <w:proofErr w:type="spellEnd"/>
          </w:p>
        </w:tc>
      </w:tr>
      <w:tr w:rsidR="005554ED" w:rsidRPr="005554ED" w14:paraId="25CC2A7A" w14:textId="0617DC98" w:rsidTr="00B61F0D">
        <w:tc>
          <w:tcPr>
            <w:tcW w:w="1983" w:type="dxa"/>
            <w:tcBorders>
              <w:top w:val="single" w:sz="4" w:space="0" w:color="auto"/>
            </w:tcBorders>
            <w:vAlign w:val="bottom"/>
          </w:tcPr>
          <w:p w14:paraId="6D4CE1EE" w14:textId="62092E83" w:rsidR="00DC7703" w:rsidRPr="005554ED" w:rsidRDefault="00DC7703" w:rsidP="00DC7703">
            <w:pPr>
              <w:rPr>
                <w:rFonts w:asciiTheme="minorHAnsi" w:hAnsiTheme="minorHAnsi" w:cstheme="minorHAnsi"/>
                <w:color w:val="000000" w:themeColor="text1"/>
              </w:rPr>
            </w:pPr>
            <w:proofErr w:type="spellStart"/>
            <w:r w:rsidRPr="005554ED">
              <w:rPr>
                <w:rFonts w:asciiTheme="minorHAnsi" w:hAnsiTheme="minorHAnsi" w:cstheme="minorHAnsi"/>
                <w:color w:val="000000" w:themeColor="text1"/>
              </w:rPr>
              <w:t>Valentiner</w:t>
            </w:r>
            <w:proofErr w:type="spellEnd"/>
            <w:r w:rsidRPr="005554ED">
              <w:rPr>
                <w:rFonts w:asciiTheme="minorHAnsi" w:hAnsiTheme="minorHAnsi" w:cstheme="minorHAnsi"/>
                <w:color w:val="000000" w:themeColor="text1"/>
              </w:rPr>
              <w:t xml:space="preserve"> et al.</w:t>
            </w:r>
          </w:p>
        </w:tc>
        <w:tc>
          <w:tcPr>
            <w:tcW w:w="1416" w:type="dxa"/>
            <w:tcBorders>
              <w:top w:val="single" w:sz="4" w:space="0" w:color="auto"/>
            </w:tcBorders>
            <w:vAlign w:val="bottom"/>
          </w:tcPr>
          <w:p w14:paraId="39845C0D" w14:textId="4AF678B8"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2009</w:t>
            </w:r>
          </w:p>
        </w:tc>
        <w:tc>
          <w:tcPr>
            <w:tcW w:w="1418" w:type="dxa"/>
            <w:tcBorders>
              <w:top w:val="single" w:sz="4" w:space="0" w:color="auto"/>
            </w:tcBorders>
            <w:vAlign w:val="bottom"/>
          </w:tcPr>
          <w:p w14:paraId="6FBA1210" w14:textId="448A444A"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Americas</w:t>
            </w:r>
          </w:p>
        </w:tc>
        <w:tc>
          <w:tcPr>
            <w:tcW w:w="709" w:type="dxa"/>
            <w:tcBorders>
              <w:top w:val="single" w:sz="4" w:space="0" w:color="auto"/>
            </w:tcBorders>
            <w:vAlign w:val="bottom"/>
          </w:tcPr>
          <w:p w14:paraId="5DA80781" w14:textId="03F1E7AE"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93</w:t>
            </w:r>
          </w:p>
        </w:tc>
        <w:tc>
          <w:tcPr>
            <w:tcW w:w="2266" w:type="dxa"/>
            <w:tcBorders>
              <w:top w:val="single" w:sz="4" w:space="0" w:color="auto"/>
            </w:tcBorders>
            <w:vAlign w:val="bottom"/>
          </w:tcPr>
          <w:p w14:paraId="27FC5241" w14:textId="30724CC0"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journal article</w:t>
            </w:r>
          </w:p>
        </w:tc>
        <w:tc>
          <w:tcPr>
            <w:tcW w:w="1842" w:type="dxa"/>
            <w:tcBorders>
              <w:top w:val="single" w:sz="4" w:space="0" w:color="auto"/>
            </w:tcBorders>
            <w:vAlign w:val="bottom"/>
          </w:tcPr>
          <w:p w14:paraId="7E13BBCE" w14:textId="3904E3C6"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student sample</w:t>
            </w:r>
          </w:p>
        </w:tc>
        <w:tc>
          <w:tcPr>
            <w:tcW w:w="831" w:type="dxa"/>
            <w:tcBorders>
              <w:top w:val="single" w:sz="4" w:space="0" w:color="auto"/>
            </w:tcBorders>
            <w:vAlign w:val="bottom"/>
          </w:tcPr>
          <w:p w14:paraId="200AE9A6" w14:textId="5F27824C"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3.84</w:t>
            </w:r>
          </w:p>
        </w:tc>
      </w:tr>
      <w:tr w:rsidR="005554ED" w:rsidRPr="005554ED" w14:paraId="11FFF04C" w14:textId="44BBF2EE" w:rsidTr="00B61F0D">
        <w:tc>
          <w:tcPr>
            <w:tcW w:w="1983" w:type="dxa"/>
            <w:vAlign w:val="bottom"/>
          </w:tcPr>
          <w:p w14:paraId="2486564D" w14:textId="5C766230" w:rsidR="00DC7703" w:rsidRPr="005554ED" w:rsidRDefault="00DC7703" w:rsidP="00DC7703">
            <w:pPr>
              <w:rPr>
                <w:rFonts w:asciiTheme="minorHAnsi" w:hAnsiTheme="minorHAnsi" w:cstheme="minorHAnsi"/>
                <w:color w:val="000000" w:themeColor="text1"/>
              </w:rPr>
            </w:pPr>
            <w:proofErr w:type="spellStart"/>
            <w:r w:rsidRPr="005554ED">
              <w:rPr>
                <w:rFonts w:asciiTheme="minorHAnsi" w:hAnsiTheme="minorHAnsi" w:cstheme="minorHAnsi"/>
                <w:color w:val="000000" w:themeColor="text1"/>
              </w:rPr>
              <w:t>Stober</w:t>
            </w:r>
            <w:proofErr w:type="spellEnd"/>
            <w:r w:rsidRPr="005554ED">
              <w:rPr>
                <w:rFonts w:asciiTheme="minorHAnsi" w:hAnsiTheme="minorHAnsi" w:cstheme="minorHAnsi"/>
                <w:color w:val="000000" w:themeColor="text1"/>
              </w:rPr>
              <w:t xml:space="preserve"> et al.</w:t>
            </w:r>
          </w:p>
        </w:tc>
        <w:tc>
          <w:tcPr>
            <w:tcW w:w="1416" w:type="dxa"/>
            <w:vAlign w:val="bottom"/>
          </w:tcPr>
          <w:p w14:paraId="50A9827E" w14:textId="6C81F745"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2001</w:t>
            </w:r>
          </w:p>
        </w:tc>
        <w:tc>
          <w:tcPr>
            <w:tcW w:w="1418" w:type="dxa"/>
            <w:vAlign w:val="bottom"/>
          </w:tcPr>
          <w:p w14:paraId="3A5792D0" w14:textId="076AB6B5"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Europe</w:t>
            </w:r>
          </w:p>
        </w:tc>
        <w:tc>
          <w:tcPr>
            <w:tcW w:w="709" w:type="dxa"/>
            <w:vAlign w:val="bottom"/>
          </w:tcPr>
          <w:p w14:paraId="0D4ECE59" w14:textId="7251B61B"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75</w:t>
            </w:r>
          </w:p>
        </w:tc>
        <w:tc>
          <w:tcPr>
            <w:tcW w:w="2266" w:type="dxa"/>
            <w:vAlign w:val="bottom"/>
          </w:tcPr>
          <w:p w14:paraId="247B1DD2" w14:textId="2BF731A0"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journal article</w:t>
            </w:r>
          </w:p>
        </w:tc>
        <w:tc>
          <w:tcPr>
            <w:tcW w:w="1842" w:type="dxa"/>
            <w:vAlign w:val="bottom"/>
          </w:tcPr>
          <w:p w14:paraId="0F96F38A" w14:textId="0BA2E47F"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student sample</w:t>
            </w:r>
          </w:p>
        </w:tc>
        <w:tc>
          <w:tcPr>
            <w:tcW w:w="831" w:type="dxa"/>
            <w:vAlign w:val="bottom"/>
          </w:tcPr>
          <w:p w14:paraId="1A80D396" w14:textId="57ECBBE7"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10.25</w:t>
            </w:r>
          </w:p>
        </w:tc>
      </w:tr>
      <w:tr w:rsidR="005554ED" w:rsidRPr="005554ED" w14:paraId="0A4C7146" w14:textId="793A52BC" w:rsidTr="00B61F0D">
        <w:tc>
          <w:tcPr>
            <w:tcW w:w="1983" w:type="dxa"/>
            <w:vAlign w:val="bottom"/>
          </w:tcPr>
          <w:p w14:paraId="22B242E4" w14:textId="4D7E0D71" w:rsidR="00DC7703" w:rsidRPr="005554ED" w:rsidRDefault="00DC7703" w:rsidP="00DC7703">
            <w:pPr>
              <w:rPr>
                <w:rFonts w:asciiTheme="minorHAnsi" w:hAnsiTheme="minorHAnsi" w:cstheme="minorHAnsi"/>
                <w:color w:val="000000" w:themeColor="text1"/>
              </w:rPr>
            </w:pPr>
            <w:proofErr w:type="spellStart"/>
            <w:r w:rsidRPr="005554ED">
              <w:rPr>
                <w:rFonts w:asciiTheme="minorHAnsi" w:hAnsiTheme="minorHAnsi" w:cstheme="minorHAnsi"/>
                <w:color w:val="000000" w:themeColor="text1"/>
              </w:rPr>
              <w:t>Asendorpf</w:t>
            </w:r>
            <w:proofErr w:type="spellEnd"/>
            <w:r w:rsidRPr="005554ED">
              <w:rPr>
                <w:rFonts w:asciiTheme="minorHAnsi" w:hAnsiTheme="minorHAnsi" w:cstheme="minorHAnsi"/>
                <w:color w:val="000000" w:themeColor="text1"/>
              </w:rPr>
              <w:t xml:space="preserve"> et al.</w:t>
            </w:r>
          </w:p>
        </w:tc>
        <w:tc>
          <w:tcPr>
            <w:tcW w:w="1416" w:type="dxa"/>
            <w:vAlign w:val="bottom"/>
          </w:tcPr>
          <w:p w14:paraId="2BBCEFE8" w14:textId="50F80D66"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2004</w:t>
            </w:r>
          </w:p>
        </w:tc>
        <w:tc>
          <w:tcPr>
            <w:tcW w:w="1418" w:type="dxa"/>
            <w:vAlign w:val="bottom"/>
          </w:tcPr>
          <w:p w14:paraId="62B7BE61" w14:textId="23EFFFD8"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Europe</w:t>
            </w:r>
          </w:p>
        </w:tc>
        <w:tc>
          <w:tcPr>
            <w:tcW w:w="709" w:type="dxa"/>
            <w:vAlign w:val="bottom"/>
          </w:tcPr>
          <w:p w14:paraId="257C67E6" w14:textId="43C416FB"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150</w:t>
            </w:r>
          </w:p>
        </w:tc>
        <w:tc>
          <w:tcPr>
            <w:tcW w:w="2266" w:type="dxa"/>
            <w:vAlign w:val="bottom"/>
          </w:tcPr>
          <w:p w14:paraId="36CCBC4E" w14:textId="453792BA"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journal article</w:t>
            </w:r>
          </w:p>
        </w:tc>
        <w:tc>
          <w:tcPr>
            <w:tcW w:w="1842" w:type="dxa"/>
            <w:vAlign w:val="bottom"/>
          </w:tcPr>
          <w:p w14:paraId="682008A0" w14:textId="03248D25"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student sample</w:t>
            </w:r>
          </w:p>
        </w:tc>
        <w:tc>
          <w:tcPr>
            <w:tcW w:w="831" w:type="dxa"/>
            <w:vAlign w:val="bottom"/>
          </w:tcPr>
          <w:p w14:paraId="0BD84EA0" w14:textId="595BDB32"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11.00</w:t>
            </w:r>
          </w:p>
        </w:tc>
      </w:tr>
      <w:tr w:rsidR="005554ED" w:rsidRPr="005554ED" w14:paraId="7931499C" w14:textId="7D034B82" w:rsidTr="00B61F0D">
        <w:tc>
          <w:tcPr>
            <w:tcW w:w="1983" w:type="dxa"/>
            <w:vAlign w:val="bottom"/>
          </w:tcPr>
          <w:p w14:paraId="31A243AD" w14:textId="7C3ECE1E" w:rsidR="00DC7703" w:rsidRPr="005554ED" w:rsidRDefault="00DC7703" w:rsidP="00DC7703">
            <w:pPr>
              <w:rPr>
                <w:rFonts w:asciiTheme="minorHAnsi" w:hAnsiTheme="minorHAnsi" w:cstheme="minorHAnsi"/>
                <w:color w:val="000000" w:themeColor="text1"/>
              </w:rPr>
            </w:pPr>
            <w:r w:rsidRPr="005554ED">
              <w:rPr>
                <w:rFonts w:asciiTheme="minorHAnsi" w:hAnsiTheme="minorHAnsi" w:cstheme="minorHAnsi"/>
                <w:color w:val="000000" w:themeColor="text1"/>
              </w:rPr>
              <w:t>Hartung et al.</w:t>
            </w:r>
          </w:p>
        </w:tc>
        <w:tc>
          <w:tcPr>
            <w:tcW w:w="1416" w:type="dxa"/>
            <w:vAlign w:val="bottom"/>
          </w:tcPr>
          <w:p w14:paraId="390B14FF" w14:textId="5726DB4B"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2012</w:t>
            </w:r>
          </w:p>
        </w:tc>
        <w:tc>
          <w:tcPr>
            <w:tcW w:w="1418" w:type="dxa"/>
            <w:vAlign w:val="bottom"/>
          </w:tcPr>
          <w:p w14:paraId="70E88E4E" w14:textId="4936BCE3"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Europe</w:t>
            </w:r>
          </w:p>
        </w:tc>
        <w:tc>
          <w:tcPr>
            <w:tcW w:w="709" w:type="dxa"/>
            <w:vAlign w:val="bottom"/>
          </w:tcPr>
          <w:p w14:paraId="1B9DDED5" w14:textId="54B267AF"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77</w:t>
            </w:r>
          </w:p>
        </w:tc>
        <w:tc>
          <w:tcPr>
            <w:tcW w:w="2266" w:type="dxa"/>
            <w:vAlign w:val="bottom"/>
          </w:tcPr>
          <w:p w14:paraId="069869F5" w14:textId="0004CDFA"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journal article</w:t>
            </w:r>
          </w:p>
        </w:tc>
        <w:tc>
          <w:tcPr>
            <w:tcW w:w="1842" w:type="dxa"/>
            <w:vAlign w:val="bottom"/>
          </w:tcPr>
          <w:p w14:paraId="4F82526D" w14:textId="2C476FFA"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student sample</w:t>
            </w:r>
          </w:p>
        </w:tc>
        <w:tc>
          <w:tcPr>
            <w:tcW w:w="831" w:type="dxa"/>
            <w:vAlign w:val="bottom"/>
          </w:tcPr>
          <w:p w14:paraId="1A87317F" w14:textId="349285D5"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12.67</w:t>
            </w:r>
          </w:p>
        </w:tc>
      </w:tr>
      <w:tr w:rsidR="005554ED" w:rsidRPr="005554ED" w14:paraId="387AA487" w14:textId="51CACF06" w:rsidTr="00B61F0D">
        <w:tc>
          <w:tcPr>
            <w:tcW w:w="1983" w:type="dxa"/>
            <w:vAlign w:val="bottom"/>
          </w:tcPr>
          <w:p w14:paraId="72E1D0BE" w14:textId="240536B7" w:rsidR="00DC7703" w:rsidRPr="005554ED" w:rsidRDefault="00DC7703" w:rsidP="00DC7703">
            <w:pPr>
              <w:rPr>
                <w:rFonts w:asciiTheme="minorHAnsi" w:hAnsiTheme="minorHAnsi" w:cstheme="minorHAnsi"/>
                <w:color w:val="000000" w:themeColor="text1"/>
              </w:rPr>
            </w:pPr>
            <w:r w:rsidRPr="005554ED">
              <w:rPr>
                <w:rFonts w:asciiTheme="minorHAnsi" w:hAnsiTheme="minorHAnsi" w:cstheme="minorHAnsi"/>
                <w:color w:val="000000" w:themeColor="text1"/>
              </w:rPr>
              <w:t>Kang et al.</w:t>
            </w:r>
          </w:p>
        </w:tc>
        <w:tc>
          <w:tcPr>
            <w:tcW w:w="1416" w:type="dxa"/>
            <w:vAlign w:val="bottom"/>
          </w:tcPr>
          <w:p w14:paraId="5C11F897" w14:textId="08B7B2E7"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2004</w:t>
            </w:r>
          </w:p>
        </w:tc>
        <w:tc>
          <w:tcPr>
            <w:tcW w:w="1418" w:type="dxa"/>
            <w:vAlign w:val="bottom"/>
          </w:tcPr>
          <w:p w14:paraId="64A464F4" w14:textId="6EB7E730"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N/A</w:t>
            </w:r>
          </w:p>
        </w:tc>
        <w:tc>
          <w:tcPr>
            <w:tcW w:w="709" w:type="dxa"/>
            <w:vAlign w:val="bottom"/>
          </w:tcPr>
          <w:p w14:paraId="76F57FA2" w14:textId="5B408FDF"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158</w:t>
            </w:r>
          </w:p>
        </w:tc>
        <w:tc>
          <w:tcPr>
            <w:tcW w:w="2266" w:type="dxa"/>
            <w:vAlign w:val="bottom"/>
          </w:tcPr>
          <w:p w14:paraId="5D17E6AE" w14:textId="535EB295"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journal article</w:t>
            </w:r>
          </w:p>
        </w:tc>
        <w:tc>
          <w:tcPr>
            <w:tcW w:w="1842" w:type="dxa"/>
            <w:vAlign w:val="bottom"/>
          </w:tcPr>
          <w:p w14:paraId="1BE16B9D" w14:textId="4B9F91C1"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student sample</w:t>
            </w:r>
          </w:p>
        </w:tc>
        <w:tc>
          <w:tcPr>
            <w:tcW w:w="831" w:type="dxa"/>
            <w:vAlign w:val="bottom"/>
          </w:tcPr>
          <w:p w14:paraId="620F8F0B" w14:textId="3C982849"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13.14</w:t>
            </w:r>
          </w:p>
        </w:tc>
      </w:tr>
      <w:tr w:rsidR="005554ED" w:rsidRPr="005554ED" w14:paraId="013D0B30" w14:textId="77777777" w:rsidTr="00B61F0D">
        <w:tc>
          <w:tcPr>
            <w:tcW w:w="1983" w:type="dxa"/>
            <w:vAlign w:val="bottom"/>
          </w:tcPr>
          <w:p w14:paraId="3639113E" w14:textId="122DFAE2" w:rsidR="00DC7703" w:rsidRPr="005554ED" w:rsidRDefault="00DC7703" w:rsidP="00DC7703">
            <w:pPr>
              <w:rPr>
                <w:rFonts w:asciiTheme="minorHAnsi" w:hAnsiTheme="minorHAnsi" w:cstheme="minorHAnsi"/>
                <w:color w:val="000000" w:themeColor="text1"/>
              </w:rPr>
            </w:pPr>
            <w:r w:rsidRPr="005554ED">
              <w:rPr>
                <w:rFonts w:asciiTheme="minorHAnsi" w:hAnsiTheme="minorHAnsi" w:cstheme="minorHAnsi"/>
                <w:color w:val="000000" w:themeColor="text1"/>
              </w:rPr>
              <w:t>Koenig et al.</w:t>
            </w:r>
          </w:p>
        </w:tc>
        <w:tc>
          <w:tcPr>
            <w:tcW w:w="1416" w:type="dxa"/>
            <w:vAlign w:val="bottom"/>
          </w:tcPr>
          <w:p w14:paraId="4657448D" w14:textId="0A56F58E"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2015</w:t>
            </w:r>
          </w:p>
        </w:tc>
        <w:tc>
          <w:tcPr>
            <w:tcW w:w="1418" w:type="dxa"/>
            <w:vAlign w:val="bottom"/>
          </w:tcPr>
          <w:p w14:paraId="1CEDA493" w14:textId="53F92BE0"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Americas</w:t>
            </w:r>
          </w:p>
        </w:tc>
        <w:tc>
          <w:tcPr>
            <w:tcW w:w="709" w:type="dxa"/>
            <w:vAlign w:val="bottom"/>
          </w:tcPr>
          <w:p w14:paraId="63CF5C97" w14:textId="56DC3C0C"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157</w:t>
            </w:r>
          </w:p>
        </w:tc>
        <w:tc>
          <w:tcPr>
            <w:tcW w:w="2266" w:type="dxa"/>
            <w:vAlign w:val="bottom"/>
          </w:tcPr>
          <w:p w14:paraId="251FE7BF" w14:textId="72F5D1E6"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unpublished data</w:t>
            </w:r>
          </w:p>
        </w:tc>
        <w:tc>
          <w:tcPr>
            <w:tcW w:w="1842" w:type="dxa"/>
            <w:vAlign w:val="bottom"/>
          </w:tcPr>
          <w:p w14:paraId="540A4A86" w14:textId="43A771FA"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student sample</w:t>
            </w:r>
          </w:p>
        </w:tc>
        <w:tc>
          <w:tcPr>
            <w:tcW w:w="831" w:type="dxa"/>
            <w:vAlign w:val="bottom"/>
          </w:tcPr>
          <w:p w14:paraId="29D9E31A" w14:textId="67F7FD47"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67</w:t>
            </w:r>
            <w:r w:rsidR="00B61F0D" w:rsidRPr="005554ED">
              <w:rPr>
                <w:rFonts w:asciiTheme="minorHAnsi" w:hAnsiTheme="minorHAnsi" w:cstheme="minorHAnsi"/>
                <w:color w:val="000000" w:themeColor="text1"/>
              </w:rPr>
              <w:t>.</w:t>
            </w:r>
            <w:r w:rsidRPr="005554ED">
              <w:rPr>
                <w:rFonts w:asciiTheme="minorHAnsi" w:hAnsiTheme="minorHAnsi" w:cstheme="minorHAnsi"/>
                <w:color w:val="000000" w:themeColor="text1"/>
              </w:rPr>
              <w:t>71</w:t>
            </w:r>
          </w:p>
        </w:tc>
      </w:tr>
      <w:tr w:rsidR="005554ED" w:rsidRPr="005554ED" w14:paraId="0CBAA254" w14:textId="77777777" w:rsidTr="00B61F0D">
        <w:tc>
          <w:tcPr>
            <w:tcW w:w="1983" w:type="dxa"/>
            <w:vAlign w:val="bottom"/>
          </w:tcPr>
          <w:p w14:paraId="15D43BBD" w14:textId="21A97D2A" w:rsidR="00DC7703" w:rsidRPr="005554ED" w:rsidRDefault="00DC7703" w:rsidP="00DC7703">
            <w:pPr>
              <w:rPr>
                <w:rFonts w:asciiTheme="minorHAnsi" w:hAnsiTheme="minorHAnsi" w:cstheme="minorHAnsi"/>
                <w:color w:val="000000" w:themeColor="text1"/>
              </w:rPr>
            </w:pPr>
            <w:r w:rsidRPr="005554ED">
              <w:rPr>
                <w:rFonts w:asciiTheme="minorHAnsi" w:hAnsiTheme="minorHAnsi" w:cstheme="minorHAnsi"/>
                <w:color w:val="000000" w:themeColor="text1"/>
              </w:rPr>
              <w:t>Renshaw et al.</w:t>
            </w:r>
          </w:p>
        </w:tc>
        <w:tc>
          <w:tcPr>
            <w:tcW w:w="1416" w:type="dxa"/>
            <w:vAlign w:val="bottom"/>
          </w:tcPr>
          <w:p w14:paraId="0A0474D7" w14:textId="4516ED73"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2014</w:t>
            </w:r>
          </w:p>
        </w:tc>
        <w:tc>
          <w:tcPr>
            <w:tcW w:w="1418" w:type="dxa"/>
            <w:vAlign w:val="bottom"/>
          </w:tcPr>
          <w:p w14:paraId="680311E7" w14:textId="1915214B"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Americas</w:t>
            </w:r>
          </w:p>
        </w:tc>
        <w:tc>
          <w:tcPr>
            <w:tcW w:w="709" w:type="dxa"/>
            <w:vAlign w:val="bottom"/>
          </w:tcPr>
          <w:p w14:paraId="58D2B4CA" w14:textId="59F870A0"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490</w:t>
            </w:r>
          </w:p>
        </w:tc>
        <w:tc>
          <w:tcPr>
            <w:tcW w:w="2266" w:type="dxa"/>
            <w:vAlign w:val="bottom"/>
          </w:tcPr>
          <w:p w14:paraId="266E9C79" w14:textId="5B824F1A"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journal article</w:t>
            </w:r>
          </w:p>
        </w:tc>
        <w:tc>
          <w:tcPr>
            <w:tcW w:w="1842" w:type="dxa"/>
            <w:vAlign w:val="bottom"/>
          </w:tcPr>
          <w:p w14:paraId="7C75A7CB" w14:textId="09CC6DFF"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student sample</w:t>
            </w:r>
          </w:p>
        </w:tc>
        <w:tc>
          <w:tcPr>
            <w:tcW w:w="831" w:type="dxa"/>
            <w:vAlign w:val="bottom"/>
          </w:tcPr>
          <w:p w14:paraId="48B30EC8" w14:textId="6A1EC1FF"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75</w:t>
            </w:r>
            <w:r w:rsidR="00B61F0D" w:rsidRPr="005554ED">
              <w:rPr>
                <w:rFonts w:asciiTheme="minorHAnsi" w:hAnsiTheme="minorHAnsi" w:cstheme="minorHAnsi"/>
                <w:color w:val="000000" w:themeColor="text1"/>
              </w:rPr>
              <w:t>.</w:t>
            </w:r>
            <w:r w:rsidRPr="005554ED">
              <w:rPr>
                <w:rFonts w:asciiTheme="minorHAnsi" w:hAnsiTheme="minorHAnsi" w:cstheme="minorHAnsi"/>
                <w:color w:val="000000" w:themeColor="text1"/>
              </w:rPr>
              <w:t>8</w:t>
            </w:r>
            <w:r w:rsidR="00B61F0D" w:rsidRPr="005554ED">
              <w:rPr>
                <w:rFonts w:asciiTheme="minorHAnsi" w:hAnsiTheme="minorHAnsi" w:cstheme="minorHAnsi"/>
                <w:color w:val="000000" w:themeColor="text1"/>
              </w:rPr>
              <w:t>4</w:t>
            </w:r>
          </w:p>
        </w:tc>
      </w:tr>
      <w:tr w:rsidR="005554ED" w:rsidRPr="005554ED" w14:paraId="23AF2309" w14:textId="77777777" w:rsidTr="00B61F0D">
        <w:tc>
          <w:tcPr>
            <w:tcW w:w="1983" w:type="dxa"/>
            <w:vAlign w:val="bottom"/>
          </w:tcPr>
          <w:p w14:paraId="7C038310" w14:textId="186C82F3" w:rsidR="00DC7703" w:rsidRPr="005554ED" w:rsidRDefault="00DC7703" w:rsidP="00DC7703">
            <w:pPr>
              <w:rPr>
                <w:rFonts w:asciiTheme="minorHAnsi" w:hAnsiTheme="minorHAnsi" w:cstheme="minorHAnsi"/>
                <w:color w:val="000000" w:themeColor="text1"/>
              </w:rPr>
            </w:pPr>
            <w:r w:rsidRPr="005554ED">
              <w:rPr>
                <w:rFonts w:asciiTheme="minorHAnsi" w:hAnsiTheme="minorHAnsi" w:cstheme="minorHAnsi"/>
                <w:color w:val="000000" w:themeColor="text1"/>
              </w:rPr>
              <w:t>Renshaw et al.</w:t>
            </w:r>
          </w:p>
        </w:tc>
        <w:tc>
          <w:tcPr>
            <w:tcW w:w="1416" w:type="dxa"/>
            <w:vAlign w:val="bottom"/>
          </w:tcPr>
          <w:p w14:paraId="2DC7E4AA" w14:textId="1BA03CB5"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2014</w:t>
            </w:r>
          </w:p>
        </w:tc>
        <w:tc>
          <w:tcPr>
            <w:tcW w:w="1418" w:type="dxa"/>
            <w:vAlign w:val="bottom"/>
          </w:tcPr>
          <w:p w14:paraId="689C1E4E" w14:textId="5AAB09D2"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Americas</w:t>
            </w:r>
          </w:p>
        </w:tc>
        <w:tc>
          <w:tcPr>
            <w:tcW w:w="709" w:type="dxa"/>
            <w:vAlign w:val="bottom"/>
          </w:tcPr>
          <w:p w14:paraId="48437A4A" w14:textId="2B0582EB"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461</w:t>
            </w:r>
          </w:p>
        </w:tc>
        <w:tc>
          <w:tcPr>
            <w:tcW w:w="2266" w:type="dxa"/>
            <w:vAlign w:val="bottom"/>
          </w:tcPr>
          <w:p w14:paraId="5FB74E8F" w14:textId="31217DAD"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journal article</w:t>
            </w:r>
          </w:p>
        </w:tc>
        <w:tc>
          <w:tcPr>
            <w:tcW w:w="1842" w:type="dxa"/>
            <w:vAlign w:val="bottom"/>
          </w:tcPr>
          <w:p w14:paraId="164DB073" w14:textId="02A491E1"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student sample</w:t>
            </w:r>
          </w:p>
        </w:tc>
        <w:tc>
          <w:tcPr>
            <w:tcW w:w="831" w:type="dxa"/>
            <w:vAlign w:val="bottom"/>
          </w:tcPr>
          <w:p w14:paraId="3D76DFDA" w14:textId="17FEC3DD"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75</w:t>
            </w:r>
            <w:r w:rsidR="00B61F0D" w:rsidRPr="005554ED">
              <w:rPr>
                <w:rFonts w:asciiTheme="minorHAnsi" w:hAnsiTheme="minorHAnsi" w:cstheme="minorHAnsi"/>
                <w:color w:val="000000" w:themeColor="text1"/>
              </w:rPr>
              <w:t>.</w:t>
            </w:r>
            <w:r w:rsidRPr="005554ED">
              <w:rPr>
                <w:rFonts w:asciiTheme="minorHAnsi" w:hAnsiTheme="minorHAnsi" w:cstheme="minorHAnsi"/>
                <w:color w:val="000000" w:themeColor="text1"/>
              </w:rPr>
              <w:t>98</w:t>
            </w:r>
          </w:p>
        </w:tc>
      </w:tr>
      <w:tr w:rsidR="005554ED" w:rsidRPr="005554ED" w14:paraId="7EEA8B8F" w14:textId="77777777" w:rsidTr="00B61F0D">
        <w:tc>
          <w:tcPr>
            <w:tcW w:w="1983" w:type="dxa"/>
            <w:vAlign w:val="bottom"/>
          </w:tcPr>
          <w:p w14:paraId="4D7B34EF" w14:textId="0FD13DE3" w:rsidR="00DC7703" w:rsidRPr="005554ED" w:rsidRDefault="00DC7703" w:rsidP="00DC7703">
            <w:pPr>
              <w:rPr>
                <w:rFonts w:asciiTheme="minorHAnsi" w:hAnsiTheme="minorHAnsi" w:cstheme="minorHAnsi"/>
                <w:color w:val="000000" w:themeColor="text1"/>
              </w:rPr>
            </w:pPr>
            <w:r w:rsidRPr="005554ED">
              <w:rPr>
                <w:rFonts w:asciiTheme="minorHAnsi" w:hAnsiTheme="minorHAnsi" w:cstheme="minorHAnsi"/>
                <w:color w:val="000000" w:themeColor="text1"/>
              </w:rPr>
              <w:t>Stackhouse et al.</w:t>
            </w:r>
          </w:p>
        </w:tc>
        <w:tc>
          <w:tcPr>
            <w:tcW w:w="1416" w:type="dxa"/>
            <w:vAlign w:val="bottom"/>
          </w:tcPr>
          <w:p w14:paraId="0AAA83F4" w14:textId="6D459CC1"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2014</w:t>
            </w:r>
          </w:p>
        </w:tc>
        <w:tc>
          <w:tcPr>
            <w:tcW w:w="1418" w:type="dxa"/>
            <w:vAlign w:val="bottom"/>
          </w:tcPr>
          <w:p w14:paraId="4A94D3EC" w14:textId="6EA49361"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Americas</w:t>
            </w:r>
          </w:p>
        </w:tc>
        <w:tc>
          <w:tcPr>
            <w:tcW w:w="709" w:type="dxa"/>
            <w:vAlign w:val="bottom"/>
          </w:tcPr>
          <w:p w14:paraId="4A92EBFC" w14:textId="0D7C2E37"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98</w:t>
            </w:r>
          </w:p>
        </w:tc>
        <w:tc>
          <w:tcPr>
            <w:tcW w:w="2266" w:type="dxa"/>
            <w:vAlign w:val="bottom"/>
          </w:tcPr>
          <w:p w14:paraId="017407EE" w14:textId="6CDF1888"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journal article</w:t>
            </w:r>
          </w:p>
        </w:tc>
        <w:tc>
          <w:tcPr>
            <w:tcW w:w="1842" w:type="dxa"/>
            <w:vAlign w:val="bottom"/>
          </w:tcPr>
          <w:p w14:paraId="5B60DFB8" w14:textId="7E7D07BA"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student sample</w:t>
            </w:r>
          </w:p>
        </w:tc>
        <w:tc>
          <w:tcPr>
            <w:tcW w:w="831" w:type="dxa"/>
            <w:vAlign w:val="bottom"/>
          </w:tcPr>
          <w:p w14:paraId="2E7380C5" w14:textId="343D16B5"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88</w:t>
            </w:r>
            <w:r w:rsidR="00B61F0D" w:rsidRPr="005554ED">
              <w:rPr>
                <w:rFonts w:asciiTheme="minorHAnsi" w:hAnsiTheme="minorHAnsi" w:cstheme="minorHAnsi"/>
                <w:color w:val="000000" w:themeColor="text1"/>
              </w:rPr>
              <w:t>.</w:t>
            </w:r>
            <w:r w:rsidRPr="005554ED">
              <w:rPr>
                <w:rFonts w:asciiTheme="minorHAnsi" w:hAnsiTheme="minorHAnsi" w:cstheme="minorHAnsi"/>
                <w:color w:val="000000" w:themeColor="text1"/>
              </w:rPr>
              <w:t>3</w:t>
            </w:r>
            <w:r w:rsidR="00B61F0D" w:rsidRPr="005554ED">
              <w:rPr>
                <w:rFonts w:asciiTheme="minorHAnsi" w:hAnsiTheme="minorHAnsi" w:cstheme="minorHAnsi"/>
                <w:color w:val="000000" w:themeColor="text1"/>
              </w:rPr>
              <w:t>4</w:t>
            </w:r>
          </w:p>
        </w:tc>
      </w:tr>
      <w:tr w:rsidR="005554ED" w:rsidRPr="005554ED" w14:paraId="10118C2B" w14:textId="77777777" w:rsidTr="00B61F0D">
        <w:tc>
          <w:tcPr>
            <w:tcW w:w="1983" w:type="dxa"/>
            <w:tcBorders>
              <w:bottom w:val="single" w:sz="4" w:space="0" w:color="auto"/>
            </w:tcBorders>
            <w:vAlign w:val="bottom"/>
          </w:tcPr>
          <w:p w14:paraId="66DD2736" w14:textId="7AF18A38" w:rsidR="00DC7703" w:rsidRPr="005554ED" w:rsidRDefault="00DC7703" w:rsidP="00DC7703">
            <w:pPr>
              <w:rPr>
                <w:rFonts w:asciiTheme="minorHAnsi" w:hAnsiTheme="minorHAnsi" w:cstheme="minorHAnsi"/>
                <w:color w:val="000000" w:themeColor="text1"/>
              </w:rPr>
            </w:pPr>
            <w:r w:rsidRPr="005554ED">
              <w:rPr>
                <w:rFonts w:asciiTheme="minorHAnsi" w:hAnsiTheme="minorHAnsi" w:cstheme="minorHAnsi"/>
                <w:color w:val="000000" w:themeColor="text1"/>
              </w:rPr>
              <w:t xml:space="preserve">Jackson et al. </w:t>
            </w:r>
          </w:p>
        </w:tc>
        <w:tc>
          <w:tcPr>
            <w:tcW w:w="1416" w:type="dxa"/>
            <w:tcBorders>
              <w:bottom w:val="single" w:sz="4" w:space="0" w:color="auto"/>
            </w:tcBorders>
            <w:vAlign w:val="bottom"/>
          </w:tcPr>
          <w:p w14:paraId="4D362CDD" w14:textId="229B9060"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2010</w:t>
            </w:r>
          </w:p>
        </w:tc>
        <w:tc>
          <w:tcPr>
            <w:tcW w:w="1418" w:type="dxa"/>
            <w:tcBorders>
              <w:bottom w:val="single" w:sz="4" w:space="0" w:color="auto"/>
            </w:tcBorders>
            <w:vAlign w:val="bottom"/>
          </w:tcPr>
          <w:p w14:paraId="326409DB" w14:textId="3AB6E521"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Americas</w:t>
            </w:r>
          </w:p>
        </w:tc>
        <w:tc>
          <w:tcPr>
            <w:tcW w:w="709" w:type="dxa"/>
            <w:tcBorders>
              <w:bottom w:val="single" w:sz="4" w:space="0" w:color="auto"/>
            </w:tcBorders>
            <w:vAlign w:val="bottom"/>
          </w:tcPr>
          <w:p w14:paraId="42DADBCB" w14:textId="7005BA56"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491</w:t>
            </w:r>
          </w:p>
        </w:tc>
        <w:tc>
          <w:tcPr>
            <w:tcW w:w="2266" w:type="dxa"/>
            <w:tcBorders>
              <w:bottom w:val="single" w:sz="4" w:space="0" w:color="auto"/>
            </w:tcBorders>
            <w:vAlign w:val="bottom"/>
          </w:tcPr>
          <w:p w14:paraId="612ECE4A" w14:textId="45BD0C92"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journal article</w:t>
            </w:r>
          </w:p>
        </w:tc>
        <w:tc>
          <w:tcPr>
            <w:tcW w:w="1842" w:type="dxa"/>
            <w:tcBorders>
              <w:bottom w:val="single" w:sz="4" w:space="0" w:color="auto"/>
            </w:tcBorders>
            <w:vAlign w:val="bottom"/>
          </w:tcPr>
          <w:p w14:paraId="5BACDB07" w14:textId="1D9E641C"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student sample</w:t>
            </w:r>
          </w:p>
        </w:tc>
        <w:tc>
          <w:tcPr>
            <w:tcW w:w="831" w:type="dxa"/>
            <w:tcBorders>
              <w:bottom w:val="single" w:sz="4" w:space="0" w:color="auto"/>
            </w:tcBorders>
            <w:vAlign w:val="bottom"/>
          </w:tcPr>
          <w:p w14:paraId="115B75D6" w14:textId="6E353B00" w:rsidR="00DC7703" w:rsidRPr="005554ED" w:rsidRDefault="00DC7703" w:rsidP="00DC7703">
            <w:pPr>
              <w:jc w:val="right"/>
              <w:rPr>
                <w:rFonts w:asciiTheme="minorHAnsi" w:hAnsiTheme="minorHAnsi" w:cstheme="minorHAnsi"/>
                <w:color w:val="000000" w:themeColor="text1"/>
              </w:rPr>
            </w:pPr>
            <w:r w:rsidRPr="005554ED">
              <w:rPr>
                <w:rFonts w:asciiTheme="minorHAnsi" w:hAnsiTheme="minorHAnsi" w:cstheme="minorHAnsi"/>
                <w:color w:val="000000" w:themeColor="text1"/>
              </w:rPr>
              <w:t>90</w:t>
            </w:r>
            <w:r w:rsidR="00B61F0D" w:rsidRPr="005554ED">
              <w:rPr>
                <w:rFonts w:asciiTheme="minorHAnsi" w:hAnsiTheme="minorHAnsi" w:cstheme="minorHAnsi"/>
                <w:color w:val="000000" w:themeColor="text1"/>
              </w:rPr>
              <w:t>.</w:t>
            </w:r>
            <w:r w:rsidRPr="005554ED">
              <w:rPr>
                <w:rFonts w:asciiTheme="minorHAnsi" w:hAnsiTheme="minorHAnsi" w:cstheme="minorHAnsi"/>
                <w:color w:val="000000" w:themeColor="text1"/>
              </w:rPr>
              <w:t>3</w:t>
            </w:r>
            <w:r w:rsidR="00B61F0D" w:rsidRPr="005554ED">
              <w:rPr>
                <w:rFonts w:asciiTheme="minorHAnsi" w:hAnsiTheme="minorHAnsi" w:cstheme="minorHAnsi"/>
                <w:color w:val="000000" w:themeColor="text1"/>
              </w:rPr>
              <w:t>4</w:t>
            </w:r>
          </w:p>
        </w:tc>
      </w:tr>
    </w:tbl>
    <w:p w14:paraId="3018454E" w14:textId="77777777" w:rsidR="00DC7703" w:rsidRPr="005554ED" w:rsidRDefault="00DC7703" w:rsidP="00CB4703">
      <w:pPr>
        <w:rPr>
          <w:color w:val="000000" w:themeColor="text1"/>
        </w:rPr>
        <w:sectPr w:rsidR="00DC7703" w:rsidRPr="005554ED" w:rsidSect="00DC7703">
          <w:footnotePr>
            <w:pos w:val="beneathText"/>
          </w:footnotePr>
          <w:pgSz w:w="15840" w:h="12240" w:orient="landscape"/>
          <w:pgMar w:top="1440" w:right="1440" w:bottom="1440" w:left="1440" w:header="720" w:footer="720" w:gutter="0"/>
          <w:cols w:space="720"/>
          <w:titlePg/>
          <w:docGrid w:linePitch="360"/>
        </w:sectPr>
      </w:pPr>
    </w:p>
    <w:p w14:paraId="31ADFAFA" w14:textId="155DB041" w:rsidR="00CB4703" w:rsidRPr="005554ED" w:rsidRDefault="00E7687B" w:rsidP="00E7687B">
      <w:pPr>
        <w:pStyle w:val="Heading2"/>
        <w:rPr>
          <w:color w:val="000000" w:themeColor="text1"/>
        </w:rPr>
      </w:pPr>
      <w:r w:rsidRPr="005554ED">
        <w:rPr>
          <w:color w:val="000000" w:themeColor="text1"/>
        </w:rPr>
        <w:lastRenderedPageBreak/>
        <w:t>Testing gender differences in loneliness</w:t>
      </w:r>
    </w:p>
    <w:p w14:paraId="463F5F97" w14:textId="349CEB14" w:rsidR="00E7687B" w:rsidRPr="005554ED" w:rsidRDefault="00E7687B" w:rsidP="00E7687B">
      <w:pPr>
        <w:rPr>
          <w:iCs/>
          <w:color w:val="000000" w:themeColor="text1"/>
        </w:rPr>
      </w:pPr>
      <w:r w:rsidRPr="005554ED">
        <w:rPr>
          <w:color w:val="000000" w:themeColor="text1"/>
        </w:rPr>
        <w:t xml:space="preserve">As requested during the peer review process, we tested whether there is a meta-analytic relation between loneliness and the proportion of females in a sample. Thus, we predicted the loneliness pomp score by </w:t>
      </w:r>
      <w:bookmarkStart w:id="8" w:name="OLE_LINK195"/>
      <w:bookmarkStart w:id="9" w:name="OLE_LINK196"/>
      <w:r w:rsidRPr="005554ED">
        <w:rPr>
          <w:color w:val="000000" w:themeColor="text1"/>
        </w:rPr>
        <w:t>the proportion of females</w:t>
      </w:r>
      <w:bookmarkEnd w:id="8"/>
      <w:bookmarkEnd w:id="9"/>
      <w:r w:rsidRPr="005554ED">
        <w:rPr>
          <w:color w:val="000000" w:themeColor="text1"/>
        </w:rPr>
        <w:t xml:space="preserve"> using a similar random-effects meta-regression model as for the other analyses reported in this manuscript. The effect size of interest in this analysis is the regression coefficient of the proportion of females. This regression coefficient was not statistically significant </w:t>
      </w:r>
      <w:r w:rsidRPr="005554ED">
        <w:rPr>
          <w:iCs/>
          <w:color w:val="000000" w:themeColor="text1"/>
        </w:rPr>
        <w:t>(</w:t>
      </w:r>
      <w:r w:rsidRPr="005554ED">
        <w:rPr>
          <w:rFonts w:ascii="Symbol" w:hAnsi="Symbol"/>
          <w:iCs/>
          <w:color w:val="000000" w:themeColor="text1"/>
          <w:lang w:val="de-DE"/>
        </w:rPr>
        <w:t></w:t>
      </w:r>
      <w:r w:rsidRPr="005554ED">
        <w:rPr>
          <w:iCs/>
          <w:color w:val="000000" w:themeColor="text1"/>
        </w:rPr>
        <w:t xml:space="preserve"> = 0.010, 95% CI [-0.021, 0.041]), indicating no gender differences in emerging adults’ loneliness.</w:t>
      </w:r>
    </w:p>
    <w:p w14:paraId="02F328C0" w14:textId="6090F189" w:rsidR="00792AF2" w:rsidRPr="005554ED" w:rsidRDefault="00792AF2" w:rsidP="00792AF2">
      <w:pPr>
        <w:pStyle w:val="Heading2"/>
        <w:rPr>
          <w:color w:val="000000" w:themeColor="text1"/>
        </w:rPr>
      </w:pPr>
      <w:r w:rsidRPr="005554ED">
        <w:rPr>
          <w:color w:val="000000" w:themeColor="text1"/>
        </w:rPr>
        <w:t>Model equation for moderator analyses</w:t>
      </w:r>
    </w:p>
    <w:p w14:paraId="338EFFD8" w14:textId="2F99290D" w:rsidR="00792AF2" w:rsidRPr="005554ED" w:rsidRDefault="00792AF2" w:rsidP="00792AF2">
      <w:pPr>
        <w:rPr>
          <w:color w:val="000000" w:themeColor="text1"/>
        </w:rPr>
      </w:pPr>
      <w:r w:rsidRPr="005554ED">
        <w:rPr>
          <w:color w:val="000000" w:themeColor="text1"/>
        </w:rPr>
        <w:t xml:space="preserve">To estimate whether the changes in loneliness over historical time are moderated by study or sample characteristics, we used the predicted loneliness scores derived from the following regression equation: y = </w:t>
      </w:r>
      <w:bookmarkStart w:id="10" w:name="OLE_LINK225"/>
      <w:bookmarkStart w:id="11" w:name="OLE_LINK226"/>
      <w:r w:rsidRPr="005554ED">
        <w:rPr>
          <w:rFonts w:ascii="Symbol" w:hAnsi="Symbol"/>
          <w:color w:val="000000" w:themeColor="text1"/>
        </w:rPr>
        <w:t></w:t>
      </w:r>
      <w:r w:rsidRPr="005554ED">
        <w:rPr>
          <w:color w:val="000000" w:themeColor="text1"/>
        </w:rPr>
        <w:t xml:space="preserve">x + </w:t>
      </w:r>
      <w:bookmarkEnd w:id="10"/>
      <w:bookmarkEnd w:id="11"/>
      <w:r w:rsidRPr="005554ED">
        <w:rPr>
          <w:rFonts w:ascii="Symbol" w:hAnsi="Symbol"/>
          <w:color w:val="000000" w:themeColor="text1"/>
        </w:rPr>
        <w:t></w:t>
      </w:r>
      <w:r w:rsidRPr="005554ED">
        <w:rPr>
          <w:color w:val="000000" w:themeColor="text1"/>
        </w:rPr>
        <w:t xml:space="preserve">mod + </w:t>
      </w:r>
      <w:r w:rsidRPr="005554ED">
        <w:rPr>
          <w:rFonts w:ascii="Symbol" w:hAnsi="Symbol"/>
          <w:color w:val="000000" w:themeColor="text1"/>
        </w:rPr>
        <w:t></w:t>
      </w:r>
      <w:r w:rsidRPr="005554ED">
        <w:rPr>
          <w:color w:val="000000" w:themeColor="text1"/>
        </w:rPr>
        <w:t xml:space="preserve">x*mod + c. In this equation, y is the predicted loneliness score, </w:t>
      </w:r>
      <w:bookmarkStart w:id="12" w:name="OLE_LINK227"/>
      <w:bookmarkStart w:id="13" w:name="OLE_LINK228"/>
      <w:r w:rsidRPr="005554ED">
        <w:rPr>
          <w:rFonts w:ascii="Symbol" w:hAnsi="Symbol"/>
          <w:color w:val="000000" w:themeColor="text1"/>
        </w:rPr>
        <w:t></w:t>
      </w:r>
      <w:r w:rsidRPr="005554ED">
        <w:rPr>
          <w:color w:val="000000" w:themeColor="text1"/>
        </w:rPr>
        <w:t>x is the unstandardized regression coefficient of the year of data collection</w:t>
      </w:r>
      <w:bookmarkEnd w:id="12"/>
      <w:bookmarkEnd w:id="13"/>
      <w:r w:rsidRPr="005554ED">
        <w:rPr>
          <w:color w:val="000000" w:themeColor="text1"/>
        </w:rPr>
        <w:t xml:space="preserve">, </w:t>
      </w:r>
      <w:r w:rsidRPr="005554ED">
        <w:rPr>
          <w:rFonts w:ascii="Symbol" w:hAnsi="Symbol"/>
          <w:color w:val="000000" w:themeColor="text1"/>
        </w:rPr>
        <w:t></w:t>
      </w:r>
      <w:r w:rsidRPr="005554ED">
        <w:rPr>
          <w:color w:val="000000" w:themeColor="text1"/>
        </w:rPr>
        <w:t xml:space="preserve">mod is the unstandardized regression coefficient of the moderator variable of interest, </w:t>
      </w:r>
      <w:r w:rsidRPr="005554ED">
        <w:rPr>
          <w:rFonts w:ascii="Symbol" w:hAnsi="Symbol"/>
          <w:color w:val="000000" w:themeColor="text1"/>
        </w:rPr>
        <w:t></w:t>
      </w:r>
      <w:r w:rsidRPr="005554ED">
        <w:rPr>
          <w:color w:val="000000" w:themeColor="text1"/>
        </w:rPr>
        <w:t>x*mod is the unstandardized regression coefficient of the interaction between the year of data collection and the moderator variable, and c is the regression intercept.</w:t>
      </w:r>
    </w:p>
    <w:p w14:paraId="6DD8223D" w14:textId="77777777" w:rsidR="00792AF2" w:rsidRPr="005554ED" w:rsidRDefault="00792AF2">
      <w:pPr>
        <w:rPr>
          <w:b/>
          <w:bCs/>
          <w:color w:val="000000" w:themeColor="text1"/>
        </w:rPr>
      </w:pPr>
      <w:r w:rsidRPr="005554ED">
        <w:rPr>
          <w:color w:val="000000" w:themeColor="text1"/>
        </w:rPr>
        <w:br w:type="page"/>
      </w:r>
    </w:p>
    <w:p w14:paraId="21C8A3C7" w14:textId="48A144C5" w:rsidR="00792AF2" w:rsidRPr="005554ED" w:rsidRDefault="00792AF2" w:rsidP="00792AF2">
      <w:pPr>
        <w:pStyle w:val="Heading2"/>
        <w:rPr>
          <w:color w:val="000000" w:themeColor="text1"/>
        </w:rPr>
      </w:pPr>
      <w:r w:rsidRPr="005554ED">
        <w:rPr>
          <w:color w:val="000000" w:themeColor="text1"/>
        </w:rPr>
        <w:lastRenderedPageBreak/>
        <w:t>Results of the moderator analyses</w:t>
      </w:r>
    </w:p>
    <w:p w14:paraId="17A674D9" w14:textId="6F9E44BE" w:rsidR="00792AF2" w:rsidRPr="005554ED" w:rsidRDefault="00792AF2" w:rsidP="00792AF2">
      <w:pPr>
        <w:pStyle w:val="NoSpacing"/>
        <w:rPr>
          <w:color w:val="000000" w:themeColor="text1"/>
        </w:rPr>
      </w:pPr>
      <w:bookmarkStart w:id="14" w:name="OLE_LINK237"/>
      <w:bookmarkStart w:id="15" w:name="OLE_LINK238"/>
      <w:r w:rsidRPr="005554ED">
        <w:rPr>
          <w:color w:val="000000" w:themeColor="text1"/>
        </w:rPr>
        <w:t>Table S4</w:t>
      </w:r>
    </w:p>
    <w:p w14:paraId="67DD77E1" w14:textId="0EF00C7D" w:rsidR="00792AF2" w:rsidRPr="005554ED" w:rsidRDefault="008F0121" w:rsidP="00792AF2">
      <w:pPr>
        <w:pStyle w:val="NoSpacing"/>
        <w:rPr>
          <w:color w:val="000000" w:themeColor="text1"/>
        </w:rPr>
      </w:pPr>
      <w:r w:rsidRPr="005554ED">
        <w:rPr>
          <w:i/>
          <w:iCs/>
          <w:color w:val="000000" w:themeColor="text1"/>
        </w:rPr>
        <w:t>Continent as potential moderator of changes in loneliness over historical time</w:t>
      </w:r>
    </w:p>
    <w:tbl>
      <w:tblPr>
        <w:tblStyle w:val="APAReport"/>
        <w:tblW w:w="0" w:type="auto"/>
        <w:tblLook w:val="04A0" w:firstRow="1" w:lastRow="0" w:firstColumn="1" w:lastColumn="0" w:noHBand="0" w:noVBand="1"/>
      </w:tblPr>
      <w:tblGrid>
        <w:gridCol w:w="3369"/>
        <w:gridCol w:w="1466"/>
        <w:gridCol w:w="1177"/>
        <w:gridCol w:w="1159"/>
      </w:tblGrid>
      <w:tr w:rsidR="005554ED" w:rsidRPr="005554ED" w14:paraId="546E0BC3" w14:textId="2BFBB01A" w:rsidTr="00484660">
        <w:trPr>
          <w:cnfStyle w:val="100000000000" w:firstRow="1" w:lastRow="0" w:firstColumn="0" w:lastColumn="0" w:oddVBand="0" w:evenVBand="0" w:oddHBand="0" w:evenHBand="0" w:firstRowFirstColumn="0" w:firstRowLastColumn="0" w:lastRowFirstColumn="0" w:lastRowLastColumn="0"/>
        </w:trPr>
        <w:tc>
          <w:tcPr>
            <w:tcW w:w="3369" w:type="dxa"/>
          </w:tcPr>
          <w:p w14:paraId="364CE4C8" w14:textId="4A00031E" w:rsidR="008F0121" w:rsidRPr="005554ED" w:rsidRDefault="008F0121" w:rsidP="00792AF2">
            <w:pPr>
              <w:rPr>
                <w:rFonts w:asciiTheme="minorHAnsi" w:hAnsiTheme="minorHAnsi" w:cstheme="minorHAnsi"/>
                <w:color w:val="000000" w:themeColor="text1"/>
              </w:rPr>
            </w:pPr>
          </w:p>
        </w:tc>
        <w:tc>
          <w:tcPr>
            <w:tcW w:w="1466" w:type="dxa"/>
          </w:tcPr>
          <w:p w14:paraId="3EF191AA" w14:textId="654DA282" w:rsidR="008F0121" w:rsidRPr="005554ED" w:rsidRDefault="008F0121" w:rsidP="00792AF2">
            <w:pPr>
              <w:rPr>
                <w:rFonts w:asciiTheme="minorHAnsi" w:hAnsiTheme="minorHAnsi" w:cstheme="minorHAnsi"/>
                <w:color w:val="000000" w:themeColor="text1"/>
              </w:rPr>
            </w:pPr>
            <w:r w:rsidRPr="005554ED">
              <w:rPr>
                <w:rFonts w:asciiTheme="minorHAnsi" w:hAnsiTheme="minorHAnsi" w:cstheme="minorHAnsi"/>
                <w:color w:val="000000" w:themeColor="text1"/>
              </w:rPr>
              <w:t>Estimate</w:t>
            </w:r>
          </w:p>
        </w:tc>
        <w:tc>
          <w:tcPr>
            <w:tcW w:w="2336" w:type="dxa"/>
            <w:gridSpan w:val="2"/>
          </w:tcPr>
          <w:p w14:paraId="546B9E85" w14:textId="4D03CD77" w:rsidR="008F0121" w:rsidRPr="005554ED" w:rsidRDefault="008F0121" w:rsidP="008F0121">
            <w:pPr>
              <w:jc w:val="center"/>
              <w:rPr>
                <w:rFonts w:asciiTheme="minorHAnsi" w:hAnsiTheme="minorHAnsi" w:cstheme="minorHAnsi"/>
                <w:color w:val="000000" w:themeColor="text1"/>
              </w:rPr>
            </w:pPr>
            <w:r w:rsidRPr="005554ED">
              <w:rPr>
                <w:rFonts w:asciiTheme="minorHAnsi" w:hAnsiTheme="minorHAnsi" w:cstheme="minorHAnsi"/>
                <w:color w:val="000000" w:themeColor="text1"/>
              </w:rPr>
              <w:t>95% CI</w:t>
            </w:r>
          </w:p>
        </w:tc>
      </w:tr>
      <w:tr w:rsidR="005554ED" w:rsidRPr="005554ED" w14:paraId="025074CE" w14:textId="1503417B" w:rsidTr="008F0121">
        <w:tc>
          <w:tcPr>
            <w:tcW w:w="3369" w:type="dxa"/>
            <w:vAlign w:val="bottom"/>
          </w:tcPr>
          <w:p w14:paraId="1CC60BFD" w14:textId="61220669"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Intercept</w:t>
            </w:r>
          </w:p>
        </w:tc>
        <w:tc>
          <w:tcPr>
            <w:tcW w:w="1466" w:type="dxa"/>
            <w:vAlign w:val="bottom"/>
          </w:tcPr>
          <w:p w14:paraId="74C69BB5" w14:textId="2DA5FC83"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35.283</w:t>
            </w:r>
          </w:p>
        </w:tc>
        <w:tc>
          <w:tcPr>
            <w:tcW w:w="1177" w:type="dxa"/>
            <w:vAlign w:val="bottom"/>
          </w:tcPr>
          <w:p w14:paraId="6EB61A09" w14:textId="2B82BB8D"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[33.758</w:t>
            </w:r>
            <w:bookmarkStart w:id="16" w:name="OLE_LINK236"/>
            <w:bookmarkStart w:id="17" w:name="OLE_LINK241"/>
            <w:r w:rsidRPr="005554ED">
              <w:rPr>
                <w:rFonts w:asciiTheme="minorHAnsi" w:hAnsiTheme="minorHAnsi" w:cstheme="minorHAnsi"/>
                <w:color w:val="000000" w:themeColor="text1"/>
              </w:rPr>
              <w:t>;</w:t>
            </w:r>
            <w:bookmarkEnd w:id="16"/>
            <w:bookmarkEnd w:id="17"/>
          </w:p>
        </w:tc>
        <w:tc>
          <w:tcPr>
            <w:tcW w:w="1159" w:type="dxa"/>
            <w:vAlign w:val="bottom"/>
          </w:tcPr>
          <w:p w14:paraId="732696CF" w14:textId="3451BA01"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36.808]</w:t>
            </w:r>
          </w:p>
        </w:tc>
      </w:tr>
      <w:tr w:rsidR="005554ED" w:rsidRPr="005554ED" w14:paraId="17E4BF19" w14:textId="7B18CCA1" w:rsidTr="008F0121">
        <w:tc>
          <w:tcPr>
            <w:tcW w:w="3369" w:type="dxa"/>
            <w:vAlign w:val="bottom"/>
          </w:tcPr>
          <w:p w14:paraId="639DB4A9" w14:textId="622581DE"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 xml:space="preserve">Year of data collection </w:t>
            </w:r>
          </w:p>
        </w:tc>
        <w:tc>
          <w:tcPr>
            <w:tcW w:w="1466" w:type="dxa"/>
            <w:vAlign w:val="bottom"/>
          </w:tcPr>
          <w:p w14:paraId="3428AF95" w14:textId="09F20D1B"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0.297</w:t>
            </w:r>
          </w:p>
        </w:tc>
        <w:tc>
          <w:tcPr>
            <w:tcW w:w="1177" w:type="dxa"/>
            <w:vAlign w:val="bottom"/>
          </w:tcPr>
          <w:p w14:paraId="51A6F615" w14:textId="222C5A32"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[0.175;</w:t>
            </w:r>
          </w:p>
        </w:tc>
        <w:tc>
          <w:tcPr>
            <w:tcW w:w="1159" w:type="dxa"/>
            <w:vAlign w:val="bottom"/>
          </w:tcPr>
          <w:p w14:paraId="540FAA82" w14:textId="29F49D07"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0.418]</w:t>
            </w:r>
          </w:p>
        </w:tc>
      </w:tr>
      <w:tr w:rsidR="005554ED" w:rsidRPr="005554ED" w14:paraId="5E5AEB60" w14:textId="24E253C1" w:rsidTr="008F0121">
        <w:tc>
          <w:tcPr>
            <w:tcW w:w="3369" w:type="dxa"/>
            <w:vAlign w:val="bottom"/>
          </w:tcPr>
          <w:p w14:paraId="3D83DF00" w14:textId="3FD8F084"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Asia</w:t>
            </w:r>
          </w:p>
        </w:tc>
        <w:tc>
          <w:tcPr>
            <w:tcW w:w="1466" w:type="dxa"/>
            <w:vAlign w:val="bottom"/>
          </w:tcPr>
          <w:p w14:paraId="070ED054" w14:textId="2927EC97"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0.047</w:t>
            </w:r>
          </w:p>
        </w:tc>
        <w:tc>
          <w:tcPr>
            <w:tcW w:w="1177" w:type="dxa"/>
            <w:vAlign w:val="bottom"/>
          </w:tcPr>
          <w:p w14:paraId="3D630964" w14:textId="14099266"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[-2.696;</w:t>
            </w:r>
          </w:p>
        </w:tc>
        <w:tc>
          <w:tcPr>
            <w:tcW w:w="1159" w:type="dxa"/>
            <w:vAlign w:val="bottom"/>
          </w:tcPr>
          <w:p w14:paraId="2D4E29E7" w14:textId="55606852"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2.790]</w:t>
            </w:r>
          </w:p>
        </w:tc>
      </w:tr>
      <w:tr w:rsidR="005554ED" w:rsidRPr="005554ED" w14:paraId="39C49C9B" w14:textId="247CA200" w:rsidTr="008F0121">
        <w:tc>
          <w:tcPr>
            <w:tcW w:w="3369" w:type="dxa"/>
            <w:vAlign w:val="bottom"/>
          </w:tcPr>
          <w:p w14:paraId="610498F1" w14:textId="5D847815"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Europe</w:t>
            </w:r>
          </w:p>
        </w:tc>
        <w:tc>
          <w:tcPr>
            <w:tcW w:w="1466" w:type="dxa"/>
            <w:vAlign w:val="bottom"/>
          </w:tcPr>
          <w:p w14:paraId="086C31F1" w14:textId="7BF810E6"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-7.033</w:t>
            </w:r>
          </w:p>
        </w:tc>
        <w:tc>
          <w:tcPr>
            <w:tcW w:w="1177" w:type="dxa"/>
            <w:vAlign w:val="bottom"/>
          </w:tcPr>
          <w:p w14:paraId="1BB4854E" w14:textId="6F593E39"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[-10.309;</w:t>
            </w:r>
          </w:p>
        </w:tc>
        <w:tc>
          <w:tcPr>
            <w:tcW w:w="1159" w:type="dxa"/>
            <w:vAlign w:val="bottom"/>
          </w:tcPr>
          <w:p w14:paraId="64AF9068" w14:textId="343A24B5"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-3.757]</w:t>
            </w:r>
          </w:p>
        </w:tc>
      </w:tr>
      <w:tr w:rsidR="005554ED" w:rsidRPr="005554ED" w14:paraId="6794D5E2" w14:textId="5B6564AA" w:rsidTr="008F0121">
        <w:tc>
          <w:tcPr>
            <w:tcW w:w="3369" w:type="dxa"/>
            <w:vAlign w:val="bottom"/>
          </w:tcPr>
          <w:p w14:paraId="46B8A6AC" w14:textId="208D333F" w:rsidR="00484660" w:rsidRPr="005554ED" w:rsidRDefault="00484660" w:rsidP="00484660">
            <w:pPr>
              <w:rPr>
                <w:rFonts w:asciiTheme="minorHAnsi" w:hAnsiTheme="minorHAnsi" w:cstheme="minorHAnsi"/>
                <w:color w:val="000000" w:themeColor="text1"/>
              </w:rPr>
            </w:pPr>
            <w:bookmarkStart w:id="18" w:name="OLE_LINK231"/>
            <w:bookmarkStart w:id="19" w:name="OLE_LINK232"/>
            <w:r w:rsidRPr="005554ED">
              <w:rPr>
                <w:rFonts w:asciiTheme="minorHAnsi" w:hAnsiTheme="minorHAnsi" w:cstheme="minorHAnsi"/>
                <w:color w:val="000000" w:themeColor="text1"/>
              </w:rPr>
              <w:t>Year of data collection * Asia</w:t>
            </w:r>
            <w:bookmarkEnd w:id="18"/>
            <w:bookmarkEnd w:id="19"/>
          </w:p>
        </w:tc>
        <w:tc>
          <w:tcPr>
            <w:tcW w:w="1466" w:type="dxa"/>
            <w:vAlign w:val="bottom"/>
          </w:tcPr>
          <w:p w14:paraId="34DEEF73" w14:textId="2E331BEC"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-0.046</w:t>
            </w:r>
          </w:p>
        </w:tc>
        <w:tc>
          <w:tcPr>
            <w:tcW w:w="1177" w:type="dxa"/>
            <w:vAlign w:val="bottom"/>
          </w:tcPr>
          <w:p w14:paraId="58224DA2" w14:textId="494D6DAB"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[-0.325;</w:t>
            </w:r>
          </w:p>
        </w:tc>
        <w:tc>
          <w:tcPr>
            <w:tcW w:w="1159" w:type="dxa"/>
            <w:vAlign w:val="bottom"/>
          </w:tcPr>
          <w:p w14:paraId="4945FAFC" w14:textId="3B171A00"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0.232]</w:t>
            </w:r>
          </w:p>
        </w:tc>
      </w:tr>
      <w:tr w:rsidR="005554ED" w:rsidRPr="005554ED" w14:paraId="1B84E3FF" w14:textId="63893677" w:rsidTr="008F0121">
        <w:tc>
          <w:tcPr>
            <w:tcW w:w="3369" w:type="dxa"/>
            <w:vAlign w:val="bottom"/>
          </w:tcPr>
          <w:p w14:paraId="53DE2767" w14:textId="4606773A"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Year of data collection * Europe</w:t>
            </w:r>
          </w:p>
        </w:tc>
        <w:tc>
          <w:tcPr>
            <w:tcW w:w="1466" w:type="dxa"/>
            <w:vAlign w:val="bottom"/>
          </w:tcPr>
          <w:p w14:paraId="0C9A6E44" w14:textId="3193FB12"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-0.168</w:t>
            </w:r>
          </w:p>
        </w:tc>
        <w:tc>
          <w:tcPr>
            <w:tcW w:w="1177" w:type="dxa"/>
            <w:vAlign w:val="bottom"/>
          </w:tcPr>
          <w:p w14:paraId="73E9246F" w14:textId="2EBDF2AE"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[-0.491;</w:t>
            </w:r>
          </w:p>
        </w:tc>
        <w:tc>
          <w:tcPr>
            <w:tcW w:w="1159" w:type="dxa"/>
            <w:vAlign w:val="bottom"/>
          </w:tcPr>
          <w:p w14:paraId="3641C6CB" w14:textId="3AE62E23"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0.155]</w:t>
            </w:r>
          </w:p>
        </w:tc>
      </w:tr>
    </w:tbl>
    <w:p w14:paraId="7E22E2D1" w14:textId="5F01DB61" w:rsidR="00792AF2" w:rsidRPr="005554ED" w:rsidRDefault="008F0121" w:rsidP="00694F50">
      <w:pPr>
        <w:ind w:firstLine="0"/>
        <w:rPr>
          <w:color w:val="000000" w:themeColor="text1"/>
          <w:sz w:val="20"/>
          <w:szCs w:val="20"/>
        </w:rPr>
      </w:pPr>
      <w:r w:rsidRPr="005554ED">
        <w:rPr>
          <w:i/>
          <w:iCs/>
          <w:color w:val="000000" w:themeColor="text1"/>
          <w:sz w:val="20"/>
          <w:szCs w:val="20"/>
        </w:rPr>
        <w:t>Note.</w:t>
      </w:r>
      <w:r w:rsidRPr="005554ED">
        <w:rPr>
          <w:color w:val="000000" w:themeColor="text1"/>
          <w:sz w:val="20"/>
          <w:szCs w:val="20"/>
        </w:rPr>
        <w:t xml:space="preserve"> The reference category for continent was America.</w:t>
      </w:r>
    </w:p>
    <w:p w14:paraId="3BD0BBD8" w14:textId="77777777" w:rsidR="00694F50" w:rsidRPr="005554ED" w:rsidRDefault="00694F50" w:rsidP="008F0121">
      <w:pPr>
        <w:pStyle w:val="NoSpacing"/>
        <w:rPr>
          <w:color w:val="000000" w:themeColor="text1"/>
        </w:rPr>
      </w:pPr>
      <w:bookmarkStart w:id="20" w:name="OLE_LINK239"/>
      <w:bookmarkStart w:id="21" w:name="OLE_LINK240"/>
    </w:p>
    <w:p w14:paraId="4FB77C92" w14:textId="3D2B2900" w:rsidR="008F0121" w:rsidRPr="005554ED" w:rsidRDefault="008F0121" w:rsidP="008F0121">
      <w:pPr>
        <w:pStyle w:val="NoSpacing"/>
        <w:rPr>
          <w:color w:val="000000" w:themeColor="text1"/>
        </w:rPr>
      </w:pPr>
      <w:r w:rsidRPr="005554ED">
        <w:rPr>
          <w:color w:val="000000" w:themeColor="text1"/>
        </w:rPr>
        <w:t>Table S5</w:t>
      </w:r>
    </w:p>
    <w:p w14:paraId="4D32CEE5" w14:textId="77F0432F" w:rsidR="008F0121" w:rsidRPr="005554ED" w:rsidRDefault="008F0121" w:rsidP="008F0121">
      <w:pPr>
        <w:pStyle w:val="NoSpacing"/>
        <w:rPr>
          <w:color w:val="000000" w:themeColor="text1"/>
        </w:rPr>
      </w:pPr>
      <w:r w:rsidRPr="005554ED">
        <w:rPr>
          <w:i/>
          <w:iCs/>
          <w:color w:val="000000" w:themeColor="text1"/>
        </w:rPr>
        <w:t>Sample type as potential moderator of changes in loneliness over historical time</w:t>
      </w:r>
    </w:p>
    <w:tbl>
      <w:tblPr>
        <w:tblStyle w:val="APAReport"/>
        <w:tblW w:w="0" w:type="auto"/>
        <w:tblLook w:val="04A0" w:firstRow="1" w:lastRow="0" w:firstColumn="1" w:lastColumn="0" w:noHBand="0" w:noVBand="1"/>
      </w:tblPr>
      <w:tblGrid>
        <w:gridCol w:w="3369"/>
        <w:gridCol w:w="1466"/>
        <w:gridCol w:w="1177"/>
        <w:gridCol w:w="1159"/>
      </w:tblGrid>
      <w:tr w:rsidR="005554ED" w:rsidRPr="005554ED" w14:paraId="3017464C" w14:textId="77777777" w:rsidTr="00484660">
        <w:trPr>
          <w:cnfStyle w:val="100000000000" w:firstRow="1" w:lastRow="0" w:firstColumn="0" w:lastColumn="0" w:oddVBand="0" w:evenVBand="0" w:oddHBand="0" w:evenHBand="0" w:firstRowFirstColumn="0" w:firstRowLastColumn="0" w:lastRowFirstColumn="0" w:lastRowLastColumn="0"/>
        </w:trPr>
        <w:tc>
          <w:tcPr>
            <w:tcW w:w="3369" w:type="dxa"/>
          </w:tcPr>
          <w:p w14:paraId="31380993" w14:textId="77777777" w:rsidR="008F0121" w:rsidRPr="005554ED" w:rsidRDefault="008F0121" w:rsidP="00484660">
            <w:pPr>
              <w:rPr>
                <w:rFonts w:asciiTheme="minorHAnsi" w:hAnsiTheme="minorHAnsi" w:cstheme="minorHAnsi"/>
                <w:color w:val="000000" w:themeColor="text1"/>
              </w:rPr>
            </w:pPr>
          </w:p>
        </w:tc>
        <w:tc>
          <w:tcPr>
            <w:tcW w:w="1466" w:type="dxa"/>
          </w:tcPr>
          <w:p w14:paraId="4DD412D6" w14:textId="77777777" w:rsidR="008F0121" w:rsidRPr="005554ED" w:rsidRDefault="008F0121"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Estimate</w:t>
            </w:r>
          </w:p>
        </w:tc>
        <w:tc>
          <w:tcPr>
            <w:tcW w:w="2336" w:type="dxa"/>
            <w:gridSpan w:val="2"/>
          </w:tcPr>
          <w:p w14:paraId="3EA737DF" w14:textId="6B8A19BA" w:rsidR="008F0121" w:rsidRPr="005554ED" w:rsidRDefault="008F0121" w:rsidP="00484660">
            <w:pPr>
              <w:jc w:val="center"/>
              <w:rPr>
                <w:rFonts w:asciiTheme="minorHAnsi" w:hAnsiTheme="minorHAnsi" w:cstheme="minorHAnsi"/>
                <w:color w:val="000000" w:themeColor="text1"/>
              </w:rPr>
            </w:pPr>
            <w:r w:rsidRPr="005554ED">
              <w:rPr>
                <w:rFonts w:asciiTheme="minorHAnsi" w:hAnsiTheme="minorHAnsi" w:cstheme="minorHAnsi"/>
                <w:color w:val="000000" w:themeColor="text1"/>
              </w:rPr>
              <w:t>95% CI</w:t>
            </w:r>
          </w:p>
        </w:tc>
      </w:tr>
      <w:tr w:rsidR="005554ED" w:rsidRPr="005554ED" w14:paraId="084CA3C8" w14:textId="77777777" w:rsidTr="00484660">
        <w:tc>
          <w:tcPr>
            <w:tcW w:w="3369" w:type="dxa"/>
            <w:vAlign w:val="bottom"/>
          </w:tcPr>
          <w:p w14:paraId="07F094C0" w14:textId="77777777"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Intercept</w:t>
            </w:r>
          </w:p>
        </w:tc>
        <w:tc>
          <w:tcPr>
            <w:tcW w:w="1466" w:type="dxa"/>
            <w:vAlign w:val="bottom"/>
          </w:tcPr>
          <w:p w14:paraId="338733A3" w14:textId="42270C03"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34.063</w:t>
            </w:r>
          </w:p>
        </w:tc>
        <w:tc>
          <w:tcPr>
            <w:tcW w:w="1177" w:type="dxa"/>
            <w:vAlign w:val="bottom"/>
          </w:tcPr>
          <w:p w14:paraId="64D4BC4B" w14:textId="1F281746"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[32.970;</w:t>
            </w:r>
          </w:p>
        </w:tc>
        <w:tc>
          <w:tcPr>
            <w:tcW w:w="1159" w:type="dxa"/>
            <w:vAlign w:val="bottom"/>
          </w:tcPr>
          <w:p w14:paraId="50487F68" w14:textId="214FD9FC"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35.156</w:t>
            </w:r>
            <w:bookmarkStart w:id="22" w:name="OLE_LINK242"/>
            <w:bookmarkStart w:id="23" w:name="OLE_LINK257"/>
            <w:r w:rsidRPr="005554ED">
              <w:rPr>
                <w:rFonts w:asciiTheme="minorHAnsi" w:hAnsiTheme="minorHAnsi" w:cstheme="minorHAnsi"/>
                <w:color w:val="000000" w:themeColor="text1"/>
              </w:rPr>
              <w:t>]</w:t>
            </w:r>
            <w:bookmarkEnd w:id="22"/>
            <w:bookmarkEnd w:id="23"/>
          </w:p>
        </w:tc>
      </w:tr>
      <w:tr w:rsidR="005554ED" w:rsidRPr="005554ED" w14:paraId="6F05238F" w14:textId="77777777" w:rsidTr="00484660">
        <w:tc>
          <w:tcPr>
            <w:tcW w:w="3369" w:type="dxa"/>
            <w:vAlign w:val="bottom"/>
          </w:tcPr>
          <w:p w14:paraId="7F33F1D0" w14:textId="74A11167"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 xml:space="preserve">Year of data collection </w:t>
            </w:r>
          </w:p>
        </w:tc>
        <w:tc>
          <w:tcPr>
            <w:tcW w:w="1466" w:type="dxa"/>
            <w:vAlign w:val="bottom"/>
          </w:tcPr>
          <w:p w14:paraId="06D0C7AE" w14:textId="7BF91397"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0.247</w:t>
            </w:r>
          </w:p>
        </w:tc>
        <w:tc>
          <w:tcPr>
            <w:tcW w:w="1177" w:type="dxa"/>
            <w:vAlign w:val="bottom"/>
          </w:tcPr>
          <w:p w14:paraId="12890F4B" w14:textId="26300833"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[0.159;</w:t>
            </w:r>
          </w:p>
        </w:tc>
        <w:tc>
          <w:tcPr>
            <w:tcW w:w="1159" w:type="dxa"/>
            <w:vAlign w:val="bottom"/>
          </w:tcPr>
          <w:p w14:paraId="2F1C62C0" w14:textId="63BFAE43"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0.335]</w:t>
            </w:r>
          </w:p>
        </w:tc>
      </w:tr>
      <w:tr w:rsidR="005554ED" w:rsidRPr="005554ED" w14:paraId="51AE534E" w14:textId="77777777" w:rsidTr="00484660">
        <w:tc>
          <w:tcPr>
            <w:tcW w:w="3369" w:type="dxa"/>
            <w:vAlign w:val="bottom"/>
          </w:tcPr>
          <w:p w14:paraId="33320D8D" w14:textId="4B0D8C20" w:rsidR="00484660" w:rsidRPr="005554ED" w:rsidRDefault="00484660" w:rsidP="00484660">
            <w:pPr>
              <w:rPr>
                <w:rFonts w:asciiTheme="minorHAnsi" w:hAnsiTheme="minorHAnsi" w:cstheme="minorHAnsi"/>
                <w:color w:val="000000" w:themeColor="text1"/>
              </w:rPr>
            </w:pPr>
            <w:proofErr w:type="gramStart"/>
            <w:r w:rsidRPr="005554ED">
              <w:rPr>
                <w:rFonts w:asciiTheme="minorHAnsi" w:hAnsiTheme="minorHAnsi" w:cstheme="minorHAnsi"/>
                <w:color w:val="000000" w:themeColor="text1"/>
              </w:rPr>
              <w:t>Other</w:t>
            </w:r>
            <w:proofErr w:type="gramEnd"/>
            <w:r w:rsidRPr="005554ED">
              <w:rPr>
                <w:rFonts w:asciiTheme="minorHAnsi" w:hAnsiTheme="minorHAnsi" w:cstheme="minorHAnsi"/>
                <w:color w:val="000000" w:themeColor="text1"/>
              </w:rPr>
              <w:t xml:space="preserve"> sample</w:t>
            </w:r>
          </w:p>
        </w:tc>
        <w:tc>
          <w:tcPr>
            <w:tcW w:w="1466" w:type="dxa"/>
            <w:vAlign w:val="bottom"/>
          </w:tcPr>
          <w:p w14:paraId="223EA394" w14:textId="00DE751E"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2.879</w:t>
            </w:r>
          </w:p>
        </w:tc>
        <w:tc>
          <w:tcPr>
            <w:tcW w:w="1177" w:type="dxa"/>
            <w:vAlign w:val="bottom"/>
          </w:tcPr>
          <w:p w14:paraId="581637EF" w14:textId="33B75CB7"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[-1.263;</w:t>
            </w:r>
          </w:p>
        </w:tc>
        <w:tc>
          <w:tcPr>
            <w:tcW w:w="1159" w:type="dxa"/>
            <w:vAlign w:val="bottom"/>
          </w:tcPr>
          <w:p w14:paraId="676CBD7D" w14:textId="0CBD769C"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7.021]</w:t>
            </w:r>
          </w:p>
        </w:tc>
      </w:tr>
      <w:tr w:rsidR="005554ED" w:rsidRPr="005554ED" w14:paraId="0626E64C" w14:textId="77777777" w:rsidTr="00484660">
        <w:tc>
          <w:tcPr>
            <w:tcW w:w="3369" w:type="dxa"/>
            <w:vAlign w:val="bottom"/>
          </w:tcPr>
          <w:p w14:paraId="297207E6" w14:textId="4BB36096"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 xml:space="preserve">Year of data collection * </w:t>
            </w:r>
            <w:proofErr w:type="gramStart"/>
            <w:r w:rsidRPr="005554ED">
              <w:rPr>
                <w:rFonts w:asciiTheme="minorHAnsi" w:hAnsiTheme="minorHAnsi" w:cstheme="minorHAnsi"/>
                <w:color w:val="000000" w:themeColor="text1"/>
              </w:rPr>
              <w:t>other</w:t>
            </w:r>
            <w:proofErr w:type="gramEnd"/>
            <w:r w:rsidRPr="005554ED">
              <w:rPr>
                <w:rFonts w:asciiTheme="minorHAnsi" w:hAnsiTheme="minorHAnsi" w:cstheme="minorHAnsi"/>
                <w:color w:val="000000" w:themeColor="text1"/>
              </w:rPr>
              <w:t xml:space="preserve"> sample</w:t>
            </w:r>
          </w:p>
        </w:tc>
        <w:tc>
          <w:tcPr>
            <w:tcW w:w="1466" w:type="dxa"/>
            <w:vAlign w:val="bottom"/>
          </w:tcPr>
          <w:p w14:paraId="16A5D833" w14:textId="3BEBBA27"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-0.545</w:t>
            </w:r>
          </w:p>
        </w:tc>
        <w:tc>
          <w:tcPr>
            <w:tcW w:w="1177" w:type="dxa"/>
            <w:vAlign w:val="bottom"/>
          </w:tcPr>
          <w:p w14:paraId="7363E79A" w14:textId="0EE1F279"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[-1.124;</w:t>
            </w:r>
          </w:p>
        </w:tc>
        <w:tc>
          <w:tcPr>
            <w:tcW w:w="1159" w:type="dxa"/>
            <w:vAlign w:val="bottom"/>
          </w:tcPr>
          <w:p w14:paraId="5AB8FF4C" w14:textId="199D6D5B"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0.035]</w:t>
            </w:r>
          </w:p>
        </w:tc>
      </w:tr>
    </w:tbl>
    <w:p w14:paraId="6549FA05" w14:textId="5C18A453" w:rsidR="008F0121" w:rsidRPr="005554ED" w:rsidRDefault="008F0121" w:rsidP="00694F50">
      <w:pPr>
        <w:ind w:firstLine="0"/>
        <w:rPr>
          <w:color w:val="000000" w:themeColor="text1"/>
          <w:sz w:val="20"/>
          <w:szCs w:val="20"/>
        </w:rPr>
      </w:pPr>
      <w:r w:rsidRPr="005554ED">
        <w:rPr>
          <w:i/>
          <w:iCs/>
          <w:color w:val="000000" w:themeColor="text1"/>
          <w:sz w:val="20"/>
          <w:szCs w:val="20"/>
        </w:rPr>
        <w:t>Note.</w:t>
      </w:r>
      <w:r w:rsidRPr="005554ED">
        <w:rPr>
          <w:color w:val="000000" w:themeColor="text1"/>
          <w:sz w:val="20"/>
          <w:szCs w:val="20"/>
        </w:rPr>
        <w:t xml:space="preserve"> The reference category for sample type was student sample. The category “other sample” included clinical, forensic</w:t>
      </w:r>
      <w:r w:rsidR="00152C3A">
        <w:rPr>
          <w:color w:val="000000" w:themeColor="text1"/>
          <w:sz w:val="20"/>
          <w:szCs w:val="20"/>
        </w:rPr>
        <w:t>,</w:t>
      </w:r>
      <w:r w:rsidRPr="005554ED">
        <w:rPr>
          <w:color w:val="000000" w:themeColor="text1"/>
          <w:sz w:val="20"/>
          <w:szCs w:val="20"/>
        </w:rPr>
        <w:t xml:space="preserve"> and community samples.</w:t>
      </w:r>
    </w:p>
    <w:p w14:paraId="29AF17A7" w14:textId="77777777" w:rsidR="00694F50" w:rsidRPr="005554ED" w:rsidRDefault="00694F50" w:rsidP="008F0121">
      <w:pPr>
        <w:pStyle w:val="NoSpacing"/>
        <w:rPr>
          <w:color w:val="000000" w:themeColor="text1"/>
        </w:rPr>
      </w:pPr>
      <w:bookmarkStart w:id="24" w:name="OLE_LINK245"/>
      <w:bookmarkStart w:id="25" w:name="OLE_LINK246"/>
    </w:p>
    <w:p w14:paraId="2B9A8FB2" w14:textId="5FD5D73D" w:rsidR="008F0121" w:rsidRPr="005554ED" w:rsidRDefault="008F0121" w:rsidP="008F0121">
      <w:pPr>
        <w:pStyle w:val="NoSpacing"/>
        <w:rPr>
          <w:color w:val="000000" w:themeColor="text1"/>
        </w:rPr>
      </w:pPr>
      <w:r w:rsidRPr="005554ED">
        <w:rPr>
          <w:color w:val="000000" w:themeColor="text1"/>
        </w:rPr>
        <w:t>Table S6</w:t>
      </w:r>
    </w:p>
    <w:p w14:paraId="6387578F" w14:textId="702566DD" w:rsidR="008F0121" w:rsidRPr="005554ED" w:rsidRDefault="008F0121" w:rsidP="008F0121">
      <w:pPr>
        <w:pStyle w:val="NoSpacing"/>
        <w:rPr>
          <w:color w:val="000000" w:themeColor="text1"/>
        </w:rPr>
      </w:pPr>
      <w:r w:rsidRPr="005554ED">
        <w:rPr>
          <w:i/>
          <w:iCs/>
          <w:color w:val="000000" w:themeColor="text1"/>
        </w:rPr>
        <w:t>Proportion of females in a sample as potential moderator of changes in loneliness over historical time</w:t>
      </w:r>
    </w:p>
    <w:tbl>
      <w:tblPr>
        <w:tblStyle w:val="APAReport"/>
        <w:tblW w:w="0" w:type="auto"/>
        <w:tblLook w:val="04A0" w:firstRow="1" w:lastRow="0" w:firstColumn="1" w:lastColumn="0" w:noHBand="0" w:noVBand="1"/>
      </w:tblPr>
      <w:tblGrid>
        <w:gridCol w:w="3369"/>
        <w:gridCol w:w="1466"/>
        <w:gridCol w:w="1177"/>
        <w:gridCol w:w="1159"/>
      </w:tblGrid>
      <w:tr w:rsidR="005554ED" w:rsidRPr="005554ED" w14:paraId="31D44DDC" w14:textId="77777777" w:rsidTr="00484660">
        <w:trPr>
          <w:cnfStyle w:val="100000000000" w:firstRow="1" w:lastRow="0" w:firstColumn="0" w:lastColumn="0" w:oddVBand="0" w:evenVBand="0" w:oddHBand="0" w:evenHBand="0" w:firstRowFirstColumn="0" w:firstRowLastColumn="0" w:lastRowFirstColumn="0" w:lastRowLastColumn="0"/>
        </w:trPr>
        <w:tc>
          <w:tcPr>
            <w:tcW w:w="3369" w:type="dxa"/>
          </w:tcPr>
          <w:p w14:paraId="5A36F61E" w14:textId="77777777" w:rsidR="008F0121" w:rsidRPr="005554ED" w:rsidRDefault="008F0121" w:rsidP="00484660">
            <w:pPr>
              <w:rPr>
                <w:rFonts w:asciiTheme="minorHAnsi" w:hAnsiTheme="minorHAnsi" w:cstheme="minorHAnsi"/>
                <w:color w:val="000000" w:themeColor="text1"/>
              </w:rPr>
            </w:pPr>
          </w:p>
        </w:tc>
        <w:tc>
          <w:tcPr>
            <w:tcW w:w="1466" w:type="dxa"/>
          </w:tcPr>
          <w:p w14:paraId="098CCFB1" w14:textId="77777777" w:rsidR="008F0121" w:rsidRPr="005554ED" w:rsidRDefault="008F0121"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Estimate</w:t>
            </w:r>
          </w:p>
        </w:tc>
        <w:tc>
          <w:tcPr>
            <w:tcW w:w="2336" w:type="dxa"/>
            <w:gridSpan w:val="2"/>
          </w:tcPr>
          <w:p w14:paraId="7A087743" w14:textId="77777777" w:rsidR="008F0121" w:rsidRPr="005554ED" w:rsidRDefault="008F0121" w:rsidP="00484660">
            <w:pPr>
              <w:jc w:val="center"/>
              <w:rPr>
                <w:rFonts w:asciiTheme="minorHAnsi" w:hAnsiTheme="minorHAnsi" w:cstheme="minorHAnsi"/>
                <w:color w:val="000000" w:themeColor="text1"/>
              </w:rPr>
            </w:pPr>
            <w:r w:rsidRPr="005554ED">
              <w:rPr>
                <w:rFonts w:asciiTheme="minorHAnsi" w:hAnsiTheme="minorHAnsi" w:cstheme="minorHAnsi"/>
                <w:color w:val="000000" w:themeColor="text1"/>
              </w:rPr>
              <w:t>95% CI</w:t>
            </w:r>
          </w:p>
        </w:tc>
      </w:tr>
      <w:tr w:rsidR="005554ED" w:rsidRPr="005554ED" w14:paraId="63051C0A" w14:textId="77777777" w:rsidTr="00484660">
        <w:tc>
          <w:tcPr>
            <w:tcW w:w="3369" w:type="dxa"/>
            <w:vAlign w:val="bottom"/>
          </w:tcPr>
          <w:p w14:paraId="38BBC8F7" w14:textId="77777777"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Intercept</w:t>
            </w:r>
          </w:p>
        </w:tc>
        <w:tc>
          <w:tcPr>
            <w:tcW w:w="1466" w:type="dxa"/>
            <w:vAlign w:val="bottom"/>
          </w:tcPr>
          <w:p w14:paraId="17196F9E" w14:textId="5B669485"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34.023</w:t>
            </w:r>
          </w:p>
        </w:tc>
        <w:tc>
          <w:tcPr>
            <w:tcW w:w="1177" w:type="dxa"/>
            <w:vAlign w:val="bottom"/>
          </w:tcPr>
          <w:p w14:paraId="45DBC99A" w14:textId="3FAA5E7F" w:rsidR="00484660" w:rsidRPr="005554ED" w:rsidRDefault="00484660" w:rsidP="00484660">
            <w:pPr>
              <w:jc w:val="right"/>
              <w:rPr>
                <w:rFonts w:asciiTheme="minorHAnsi" w:hAnsiTheme="minorHAnsi" w:cstheme="minorHAnsi"/>
                <w:color w:val="000000" w:themeColor="text1"/>
              </w:rPr>
            </w:pPr>
            <w:bookmarkStart w:id="26" w:name="OLE_LINK258"/>
            <w:bookmarkStart w:id="27" w:name="OLE_LINK263"/>
            <w:r w:rsidRPr="005554ED">
              <w:rPr>
                <w:rFonts w:asciiTheme="minorHAnsi" w:hAnsiTheme="minorHAnsi" w:cstheme="minorHAnsi"/>
                <w:color w:val="000000" w:themeColor="text1"/>
              </w:rPr>
              <w:t>[</w:t>
            </w:r>
            <w:bookmarkEnd w:id="26"/>
            <w:bookmarkEnd w:id="27"/>
            <w:r w:rsidRPr="005554ED">
              <w:rPr>
                <w:rFonts w:asciiTheme="minorHAnsi" w:hAnsiTheme="minorHAnsi" w:cstheme="minorHAnsi"/>
                <w:color w:val="000000" w:themeColor="text1"/>
              </w:rPr>
              <w:t>32.019;</w:t>
            </w:r>
          </w:p>
        </w:tc>
        <w:tc>
          <w:tcPr>
            <w:tcW w:w="1159" w:type="dxa"/>
            <w:vAlign w:val="bottom"/>
          </w:tcPr>
          <w:p w14:paraId="1BD2048B" w14:textId="150C6DE1"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36.026</w:t>
            </w:r>
            <w:bookmarkStart w:id="28" w:name="OLE_LINK264"/>
            <w:bookmarkStart w:id="29" w:name="OLE_LINK271"/>
            <w:r w:rsidRPr="005554ED">
              <w:rPr>
                <w:rFonts w:asciiTheme="minorHAnsi" w:hAnsiTheme="minorHAnsi" w:cstheme="minorHAnsi"/>
                <w:color w:val="000000" w:themeColor="text1"/>
              </w:rPr>
              <w:t>]</w:t>
            </w:r>
            <w:bookmarkEnd w:id="28"/>
            <w:bookmarkEnd w:id="29"/>
          </w:p>
        </w:tc>
      </w:tr>
      <w:tr w:rsidR="005554ED" w:rsidRPr="005554ED" w14:paraId="3939F27B" w14:textId="77777777" w:rsidTr="00484660">
        <w:tc>
          <w:tcPr>
            <w:tcW w:w="3369" w:type="dxa"/>
            <w:vAlign w:val="bottom"/>
          </w:tcPr>
          <w:p w14:paraId="561199C7" w14:textId="660BFACA" w:rsidR="00484660" w:rsidRPr="005554ED" w:rsidRDefault="00484660" w:rsidP="00484660">
            <w:pPr>
              <w:rPr>
                <w:rFonts w:asciiTheme="minorHAnsi" w:hAnsiTheme="minorHAnsi" w:cstheme="minorHAnsi"/>
                <w:color w:val="000000" w:themeColor="text1"/>
              </w:rPr>
            </w:pPr>
            <w:bookmarkStart w:id="30" w:name="OLE_LINK243"/>
            <w:bookmarkStart w:id="31" w:name="OLE_LINK244"/>
            <w:r w:rsidRPr="005554ED">
              <w:rPr>
                <w:rFonts w:asciiTheme="minorHAnsi" w:hAnsiTheme="minorHAnsi" w:cstheme="minorHAnsi"/>
                <w:color w:val="000000" w:themeColor="text1"/>
              </w:rPr>
              <w:t xml:space="preserve">Year of data collection </w:t>
            </w:r>
            <w:bookmarkEnd w:id="30"/>
            <w:bookmarkEnd w:id="31"/>
          </w:p>
        </w:tc>
        <w:tc>
          <w:tcPr>
            <w:tcW w:w="1466" w:type="dxa"/>
            <w:vAlign w:val="bottom"/>
          </w:tcPr>
          <w:p w14:paraId="7C454194" w14:textId="647ECA1E"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0.111</w:t>
            </w:r>
          </w:p>
        </w:tc>
        <w:tc>
          <w:tcPr>
            <w:tcW w:w="1177" w:type="dxa"/>
            <w:vAlign w:val="bottom"/>
          </w:tcPr>
          <w:p w14:paraId="07F1C640" w14:textId="3E459E89"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[-0.022;</w:t>
            </w:r>
          </w:p>
        </w:tc>
        <w:tc>
          <w:tcPr>
            <w:tcW w:w="1159" w:type="dxa"/>
            <w:vAlign w:val="bottom"/>
          </w:tcPr>
          <w:p w14:paraId="614F45E9" w14:textId="1846EE58"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0.244]</w:t>
            </w:r>
          </w:p>
        </w:tc>
      </w:tr>
      <w:tr w:rsidR="005554ED" w:rsidRPr="005554ED" w14:paraId="598CCD98" w14:textId="77777777" w:rsidTr="00484660">
        <w:tc>
          <w:tcPr>
            <w:tcW w:w="3369" w:type="dxa"/>
            <w:vAlign w:val="bottom"/>
          </w:tcPr>
          <w:p w14:paraId="7F1835AB" w14:textId="1067CB41" w:rsidR="00484660" w:rsidRPr="005554ED" w:rsidRDefault="00484660" w:rsidP="00484660">
            <w:pPr>
              <w:rPr>
                <w:rFonts w:asciiTheme="minorHAnsi" w:hAnsiTheme="minorHAnsi" w:cstheme="minorHAnsi"/>
                <w:color w:val="000000" w:themeColor="text1"/>
              </w:rPr>
            </w:pPr>
            <w:bookmarkStart w:id="32" w:name="_Hlk65244061"/>
            <w:r w:rsidRPr="005554ED">
              <w:rPr>
                <w:rFonts w:asciiTheme="minorHAnsi" w:hAnsiTheme="minorHAnsi" w:cstheme="minorHAnsi"/>
                <w:color w:val="000000" w:themeColor="text1"/>
              </w:rPr>
              <w:t>Proportion of females</w:t>
            </w:r>
          </w:p>
        </w:tc>
        <w:tc>
          <w:tcPr>
            <w:tcW w:w="1466" w:type="dxa"/>
            <w:vAlign w:val="bottom"/>
          </w:tcPr>
          <w:p w14:paraId="5ECFCAEB" w14:textId="4DA6592B"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0.003</w:t>
            </w:r>
          </w:p>
        </w:tc>
        <w:tc>
          <w:tcPr>
            <w:tcW w:w="1177" w:type="dxa"/>
            <w:vAlign w:val="bottom"/>
          </w:tcPr>
          <w:p w14:paraId="64A8857E" w14:textId="7C7CA192"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[-0.029;</w:t>
            </w:r>
          </w:p>
        </w:tc>
        <w:tc>
          <w:tcPr>
            <w:tcW w:w="1159" w:type="dxa"/>
            <w:vAlign w:val="bottom"/>
          </w:tcPr>
          <w:p w14:paraId="301610BC" w14:textId="02FF234A"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0.035]</w:t>
            </w:r>
          </w:p>
        </w:tc>
      </w:tr>
      <w:bookmarkEnd w:id="32"/>
      <w:tr w:rsidR="005554ED" w:rsidRPr="005554ED" w14:paraId="6345DBD0" w14:textId="77777777" w:rsidTr="00484660">
        <w:tc>
          <w:tcPr>
            <w:tcW w:w="3369" w:type="dxa"/>
            <w:vAlign w:val="bottom"/>
          </w:tcPr>
          <w:p w14:paraId="09B81D22" w14:textId="1FAD03A1"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Year of data collection * proportion of females</w:t>
            </w:r>
          </w:p>
        </w:tc>
        <w:tc>
          <w:tcPr>
            <w:tcW w:w="1466" w:type="dxa"/>
            <w:vAlign w:val="bottom"/>
          </w:tcPr>
          <w:p w14:paraId="77425DD1" w14:textId="531C48F6"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0.002</w:t>
            </w:r>
          </w:p>
        </w:tc>
        <w:tc>
          <w:tcPr>
            <w:tcW w:w="1177" w:type="dxa"/>
            <w:vAlign w:val="bottom"/>
          </w:tcPr>
          <w:p w14:paraId="48160B2B" w14:textId="3B67FADC"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[&lt; 0.001;</w:t>
            </w:r>
          </w:p>
        </w:tc>
        <w:tc>
          <w:tcPr>
            <w:tcW w:w="1159" w:type="dxa"/>
            <w:vAlign w:val="bottom"/>
          </w:tcPr>
          <w:p w14:paraId="10B74E5C" w14:textId="374C3307"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0.004]</w:t>
            </w:r>
          </w:p>
        </w:tc>
      </w:tr>
    </w:tbl>
    <w:p w14:paraId="6371A0C9" w14:textId="61B14DAC" w:rsidR="008F0121" w:rsidRPr="005554ED" w:rsidRDefault="008F0121" w:rsidP="00694F50">
      <w:pPr>
        <w:ind w:firstLine="0"/>
        <w:rPr>
          <w:color w:val="000000" w:themeColor="text1"/>
          <w:sz w:val="20"/>
          <w:szCs w:val="20"/>
        </w:rPr>
      </w:pPr>
      <w:r w:rsidRPr="005554ED">
        <w:rPr>
          <w:i/>
          <w:iCs/>
          <w:color w:val="000000" w:themeColor="text1"/>
          <w:sz w:val="20"/>
          <w:szCs w:val="20"/>
        </w:rPr>
        <w:t>Note.</w:t>
      </w:r>
      <w:r w:rsidRPr="005554ED">
        <w:rPr>
          <w:color w:val="000000" w:themeColor="text1"/>
          <w:sz w:val="20"/>
          <w:szCs w:val="20"/>
        </w:rPr>
        <w:t xml:space="preserve"> </w:t>
      </w:r>
      <w:bookmarkEnd w:id="20"/>
      <w:bookmarkEnd w:id="21"/>
      <w:r w:rsidRPr="005554ED">
        <w:rPr>
          <w:color w:val="000000" w:themeColor="text1"/>
          <w:sz w:val="20"/>
          <w:szCs w:val="20"/>
        </w:rPr>
        <w:t>Proportion of females was coded as a continuous variable.</w:t>
      </w:r>
    </w:p>
    <w:bookmarkEnd w:id="14"/>
    <w:bookmarkEnd w:id="15"/>
    <w:bookmarkEnd w:id="24"/>
    <w:bookmarkEnd w:id="25"/>
    <w:p w14:paraId="1638E37C" w14:textId="77777777" w:rsidR="008F0121" w:rsidRPr="005554ED" w:rsidRDefault="008F0121">
      <w:pPr>
        <w:rPr>
          <w:color w:val="000000" w:themeColor="text1"/>
        </w:rPr>
      </w:pPr>
    </w:p>
    <w:p w14:paraId="4090831A" w14:textId="46D4CC39" w:rsidR="008F0121" w:rsidRPr="005554ED" w:rsidRDefault="008F0121" w:rsidP="008F0121">
      <w:pPr>
        <w:pStyle w:val="NoSpacing"/>
        <w:rPr>
          <w:color w:val="000000" w:themeColor="text1"/>
        </w:rPr>
      </w:pPr>
      <w:bookmarkStart w:id="33" w:name="OLE_LINK249"/>
      <w:bookmarkStart w:id="34" w:name="OLE_LINK250"/>
      <w:r w:rsidRPr="005554ED">
        <w:rPr>
          <w:color w:val="000000" w:themeColor="text1"/>
        </w:rPr>
        <w:t>Table S</w:t>
      </w:r>
      <w:r w:rsidR="00AF0843" w:rsidRPr="005554ED">
        <w:rPr>
          <w:color w:val="000000" w:themeColor="text1"/>
        </w:rPr>
        <w:t>7</w:t>
      </w:r>
    </w:p>
    <w:p w14:paraId="0302619A" w14:textId="6CC6AB65" w:rsidR="008F0121" w:rsidRPr="005554ED" w:rsidRDefault="00AF0843" w:rsidP="008F0121">
      <w:pPr>
        <w:pStyle w:val="NoSpacing"/>
        <w:rPr>
          <w:color w:val="000000" w:themeColor="text1"/>
        </w:rPr>
      </w:pPr>
      <w:r w:rsidRPr="005554ED">
        <w:rPr>
          <w:i/>
          <w:iCs/>
          <w:color w:val="000000" w:themeColor="text1"/>
        </w:rPr>
        <w:t>Mean age of a sample</w:t>
      </w:r>
      <w:r w:rsidR="008F0121" w:rsidRPr="005554ED">
        <w:rPr>
          <w:i/>
          <w:iCs/>
          <w:color w:val="000000" w:themeColor="text1"/>
        </w:rPr>
        <w:t xml:space="preserve"> as potential moderator of changes in loneliness over historical time</w:t>
      </w:r>
    </w:p>
    <w:tbl>
      <w:tblPr>
        <w:tblStyle w:val="APAReport"/>
        <w:tblW w:w="0" w:type="auto"/>
        <w:tblLook w:val="04A0" w:firstRow="1" w:lastRow="0" w:firstColumn="1" w:lastColumn="0" w:noHBand="0" w:noVBand="1"/>
      </w:tblPr>
      <w:tblGrid>
        <w:gridCol w:w="3369"/>
        <w:gridCol w:w="1466"/>
        <w:gridCol w:w="1177"/>
        <w:gridCol w:w="1159"/>
      </w:tblGrid>
      <w:tr w:rsidR="005554ED" w:rsidRPr="005554ED" w14:paraId="37E5A050" w14:textId="77777777" w:rsidTr="00484660">
        <w:trPr>
          <w:cnfStyle w:val="100000000000" w:firstRow="1" w:lastRow="0" w:firstColumn="0" w:lastColumn="0" w:oddVBand="0" w:evenVBand="0" w:oddHBand="0" w:evenHBand="0" w:firstRowFirstColumn="0" w:firstRowLastColumn="0" w:lastRowFirstColumn="0" w:lastRowLastColumn="0"/>
        </w:trPr>
        <w:tc>
          <w:tcPr>
            <w:tcW w:w="3369" w:type="dxa"/>
          </w:tcPr>
          <w:p w14:paraId="0D670CAB" w14:textId="77777777" w:rsidR="008F0121" w:rsidRPr="005554ED" w:rsidRDefault="008F0121" w:rsidP="00484660">
            <w:pPr>
              <w:rPr>
                <w:rFonts w:asciiTheme="minorHAnsi" w:hAnsiTheme="minorHAnsi" w:cstheme="minorHAnsi"/>
                <w:color w:val="000000" w:themeColor="text1"/>
              </w:rPr>
            </w:pPr>
          </w:p>
        </w:tc>
        <w:tc>
          <w:tcPr>
            <w:tcW w:w="1466" w:type="dxa"/>
          </w:tcPr>
          <w:p w14:paraId="455DA6AF" w14:textId="77777777" w:rsidR="008F0121" w:rsidRPr="005554ED" w:rsidRDefault="008F0121"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Estimate</w:t>
            </w:r>
          </w:p>
        </w:tc>
        <w:tc>
          <w:tcPr>
            <w:tcW w:w="2336" w:type="dxa"/>
            <w:gridSpan w:val="2"/>
          </w:tcPr>
          <w:p w14:paraId="34D058A6" w14:textId="77777777" w:rsidR="008F0121" w:rsidRPr="005554ED" w:rsidRDefault="008F0121" w:rsidP="00484660">
            <w:pPr>
              <w:jc w:val="center"/>
              <w:rPr>
                <w:rFonts w:asciiTheme="minorHAnsi" w:hAnsiTheme="minorHAnsi" w:cstheme="minorHAnsi"/>
                <w:color w:val="000000" w:themeColor="text1"/>
              </w:rPr>
            </w:pPr>
            <w:r w:rsidRPr="005554ED">
              <w:rPr>
                <w:rFonts w:asciiTheme="minorHAnsi" w:hAnsiTheme="minorHAnsi" w:cstheme="minorHAnsi"/>
                <w:color w:val="000000" w:themeColor="text1"/>
              </w:rPr>
              <w:t>95% CI</w:t>
            </w:r>
          </w:p>
        </w:tc>
      </w:tr>
      <w:tr w:rsidR="005554ED" w:rsidRPr="005554ED" w14:paraId="65322349" w14:textId="77777777" w:rsidTr="00484660">
        <w:tc>
          <w:tcPr>
            <w:tcW w:w="3369" w:type="dxa"/>
            <w:vAlign w:val="bottom"/>
          </w:tcPr>
          <w:p w14:paraId="7F43E5E4" w14:textId="77777777"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Intercept</w:t>
            </w:r>
          </w:p>
        </w:tc>
        <w:tc>
          <w:tcPr>
            <w:tcW w:w="1466" w:type="dxa"/>
            <w:vAlign w:val="bottom"/>
          </w:tcPr>
          <w:p w14:paraId="6AD74AF2" w14:textId="4B0128EE"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33.578</w:t>
            </w:r>
          </w:p>
        </w:tc>
        <w:tc>
          <w:tcPr>
            <w:tcW w:w="1177" w:type="dxa"/>
            <w:vAlign w:val="bottom"/>
          </w:tcPr>
          <w:p w14:paraId="60630E23" w14:textId="473946B4" w:rsidR="00484660" w:rsidRPr="005554ED" w:rsidRDefault="00484660" w:rsidP="00484660">
            <w:pPr>
              <w:jc w:val="right"/>
              <w:rPr>
                <w:rFonts w:asciiTheme="minorHAnsi" w:hAnsiTheme="minorHAnsi" w:cstheme="minorHAnsi"/>
                <w:color w:val="000000" w:themeColor="text1"/>
              </w:rPr>
            </w:pPr>
            <w:bookmarkStart w:id="35" w:name="OLE_LINK272"/>
            <w:bookmarkStart w:id="36" w:name="OLE_LINK277"/>
            <w:r w:rsidRPr="005554ED">
              <w:rPr>
                <w:rFonts w:asciiTheme="minorHAnsi" w:hAnsiTheme="minorHAnsi" w:cstheme="minorHAnsi"/>
                <w:color w:val="000000" w:themeColor="text1"/>
              </w:rPr>
              <w:t>[</w:t>
            </w:r>
            <w:bookmarkEnd w:id="35"/>
            <w:bookmarkEnd w:id="36"/>
            <w:r w:rsidRPr="005554ED">
              <w:rPr>
                <w:rFonts w:asciiTheme="minorHAnsi" w:hAnsiTheme="minorHAnsi" w:cstheme="minorHAnsi"/>
                <w:color w:val="000000" w:themeColor="text1"/>
              </w:rPr>
              <w:t>18.644;</w:t>
            </w:r>
          </w:p>
        </w:tc>
        <w:tc>
          <w:tcPr>
            <w:tcW w:w="1159" w:type="dxa"/>
            <w:vAlign w:val="bottom"/>
          </w:tcPr>
          <w:p w14:paraId="53224807" w14:textId="5009ABAA"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48.513</w:t>
            </w:r>
            <w:bookmarkStart w:id="37" w:name="OLE_LINK278"/>
            <w:bookmarkStart w:id="38" w:name="OLE_LINK279"/>
            <w:r w:rsidRPr="005554ED">
              <w:rPr>
                <w:rFonts w:asciiTheme="minorHAnsi" w:hAnsiTheme="minorHAnsi" w:cstheme="minorHAnsi"/>
                <w:color w:val="000000" w:themeColor="text1"/>
              </w:rPr>
              <w:t>]</w:t>
            </w:r>
            <w:bookmarkEnd w:id="37"/>
            <w:bookmarkEnd w:id="38"/>
          </w:p>
        </w:tc>
      </w:tr>
      <w:tr w:rsidR="005554ED" w:rsidRPr="005554ED" w14:paraId="5F5228C7" w14:textId="77777777" w:rsidTr="00484660">
        <w:tc>
          <w:tcPr>
            <w:tcW w:w="3369" w:type="dxa"/>
            <w:vAlign w:val="bottom"/>
          </w:tcPr>
          <w:p w14:paraId="4F809331" w14:textId="109CAFAB"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 xml:space="preserve">Year of data collection </w:t>
            </w:r>
          </w:p>
        </w:tc>
        <w:tc>
          <w:tcPr>
            <w:tcW w:w="1466" w:type="dxa"/>
            <w:vAlign w:val="bottom"/>
          </w:tcPr>
          <w:p w14:paraId="129B9951" w14:textId="3BB900E8"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-0.597</w:t>
            </w:r>
          </w:p>
        </w:tc>
        <w:tc>
          <w:tcPr>
            <w:tcW w:w="1177" w:type="dxa"/>
            <w:vAlign w:val="bottom"/>
          </w:tcPr>
          <w:p w14:paraId="76557C15" w14:textId="030ABFDB"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[-2.258;</w:t>
            </w:r>
          </w:p>
        </w:tc>
        <w:tc>
          <w:tcPr>
            <w:tcW w:w="1159" w:type="dxa"/>
            <w:vAlign w:val="bottom"/>
          </w:tcPr>
          <w:p w14:paraId="488632A8" w14:textId="0FBCF377"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1.064]</w:t>
            </w:r>
          </w:p>
        </w:tc>
      </w:tr>
      <w:tr w:rsidR="005554ED" w:rsidRPr="005554ED" w14:paraId="320B2773" w14:textId="77777777" w:rsidTr="00484660">
        <w:tc>
          <w:tcPr>
            <w:tcW w:w="3369" w:type="dxa"/>
            <w:vAlign w:val="bottom"/>
          </w:tcPr>
          <w:p w14:paraId="6DF33AA6" w14:textId="5BC2225D" w:rsidR="00484660" w:rsidRPr="005554ED" w:rsidRDefault="00484660" w:rsidP="00484660">
            <w:pPr>
              <w:rPr>
                <w:rFonts w:asciiTheme="minorHAnsi" w:hAnsiTheme="minorHAnsi" w:cstheme="minorHAnsi"/>
                <w:color w:val="000000" w:themeColor="text1"/>
              </w:rPr>
            </w:pPr>
            <w:bookmarkStart w:id="39" w:name="OLE_LINK247"/>
            <w:bookmarkStart w:id="40" w:name="OLE_LINK248"/>
            <w:r w:rsidRPr="005554ED">
              <w:rPr>
                <w:rFonts w:asciiTheme="minorHAnsi" w:hAnsiTheme="minorHAnsi" w:cstheme="minorHAnsi"/>
                <w:color w:val="000000" w:themeColor="text1"/>
              </w:rPr>
              <w:t>Age (mean)</w:t>
            </w:r>
            <w:bookmarkEnd w:id="39"/>
            <w:bookmarkEnd w:id="40"/>
          </w:p>
        </w:tc>
        <w:tc>
          <w:tcPr>
            <w:tcW w:w="1466" w:type="dxa"/>
            <w:vAlign w:val="bottom"/>
          </w:tcPr>
          <w:p w14:paraId="271DE2C6" w14:textId="254B0344"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0.000</w:t>
            </w:r>
          </w:p>
        </w:tc>
        <w:tc>
          <w:tcPr>
            <w:tcW w:w="1177" w:type="dxa"/>
            <w:vAlign w:val="bottom"/>
          </w:tcPr>
          <w:p w14:paraId="40919222" w14:textId="3E7883F6"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[-0.724;</w:t>
            </w:r>
          </w:p>
        </w:tc>
        <w:tc>
          <w:tcPr>
            <w:tcW w:w="1159" w:type="dxa"/>
            <w:vAlign w:val="bottom"/>
          </w:tcPr>
          <w:p w14:paraId="2B9FF1C7" w14:textId="1E8785BB"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0.724]</w:t>
            </w:r>
          </w:p>
        </w:tc>
      </w:tr>
      <w:tr w:rsidR="005554ED" w:rsidRPr="005554ED" w14:paraId="16D18D74" w14:textId="77777777" w:rsidTr="00484660">
        <w:tc>
          <w:tcPr>
            <w:tcW w:w="3369" w:type="dxa"/>
            <w:vAlign w:val="bottom"/>
          </w:tcPr>
          <w:p w14:paraId="70F53D8B" w14:textId="141AD241"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Year of data collection * age (mean)</w:t>
            </w:r>
          </w:p>
        </w:tc>
        <w:tc>
          <w:tcPr>
            <w:tcW w:w="1466" w:type="dxa"/>
            <w:vAlign w:val="bottom"/>
          </w:tcPr>
          <w:p w14:paraId="0B46E460" w14:textId="488B2690"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0.041</w:t>
            </w:r>
          </w:p>
        </w:tc>
        <w:tc>
          <w:tcPr>
            <w:tcW w:w="1177" w:type="dxa"/>
            <w:vAlign w:val="bottom"/>
          </w:tcPr>
          <w:p w14:paraId="39B3F97D" w14:textId="1B9C6856" w:rsidR="00484660" w:rsidRPr="005554ED" w:rsidRDefault="00484660" w:rsidP="00484660">
            <w:pPr>
              <w:jc w:val="right"/>
              <w:rPr>
                <w:rFonts w:asciiTheme="minorHAnsi" w:hAnsiTheme="minorHAnsi" w:cstheme="minorHAnsi"/>
                <w:color w:val="000000" w:themeColor="text1"/>
              </w:rPr>
            </w:pPr>
            <w:bookmarkStart w:id="41" w:name="OLE_LINK280"/>
            <w:bookmarkStart w:id="42" w:name="OLE_LINK281"/>
            <w:r w:rsidRPr="005554ED">
              <w:rPr>
                <w:rFonts w:asciiTheme="minorHAnsi" w:hAnsiTheme="minorHAnsi" w:cstheme="minorHAnsi"/>
                <w:color w:val="000000" w:themeColor="text1"/>
              </w:rPr>
              <w:t>[</w:t>
            </w:r>
            <w:bookmarkEnd w:id="41"/>
            <w:bookmarkEnd w:id="42"/>
            <w:r w:rsidRPr="005554ED">
              <w:rPr>
                <w:rFonts w:asciiTheme="minorHAnsi" w:hAnsiTheme="minorHAnsi" w:cstheme="minorHAnsi"/>
                <w:color w:val="000000" w:themeColor="text1"/>
              </w:rPr>
              <w:t>-0.040;</w:t>
            </w:r>
          </w:p>
        </w:tc>
        <w:tc>
          <w:tcPr>
            <w:tcW w:w="1159" w:type="dxa"/>
            <w:vAlign w:val="bottom"/>
          </w:tcPr>
          <w:p w14:paraId="4876F63E" w14:textId="0050135F"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0.123</w:t>
            </w:r>
            <w:bookmarkStart w:id="43" w:name="OLE_LINK282"/>
            <w:bookmarkStart w:id="44" w:name="OLE_LINK283"/>
            <w:r w:rsidRPr="005554ED">
              <w:rPr>
                <w:rFonts w:asciiTheme="minorHAnsi" w:hAnsiTheme="minorHAnsi" w:cstheme="minorHAnsi"/>
                <w:color w:val="000000" w:themeColor="text1"/>
              </w:rPr>
              <w:t>]</w:t>
            </w:r>
            <w:bookmarkEnd w:id="43"/>
            <w:bookmarkEnd w:id="44"/>
          </w:p>
        </w:tc>
      </w:tr>
    </w:tbl>
    <w:p w14:paraId="002C6852" w14:textId="12ED15CC" w:rsidR="008F0121" w:rsidRPr="005554ED" w:rsidRDefault="008F0121" w:rsidP="00694F50">
      <w:pPr>
        <w:ind w:firstLine="0"/>
        <w:rPr>
          <w:color w:val="000000" w:themeColor="text1"/>
          <w:sz w:val="20"/>
          <w:szCs w:val="20"/>
        </w:rPr>
      </w:pPr>
      <w:r w:rsidRPr="005554ED">
        <w:rPr>
          <w:i/>
          <w:iCs/>
          <w:color w:val="000000" w:themeColor="text1"/>
          <w:sz w:val="20"/>
          <w:szCs w:val="20"/>
        </w:rPr>
        <w:t>Note.</w:t>
      </w:r>
      <w:r w:rsidRPr="005554ED">
        <w:rPr>
          <w:color w:val="000000" w:themeColor="text1"/>
          <w:sz w:val="20"/>
          <w:szCs w:val="20"/>
        </w:rPr>
        <w:t xml:space="preserve"> </w:t>
      </w:r>
      <w:r w:rsidR="00AF0843" w:rsidRPr="005554ED">
        <w:rPr>
          <w:color w:val="000000" w:themeColor="text1"/>
          <w:sz w:val="20"/>
          <w:szCs w:val="20"/>
        </w:rPr>
        <w:t>Age (mean)</w:t>
      </w:r>
      <w:r w:rsidRPr="005554ED">
        <w:rPr>
          <w:color w:val="000000" w:themeColor="text1"/>
          <w:sz w:val="20"/>
          <w:szCs w:val="20"/>
        </w:rPr>
        <w:t xml:space="preserve"> was coded as a continuous variable.</w:t>
      </w:r>
    </w:p>
    <w:p w14:paraId="1FAA3592" w14:textId="77777777" w:rsidR="00694F50" w:rsidRPr="005554ED" w:rsidRDefault="00694F50" w:rsidP="00AF0843">
      <w:pPr>
        <w:pStyle w:val="NoSpacing"/>
        <w:rPr>
          <w:color w:val="000000" w:themeColor="text1"/>
        </w:rPr>
      </w:pPr>
      <w:bookmarkStart w:id="45" w:name="OLE_LINK251"/>
      <w:bookmarkStart w:id="46" w:name="OLE_LINK252"/>
      <w:bookmarkEnd w:id="33"/>
      <w:bookmarkEnd w:id="34"/>
    </w:p>
    <w:p w14:paraId="17611426" w14:textId="50E2963B" w:rsidR="00AF0843" w:rsidRPr="005554ED" w:rsidRDefault="00AF0843" w:rsidP="00AF0843">
      <w:pPr>
        <w:pStyle w:val="NoSpacing"/>
        <w:rPr>
          <w:color w:val="000000" w:themeColor="text1"/>
        </w:rPr>
      </w:pPr>
      <w:r w:rsidRPr="005554ED">
        <w:rPr>
          <w:color w:val="000000" w:themeColor="text1"/>
        </w:rPr>
        <w:t>Table S8</w:t>
      </w:r>
    </w:p>
    <w:p w14:paraId="024EABFB" w14:textId="3F63E51F" w:rsidR="00AF0843" w:rsidRPr="005554ED" w:rsidRDefault="00AF0843" w:rsidP="00AF0843">
      <w:pPr>
        <w:pStyle w:val="NoSpacing"/>
        <w:rPr>
          <w:color w:val="000000" w:themeColor="text1"/>
        </w:rPr>
      </w:pPr>
      <w:r w:rsidRPr="005554ED">
        <w:rPr>
          <w:i/>
          <w:iCs/>
          <w:color w:val="000000" w:themeColor="text1"/>
        </w:rPr>
        <w:t>Age minimum of a sample as potential moderator of changes in loneliness over historical time</w:t>
      </w:r>
    </w:p>
    <w:tbl>
      <w:tblPr>
        <w:tblStyle w:val="APAReport"/>
        <w:tblW w:w="0" w:type="auto"/>
        <w:tblLook w:val="04A0" w:firstRow="1" w:lastRow="0" w:firstColumn="1" w:lastColumn="0" w:noHBand="0" w:noVBand="1"/>
      </w:tblPr>
      <w:tblGrid>
        <w:gridCol w:w="3369"/>
        <w:gridCol w:w="1466"/>
        <w:gridCol w:w="1177"/>
        <w:gridCol w:w="1159"/>
      </w:tblGrid>
      <w:tr w:rsidR="005554ED" w:rsidRPr="005554ED" w14:paraId="27B93C23" w14:textId="77777777" w:rsidTr="00484660">
        <w:trPr>
          <w:cnfStyle w:val="100000000000" w:firstRow="1" w:lastRow="0" w:firstColumn="0" w:lastColumn="0" w:oddVBand="0" w:evenVBand="0" w:oddHBand="0" w:evenHBand="0" w:firstRowFirstColumn="0" w:firstRowLastColumn="0" w:lastRowFirstColumn="0" w:lastRowLastColumn="0"/>
        </w:trPr>
        <w:tc>
          <w:tcPr>
            <w:tcW w:w="3369" w:type="dxa"/>
          </w:tcPr>
          <w:p w14:paraId="1F287C2D" w14:textId="77777777" w:rsidR="00AF0843" w:rsidRPr="005554ED" w:rsidRDefault="00AF0843" w:rsidP="00484660">
            <w:pPr>
              <w:rPr>
                <w:rFonts w:asciiTheme="minorHAnsi" w:hAnsiTheme="minorHAnsi" w:cstheme="minorHAnsi"/>
                <w:color w:val="000000" w:themeColor="text1"/>
              </w:rPr>
            </w:pPr>
          </w:p>
        </w:tc>
        <w:tc>
          <w:tcPr>
            <w:tcW w:w="1466" w:type="dxa"/>
          </w:tcPr>
          <w:p w14:paraId="6F308278" w14:textId="77777777" w:rsidR="00AF0843" w:rsidRPr="005554ED" w:rsidRDefault="00AF0843"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Estimate</w:t>
            </w:r>
          </w:p>
        </w:tc>
        <w:tc>
          <w:tcPr>
            <w:tcW w:w="2336" w:type="dxa"/>
            <w:gridSpan w:val="2"/>
          </w:tcPr>
          <w:p w14:paraId="330A284F" w14:textId="77777777" w:rsidR="00AF0843" w:rsidRPr="005554ED" w:rsidRDefault="00AF0843" w:rsidP="00484660">
            <w:pPr>
              <w:jc w:val="center"/>
              <w:rPr>
                <w:rFonts w:asciiTheme="minorHAnsi" w:hAnsiTheme="minorHAnsi" w:cstheme="minorHAnsi"/>
                <w:color w:val="000000" w:themeColor="text1"/>
              </w:rPr>
            </w:pPr>
            <w:r w:rsidRPr="005554ED">
              <w:rPr>
                <w:rFonts w:asciiTheme="minorHAnsi" w:hAnsiTheme="minorHAnsi" w:cstheme="minorHAnsi"/>
                <w:color w:val="000000" w:themeColor="text1"/>
              </w:rPr>
              <w:t>95% CI</w:t>
            </w:r>
          </w:p>
        </w:tc>
      </w:tr>
      <w:tr w:rsidR="005554ED" w:rsidRPr="005554ED" w14:paraId="34533046" w14:textId="77777777" w:rsidTr="00484660">
        <w:tc>
          <w:tcPr>
            <w:tcW w:w="3369" w:type="dxa"/>
            <w:vAlign w:val="bottom"/>
          </w:tcPr>
          <w:p w14:paraId="0844D19A" w14:textId="77777777"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Intercept</w:t>
            </w:r>
          </w:p>
        </w:tc>
        <w:tc>
          <w:tcPr>
            <w:tcW w:w="1466" w:type="dxa"/>
            <w:vAlign w:val="bottom"/>
          </w:tcPr>
          <w:p w14:paraId="5329ADFA" w14:textId="1F82A3DA"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60.472</w:t>
            </w:r>
          </w:p>
        </w:tc>
        <w:tc>
          <w:tcPr>
            <w:tcW w:w="1177" w:type="dxa"/>
            <w:vAlign w:val="bottom"/>
          </w:tcPr>
          <w:p w14:paraId="01043008" w14:textId="081F03E1" w:rsidR="00484660" w:rsidRPr="005554ED" w:rsidRDefault="00484660" w:rsidP="00484660">
            <w:pPr>
              <w:jc w:val="right"/>
              <w:rPr>
                <w:rFonts w:asciiTheme="minorHAnsi" w:hAnsiTheme="minorHAnsi" w:cstheme="minorHAnsi"/>
                <w:color w:val="000000" w:themeColor="text1"/>
              </w:rPr>
            </w:pPr>
            <w:bookmarkStart w:id="47" w:name="OLE_LINK284"/>
            <w:bookmarkStart w:id="48" w:name="OLE_LINK285"/>
            <w:r w:rsidRPr="005554ED">
              <w:rPr>
                <w:rFonts w:asciiTheme="minorHAnsi" w:hAnsiTheme="minorHAnsi" w:cstheme="minorHAnsi"/>
                <w:color w:val="000000" w:themeColor="text1"/>
              </w:rPr>
              <w:t>[</w:t>
            </w:r>
            <w:bookmarkEnd w:id="47"/>
            <w:bookmarkEnd w:id="48"/>
            <w:r w:rsidRPr="005554ED">
              <w:rPr>
                <w:rFonts w:asciiTheme="minorHAnsi" w:hAnsiTheme="minorHAnsi" w:cstheme="minorHAnsi"/>
                <w:color w:val="000000" w:themeColor="text1"/>
              </w:rPr>
              <w:t>22.930;</w:t>
            </w:r>
          </w:p>
        </w:tc>
        <w:tc>
          <w:tcPr>
            <w:tcW w:w="1159" w:type="dxa"/>
            <w:vAlign w:val="bottom"/>
          </w:tcPr>
          <w:p w14:paraId="18B35F14" w14:textId="5FDD5B3D"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98.015</w:t>
            </w:r>
            <w:bookmarkStart w:id="49" w:name="OLE_LINK286"/>
            <w:bookmarkStart w:id="50" w:name="OLE_LINK287"/>
            <w:r w:rsidRPr="005554ED">
              <w:rPr>
                <w:rFonts w:asciiTheme="minorHAnsi" w:hAnsiTheme="minorHAnsi" w:cstheme="minorHAnsi"/>
                <w:color w:val="000000" w:themeColor="text1"/>
              </w:rPr>
              <w:t>]</w:t>
            </w:r>
            <w:bookmarkEnd w:id="49"/>
            <w:bookmarkEnd w:id="50"/>
          </w:p>
        </w:tc>
      </w:tr>
      <w:tr w:rsidR="005554ED" w:rsidRPr="005554ED" w14:paraId="3A6B81D2" w14:textId="77777777" w:rsidTr="00484660">
        <w:tc>
          <w:tcPr>
            <w:tcW w:w="3369" w:type="dxa"/>
            <w:vAlign w:val="bottom"/>
          </w:tcPr>
          <w:p w14:paraId="766FC0A2" w14:textId="77777777"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 xml:space="preserve">Year of data collection </w:t>
            </w:r>
          </w:p>
        </w:tc>
        <w:tc>
          <w:tcPr>
            <w:tcW w:w="1466" w:type="dxa"/>
            <w:vAlign w:val="bottom"/>
          </w:tcPr>
          <w:p w14:paraId="383E0F2F" w14:textId="4F292319"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-1.132</w:t>
            </w:r>
          </w:p>
        </w:tc>
        <w:tc>
          <w:tcPr>
            <w:tcW w:w="1177" w:type="dxa"/>
            <w:vAlign w:val="bottom"/>
          </w:tcPr>
          <w:p w14:paraId="3FD957C4" w14:textId="0A975AA6"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[-3.985;</w:t>
            </w:r>
          </w:p>
        </w:tc>
        <w:tc>
          <w:tcPr>
            <w:tcW w:w="1159" w:type="dxa"/>
            <w:vAlign w:val="bottom"/>
          </w:tcPr>
          <w:p w14:paraId="1008BDF1" w14:textId="430FB71E"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1.722]</w:t>
            </w:r>
          </w:p>
        </w:tc>
      </w:tr>
      <w:tr w:rsidR="005554ED" w:rsidRPr="005554ED" w14:paraId="01C63FC2" w14:textId="77777777" w:rsidTr="00484660">
        <w:tc>
          <w:tcPr>
            <w:tcW w:w="3369" w:type="dxa"/>
            <w:vAlign w:val="bottom"/>
          </w:tcPr>
          <w:p w14:paraId="496022C4" w14:textId="17EFFC3A"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Age (min)</w:t>
            </w:r>
          </w:p>
        </w:tc>
        <w:tc>
          <w:tcPr>
            <w:tcW w:w="1466" w:type="dxa"/>
            <w:vAlign w:val="bottom"/>
          </w:tcPr>
          <w:p w14:paraId="08228C01" w14:textId="4D795106"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-1.518</w:t>
            </w:r>
          </w:p>
        </w:tc>
        <w:tc>
          <w:tcPr>
            <w:tcW w:w="1177" w:type="dxa"/>
            <w:vAlign w:val="bottom"/>
          </w:tcPr>
          <w:p w14:paraId="3061AAD3" w14:textId="4BF63D5F"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[-3.628;</w:t>
            </w:r>
          </w:p>
        </w:tc>
        <w:tc>
          <w:tcPr>
            <w:tcW w:w="1159" w:type="dxa"/>
            <w:vAlign w:val="bottom"/>
          </w:tcPr>
          <w:p w14:paraId="2DE33DCA" w14:textId="69B14717"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0.591]</w:t>
            </w:r>
          </w:p>
        </w:tc>
      </w:tr>
      <w:tr w:rsidR="005554ED" w:rsidRPr="005554ED" w14:paraId="7807E185" w14:textId="77777777" w:rsidTr="00484660">
        <w:tc>
          <w:tcPr>
            <w:tcW w:w="3369" w:type="dxa"/>
            <w:vAlign w:val="bottom"/>
          </w:tcPr>
          <w:p w14:paraId="2D88B2FF" w14:textId="503968D7"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Year of data collection * age (min)</w:t>
            </w:r>
          </w:p>
        </w:tc>
        <w:tc>
          <w:tcPr>
            <w:tcW w:w="1466" w:type="dxa"/>
            <w:vAlign w:val="bottom"/>
          </w:tcPr>
          <w:p w14:paraId="704798FC" w14:textId="37D7264B"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0.080</w:t>
            </w:r>
          </w:p>
        </w:tc>
        <w:tc>
          <w:tcPr>
            <w:tcW w:w="1177" w:type="dxa"/>
            <w:vAlign w:val="bottom"/>
          </w:tcPr>
          <w:p w14:paraId="05C4DCCF" w14:textId="0F85CB0C"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[-0.084;</w:t>
            </w:r>
          </w:p>
        </w:tc>
        <w:tc>
          <w:tcPr>
            <w:tcW w:w="1159" w:type="dxa"/>
            <w:vAlign w:val="bottom"/>
          </w:tcPr>
          <w:p w14:paraId="6C579BFB" w14:textId="0219AAB6"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0.243]</w:t>
            </w:r>
          </w:p>
        </w:tc>
      </w:tr>
    </w:tbl>
    <w:p w14:paraId="61639689" w14:textId="1CCC4924" w:rsidR="00AF0843" w:rsidRPr="005554ED" w:rsidRDefault="00AF0843" w:rsidP="00694F50">
      <w:pPr>
        <w:ind w:firstLine="0"/>
        <w:rPr>
          <w:color w:val="000000" w:themeColor="text1"/>
          <w:sz w:val="20"/>
          <w:szCs w:val="20"/>
        </w:rPr>
      </w:pPr>
      <w:r w:rsidRPr="005554ED">
        <w:rPr>
          <w:i/>
          <w:iCs/>
          <w:color w:val="000000" w:themeColor="text1"/>
          <w:sz w:val="20"/>
          <w:szCs w:val="20"/>
        </w:rPr>
        <w:t>Note.</w:t>
      </w:r>
      <w:r w:rsidRPr="005554ED">
        <w:rPr>
          <w:color w:val="000000" w:themeColor="text1"/>
          <w:sz w:val="20"/>
          <w:szCs w:val="20"/>
        </w:rPr>
        <w:t xml:space="preserve"> Age (min) was coded as a continuous variable.</w:t>
      </w:r>
    </w:p>
    <w:p w14:paraId="0BB243E0" w14:textId="77777777" w:rsidR="00694F50" w:rsidRPr="005554ED" w:rsidRDefault="00694F50" w:rsidP="00AF0843">
      <w:pPr>
        <w:pStyle w:val="NoSpacing"/>
        <w:rPr>
          <w:color w:val="000000" w:themeColor="text1"/>
        </w:rPr>
      </w:pPr>
    </w:p>
    <w:p w14:paraId="70F1D2DA" w14:textId="0F716166" w:rsidR="00AF0843" w:rsidRPr="005554ED" w:rsidRDefault="00AF0843" w:rsidP="00AF0843">
      <w:pPr>
        <w:pStyle w:val="NoSpacing"/>
        <w:rPr>
          <w:color w:val="000000" w:themeColor="text1"/>
        </w:rPr>
      </w:pPr>
      <w:r w:rsidRPr="005554ED">
        <w:rPr>
          <w:color w:val="000000" w:themeColor="text1"/>
        </w:rPr>
        <w:t>Table S9</w:t>
      </w:r>
    </w:p>
    <w:p w14:paraId="0832DDB9" w14:textId="52395144" w:rsidR="00AF0843" w:rsidRPr="005554ED" w:rsidRDefault="00AF0843" w:rsidP="00AF0843">
      <w:pPr>
        <w:pStyle w:val="NoSpacing"/>
        <w:rPr>
          <w:color w:val="000000" w:themeColor="text1"/>
        </w:rPr>
      </w:pPr>
      <w:r w:rsidRPr="005554ED">
        <w:rPr>
          <w:i/>
          <w:iCs/>
          <w:color w:val="000000" w:themeColor="text1"/>
        </w:rPr>
        <w:t>Age maximum of a sample as potential moderator of changes in loneliness over historical time</w:t>
      </w:r>
    </w:p>
    <w:tbl>
      <w:tblPr>
        <w:tblStyle w:val="APAReport"/>
        <w:tblW w:w="0" w:type="auto"/>
        <w:tblLook w:val="04A0" w:firstRow="1" w:lastRow="0" w:firstColumn="1" w:lastColumn="0" w:noHBand="0" w:noVBand="1"/>
      </w:tblPr>
      <w:tblGrid>
        <w:gridCol w:w="3369"/>
        <w:gridCol w:w="1466"/>
        <w:gridCol w:w="1177"/>
        <w:gridCol w:w="1159"/>
      </w:tblGrid>
      <w:tr w:rsidR="005554ED" w:rsidRPr="005554ED" w14:paraId="172D2893" w14:textId="77777777" w:rsidTr="00484660">
        <w:trPr>
          <w:cnfStyle w:val="100000000000" w:firstRow="1" w:lastRow="0" w:firstColumn="0" w:lastColumn="0" w:oddVBand="0" w:evenVBand="0" w:oddHBand="0" w:evenHBand="0" w:firstRowFirstColumn="0" w:firstRowLastColumn="0" w:lastRowFirstColumn="0" w:lastRowLastColumn="0"/>
        </w:trPr>
        <w:tc>
          <w:tcPr>
            <w:tcW w:w="3369" w:type="dxa"/>
          </w:tcPr>
          <w:p w14:paraId="2270C4AC" w14:textId="77777777" w:rsidR="00AF0843" w:rsidRPr="005554ED" w:rsidRDefault="00AF0843" w:rsidP="00484660">
            <w:pPr>
              <w:rPr>
                <w:rFonts w:asciiTheme="minorHAnsi" w:hAnsiTheme="minorHAnsi" w:cstheme="minorHAnsi"/>
                <w:color w:val="000000" w:themeColor="text1"/>
              </w:rPr>
            </w:pPr>
          </w:p>
        </w:tc>
        <w:tc>
          <w:tcPr>
            <w:tcW w:w="1466" w:type="dxa"/>
          </w:tcPr>
          <w:p w14:paraId="5B35B261" w14:textId="77777777" w:rsidR="00AF0843" w:rsidRPr="005554ED" w:rsidRDefault="00AF0843"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Estimate</w:t>
            </w:r>
          </w:p>
        </w:tc>
        <w:tc>
          <w:tcPr>
            <w:tcW w:w="2336" w:type="dxa"/>
            <w:gridSpan w:val="2"/>
          </w:tcPr>
          <w:p w14:paraId="36092069" w14:textId="77777777" w:rsidR="00AF0843" w:rsidRPr="005554ED" w:rsidRDefault="00AF0843" w:rsidP="00484660">
            <w:pPr>
              <w:jc w:val="center"/>
              <w:rPr>
                <w:rFonts w:asciiTheme="minorHAnsi" w:hAnsiTheme="minorHAnsi" w:cstheme="minorHAnsi"/>
                <w:color w:val="000000" w:themeColor="text1"/>
              </w:rPr>
            </w:pPr>
            <w:r w:rsidRPr="005554ED">
              <w:rPr>
                <w:rFonts w:asciiTheme="minorHAnsi" w:hAnsiTheme="minorHAnsi" w:cstheme="minorHAnsi"/>
                <w:color w:val="000000" w:themeColor="text1"/>
              </w:rPr>
              <w:t>95% CI</w:t>
            </w:r>
          </w:p>
        </w:tc>
      </w:tr>
      <w:tr w:rsidR="005554ED" w:rsidRPr="005554ED" w14:paraId="13A3428E" w14:textId="77777777" w:rsidTr="00484660">
        <w:tc>
          <w:tcPr>
            <w:tcW w:w="3369" w:type="dxa"/>
            <w:vAlign w:val="bottom"/>
          </w:tcPr>
          <w:p w14:paraId="3A7A4D5E" w14:textId="77777777"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Intercept</w:t>
            </w:r>
          </w:p>
        </w:tc>
        <w:tc>
          <w:tcPr>
            <w:tcW w:w="1466" w:type="dxa"/>
            <w:vAlign w:val="bottom"/>
          </w:tcPr>
          <w:p w14:paraId="00F6F14F" w14:textId="37FBDCAC"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31.561</w:t>
            </w:r>
          </w:p>
        </w:tc>
        <w:tc>
          <w:tcPr>
            <w:tcW w:w="1177" w:type="dxa"/>
            <w:vAlign w:val="bottom"/>
          </w:tcPr>
          <w:p w14:paraId="1C94153B" w14:textId="3DA5A27B" w:rsidR="00484660" w:rsidRPr="005554ED" w:rsidRDefault="00484660" w:rsidP="00484660">
            <w:pPr>
              <w:jc w:val="right"/>
              <w:rPr>
                <w:rFonts w:asciiTheme="minorHAnsi" w:hAnsiTheme="minorHAnsi" w:cstheme="minorHAnsi"/>
                <w:color w:val="000000" w:themeColor="text1"/>
              </w:rPr>
            </w:pPr>
            <w:bookmarkStart w:id="51" w:name="OLE_LINK288"/>
            <w:bookmarkStart w:id="52" w:name="OLE_LINK289"/>
            <w:r w:rsidRPr="005554ED">
              <w:rPr>
                <w:rFonts w:asciiTheme="minorHAnsi" w:hAnsiTheme="minorHAnsi" w:cstheme="minorHAnsi"/>
                <w:color w:val="000000" w:themeColor="text1"/>
              </w:rPr>
              <w:t>[</w:t>
            </w:r>
            <w:bookmarkEnd w:id="51"/>
            <w:bookmarkEnd w:id="52"/>
            <w:r w:rsidRPr="005554ED">
              <w:rPr>
                <w:rFonts w:asciiTheme="minorHAnsi" w:hAnsiTheme="minorHAnsi" w:cstheme="minorHAnsi"/>
                <w:color w:val="000000" w:themeColor="text1"/>
              </w:rPr>
              <w:t>27.841;</w:t>
            </w:r>
          </w:p>
        </w:tc>
        <w:tc>
          <w:tcPr>
            <w:tcW w:w="1159" w:type="dxa"/>
            <w:vAlign w:val="bottom"/>
          </w:tcPr>
          <w:p w14:paraId="77FF2E61" w14:textId="26FF89EC"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35.280]</w:t>
            </w:r>
          </w:p>
        </w:tc>
      </w:tr>
      <w:tr w:rsidR="005554ED" w:rsidRPr="005554ED" w14:paraId="60F49C11" w14:textId="77777777" w:rsidTr="00484660">
        <w:tc>
          <w:tcPr>
            <w:tcW w:w="3369" w:type="dxa"/>
            <w:vAlign w:val="bottom"/>
          </w:tcPr>
          <w:p w14:paraId="793CEE77" w14:textId="77777777"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 xml:space="preserve">Year of data collection </w:t>
            </w:r>
          </w:p>
        </w:tc>
        <w:tc>
          <w:tcPr>
            <w:tcW w:w="1466" w:type="dxa"/>
            <w:vAlign w:val="bottom"/>
          </w:tcPr>
          <w:p w14:paraId="319543DE" w14:textId="213C6937"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0.036</w:t>
            </w:r>
          </w:p>
        </w:tc>
        <w:tc>
          <w:tcPr>
            <w:tcW w:w="1177" w:type="dxa"/>
            <w:vAlign w:val="bottom"/>
          </w:tcPr>
          <w:p w14:paraId="46596035" w14:textId="18E5FBFC"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[-0.325;</w:t>
            </w:r>
          </w:p>
        </w:tc>
        <w:tc>
          <w:tcPr>
            <w:tcW w:w="1159" w:type="dxa"/>
            <w:vAlign w:val="bottom"/>
          </w:tcPr>
          <w:p w14:paraId="6DCCB2CF" w14:textId="19356017"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0.397]</w:t>
            </w:r>
          </w:p>
        </w:tc>
      </w:tr>
      <w:tr w:rsidR="005554ED" w:rsidRPr="005554ED" w14:paraId="3F4564DE" w14:textId="77777777" w:rsidTr="00484660">
        <w:tc>
          <w:tcPr>
            <w:tcW w:w="3369" w:type="dxa"/>
            <w:vAlign w:val="bottom"/>
          </w:tcPr>
          <w:p w14:paraId="23143588" w14:textId="2F261CF7"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Age (max)</w:t>
            </w:r>
          </w:p>
        </w:tc>
        <w:tc>
          <w:tcPr>
            <w:tcW w:w="1466" w:type="dxa"/>
            <w:vAlign w:val="bottom"/>
          </w:tcPr>
          <w:p w14:paraId="595677D3" w14:textId="2BE2A4ED"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0.055</w:t>
            </w:r>
          </w:p>
        </w:tc>
        <w:tc>
          <w:tcPr>
            <w:tcW w:w="1177" w:type="dxa"/>
            <w:vAlign w:val="bottom"/>
          </w:tcPr>
          <w:p w14:paraId="653FB630" w14:textId="4C9A613D"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[-0.057;</w:t>
            </w:r>
          </w:p>
        </w:tc>
        <w:tc>
          <w:tcPr>
            <w:tcW w:w="1159" w:type="dxa"/>
            <w:vAlign w:val="bottom"/>
          </w:tcPr>
          <w:p w14:paraId="583D35CA" w14:textId="361AE372"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0.167]</w:t>
            </w:r>
          </w:p>
        </w:tc>
      </w:tr>
      <w:tr w:rsidR="005554ED" w:rsidRPr="005554ED" w14:paraId="4BC219F9" w14:textId="77777777" w:rsidTr="00484660">
        <w:tc>
          <w:tcPr>
            <w:tcW w:w="3369" w:type="dxa"/>
            <w:vAlign w:val="bottom"/>
          </w:tcPr>
          <w:p w14:paraId="643B745C" w14:textId="13725303"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Year of data collection * age (max)</w:t>
            </w:r>
          </w:p>
        </w:tc>
        <w:tc>
          <w:tcPr>
            <w:tcW w:w="1466" w:type="dxa"/>
            <w:vAlign w:val="bottom"/>
          </w:tcPr>
          <w:p w14:paraId="57EBD3D9" w14:textId="167A306E"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0.006</w:t>
            </w:r>
          </w:p>
        </w:tc>
        <w:tc>
          <w:tcPr>
            <w:tcW w:w="1177" w:type="dxa"/>
            <w:vAlign w:val="bottom"/>
          </w:tcPr>
          <w:p w14:paraId="0D2B114A" w14:textId="746AA4DB"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[-0.006;</w:t>
            </w:r>
          </w:p>
        </w:tc>
        <w:tc>
          <w:tcPr>
            <w:tcW w:w="1159" w:type="dxa"/>
            <w:vAlign w:val="bottom"/>
          </w:tcPr>
          <w:p w14:paraId="4842F51C" w14:textId="47E5AD1A"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0.017]</w:t>
            </w:r>
          </w:p>
        </w:tc>
      </w:tr>
    </w:tbl>
    <w:p w14:paraId="706B4763" w14:textId="0206E528" w:rsidR="00AF0843" w:rsidRPr="005554ED" w:rsidRDefault="00AF0843" w:rsidP="00694F50">
      <w:pPr>
        <w:ind w:firstLine="0"/>
        <w:rPr>
          <w:color w:val="000000" w:themeColor="text1"/>
          <w:sz w:val="20"/>
          <w:szCs w:val="20"/>
        </w:rPr>
      </w:pPr>
      <w:r w:rsidRPr="005554ED">
        <w:rPr>
          <w:i/>
          <w:iCs/>
          <w:color w:val="000000" w:themeColor="text1"/>
          <w:sz w:val="20"/>
          <w:szCs w:val="20"/>
        </w:rPr>
        <w:t>Note.</w:t>
      </w:r>
      <w:r w:rsidRPr="005554ED">
        <w:rPr>
          <w:color w:val="000000" w:themeColor="text1"/>
          <w:sz w:val="20"/>
          <w:szCs w:val="20"/>
        </w:rPr>
        <w:t xml:space="preserve"> Age (max) was coded as a continuous variable.</w:t>
      </w:r>
    </w:p>
    <w:p w14:paraId="1D2CBC42" w14:textId="77777777" w:rsidR="00AF0843" w:rsidRPr="005554ED" w:rsidRDefault="00AF0843">
      <w:pPr>
        <w:rPr>
          <w:color w:val="000000" w:themeColor="text1"/>
        </w:rPr>
      </w:pPr>
      <w:r w:rsidRPr="005554ED">
        <w:rPr>
          <w:color w:val="000000" w:themeColor="text1"/>
        </w:rPr>
        <w:br w:type="page"/>
      </w:r>
    </w:p>
    <w:p w14:paraId="5B049D20" w14:textId="30399C02" w:rsidR="00AF0843" w:rsidRPr="005554ED" w:rsidRDefault="00AF0843" w:rsidP="00AF0843">
      <w:pPr>
        <w:pStyle w:val="NoSpacing"/>
        <w:rPr>
          <w:color w:val="000000" w:themeColor="text1"/>
        </w:rPr>
      </w:pPr>
      <w:bookmarkStart w:id="53" w:name="OLE_LINK253"/>
      <w:bookmarkStart w:id="54" w:name="OLE_LINK254"/>
      <w:r w:rsidRPr="005554ED">
        <w:rPr>
          <w:color w:val="000000" w:themeColor="text1"/>
        </w:rPr>
        <w:lastRenderedPageBreak/>
        <w:t>Table S10</w:t>
      </w:r>
    </w:p>
    <w:p w14:paraId="5B0CA94B" w14:textId="6A5B25AC" w:rsidR="00AF0843" w:rsidRPr="005554ED" w:rsidRDefault="00AF0843" w:rsidP="00AF0843">
      <w:pPr>
        <w:pStyle w:val="NoSpacing"/>
        <w:rPr>
          <w:color w:val="000000" w:themeColor="text1"/>
        </w:rPr>
      </w:pPr>
      <w:r w:rsidRPr="005554ED">
        <w:rPr>
          <w:i/>
          <w:iCs/>
          <w:color w:val="000000" w:themeColor="text1"/>
        </w:rPr>
        <w:t>Standard deviation (SD) of age of a sample as potential moderator of changes in loneliness over historical time</w:t>
      </w:r>
    </w:p>
    <w:tbl>
      <w:tblPr>
        <w:tblStyle w:val="APAReport"/>
        <w:tblW w:w="0" w:type="auto"/>
        <w:tblLook w:val="04A0" w:firstRow="1" w:lastRow="0" w:firstColumn="1" w:lastColumn="0" w:noHBand="0" w:noVBand="1"/>
      </w:tblPr>
      <w:tblGrid>
        <w:gridCol w:w="3369"/>
        <w:gridCol w:w="1466"/>
        <w:gridCol w:w="1177"/>
        <w:gridCol w:w="1159"/>
      </w:tblGrid>
      <w:tr w:rsidR="005554ED" w:rsidRPr="005554ED" w14:paraId="78E69276" w14:textId="77777777" w:rsidTr="00484660">
        <w:trPr>
          <w:cnfStyle w:val="100000000000" w:firstRow="1" w:lastRow="0" w:firstColumn="0" w:lastColumn="0" w:oddVBand="0" w:evenVBand="0" w:oddHBand="0" w:evenHBand="0" w:firstRowFirstColumn="0" w:firstRowLastColumn="0" w:lastRowFirstColumn="0" w:lastRowLastColumn="0"/>
        </w:trPr>
        <w:tc>
          <w:tcPr>
            <w:tcW w:w="3369" w:type="dxa"/>
          </w:tcPr>
          <w:p w14:paraId="0FC785D4" w14:textId="77777777" w:rsidR="00AF0843" w:rsidRPr="005554ED" w:rsidRDefault="00AF0843" w:rsidP="00484660">
            <w:pPr>
              <w:rPr>
                <w:rFonts w:asciiTheme="minorHAnsi" w:hAnsiTheme="minorHAnsi" w:cstheme="minorHAnsi"/>
                <w:color w:val="000000" w:themeColor="text1"/>
              </w:rPr>
            </w:pPr>
          </w:p>
        </w:tc>
        <w:tc>
          <w:tcPr>
            <w:tcW w:w="1466" w:type="dxa"/>
          </w:tcPr>
          <w:p w14:paraId="7465D8D9" w14:textId="77777777" w:rsidR="00AF0843" w:rsidRPr="005554ED" w:rsidRDefault="00AF0843"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Estimate</w:t>
            </w:r>
          </w:p>
        </w:tc>
        <w:tc>
          <w:tcPr>
            <w:tcW w:w="2336" w:type="dxa"/>
            <w:gridSpan w:val="2"/>
          </w:tcPr>
          <w:p w14:paraId="023CFDF0" w14:textId="77777777" w:rsidR="00AF0843" w:rsidRPr="005554ED" w:rsidRDefault="00AF0843" w:rsidP="00484660">
            <w:pPr>
              <w:jc w:val="center"/>
              <w:rPr>
                <w:rFonts w:asciiTheme="minorHAnsi" w:hAnsiTheme="minorHAnsi" w:cstheme="minorHAnsi"/>
                <w:color w:val="000000" w:themeColor="text1"/>
              </w:rPr>
            </w:pPr>
            <w:r w:rsidRPr="005554ED">
              <w:rPr>
                <w:rFonts w:asciiTheme="minorHAnsi" w:hAnsiTheme="minorHAnsi" w:cstheme="minorHAnsi"/>
                <w:color w:val="000000" w:themeColor="text1"/>
              </w:rPr>
              <w:t>95% CI</w:t>
            </w:r>
          </w:p>
        </w:tc>
      </w:tr>
      <w:tr w:rsidR="005554ED" w:rsidRPr="005554ED" w14:paraId="183BD157" w14:textId="77777777" w:rsidTr="00484660">
        <w:tc>
          <w:tcPr>
            <w:tcW w:w="3369" w:type="dxa"/>
            <w:vAlign w:val="bottom"/>
          </w:tcPr>
          <w:p w14:paraId="408DB480" w14:textId="77777777"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Intercept</w:t>
            </w:r>
          </w:p>
        </w:tc>
        <w:tc>
          <w:tcPr>
            <w:tcW w:w="1466" w:type="dxa"/>
            <w:vAlign w:val="bottom"/>
          </w:tcPr>
          <w:p w14:paraId="1752782E" w14:textId="52AE69EB"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32.974</w:t>
            </w:r>
          </w:p>
        </w:tc>
        <w:tc>
          <w:tcPr>
            <w:tcW w:w="1177" w:type="dxa"/>
            <w:vAlign w:val="bottom"/>
          </w:tcPr>
          <w:p w14:paraId="51D942D8" w14:textId="23C2E493" w:rsidR="00484660" w:rsidRPr="005554ED" w:rsidRDefault="00484660" w:rsidP="00484660">
            <w:pPr>
              <w:jc w:val="right"/>
              <w:rPr>
                <w:rFonts w:asciiTheme="minorHAnsi" w:hAnsiTheme="minorHAnsi" w:cstheme="minorHAnsi"/>
                <w:color w:val="000000" w:themeColor="text1"/>
              </w:rPr>
            </w:pPr>
            <w:bookmarkStart w:id="55" w:name="OLE_LINK290"/>
            <w:bookmarkStart w:id="56" w:name="OLE_LINK291"/>
            <w:r w:rsidRPr="005554ED">
              <w:rPr>
                <w:rFonts w:asciiTheme="minorHAnsi" w:hAnsiTheme="minorHAnsi" w:cstheme="minorHAnsi"/>
                <w:color w:val="000000" w:themeColor="text1"/>
              </w:rPr>
              <w:t>[</w:t>
            </w:r>
            <w:bookmarkEnd w:id="55"/>
            <w:bookmarkEnd w:id="56"/>
            <w:r w:rsidRPr="005554ED">
              <w:rPr>
                <w:rFonts w:asciiTheme="minorHAnsi" w:hAnsiTheme="minorHAnsi" w:cstheme="minorHAnsi"/>
                <w:color w:val="000000" w:themeColor="text1"/>
              </w:rPr>
              <w:t>30.916;</w:t>
            </w:r>
          </w:p>
        </w:tc>
        <w:tc>
          <w:tcPr>
            <w:tcW w:w="1159" w:type="dxa"/>
            <w:vAlign w:val="bottom"/>
          </w:tcPr>
          <w:p w14:paraId="16E632E9" w14:textId="34F70EEA"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35.032]</w:t>
            </w:r>
          </w:p>
        </w:tc>
      </w:tr>
      <w:tr w:rsidR="005554ED" w:rsidRPr="005554ED" w14:paraId="60DF2358" w14:textId="77777777" w:rsidTr="00484660">
        <w:tc>
          <w:tcPr>
            <w:tcW w:w="3369" w:type="dxa"/>
            <w:vAlign w:val="bottom"/>
          </w:tcPr>
          <w:p w14:paraId="49DAAF07" w14:textId="77777777"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 xml:space="preserve">Year of data collection </w:t>
            </w:r>
          </w:p>
        </w:tc>
        <w:tc>
          <w:tcPr>
            <w:tcW w:w="1466" w:type="dxa"/>
            <w:vAlign w:val="bottom"/>
          </w:tcPr>
          <w:p w14:paraId="657970C3" w14:textId="03EF4A09"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0.268</w:t>
            </w:r>
          </w:p>
        </w:tc>
        <w:tc>
          <w:tcPr>
            <w:tcW w:w="1177" w:type="dxa"/>
            <w:vAlign w:val="bottom"/>
          </w:tcPr>
          <w:p w14:paraId="7EE7E524" w14:textId="7CC27938"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[0.062;</w:t>
            </w:r>
          </w:p>
        </w:tc>
        <w:tc>
          <w:tcPr>
            <w:tcW w:w="1159" w:type="dxa"/>
            <w:vAlign w:val="bottom"/>
          </w:tcPr>
          <w:p w14:paraId="214EA365" w14:textId="6ADCA306"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0.474]</w:t>
            </w:r>
          </w:p>
        </w:tc>
      </w:tr>
      <w:tr w:rsidR="005554ED" w:rsidRPr="005554ED" w14:paraId="5C448002" w14:textId="77777777" w:rsidTr="00484660">
        <w:tc>
          <w:tcPr>
            <w:tcW w:w="3369" w:type="dxa"/>
            <w:vAlign w:val="bottom"/>
          </w:tcPr>
          <w:p w14:paraId="6B5BD603" w14:textId="649481BA"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Age (</w:t>
            </w:r>
            <w:r w:rsidRPr="005554ED">
              <w:rPr>
                <w:rFonts w:asciiTheme="minorHAnsi" w:hAnsiTheme="minorHAnsi" w:cstheme="minorHAnsi"/>
                <w:i/>
                <w:iCs/>
                <w:color w:val="000000" w:themeColor="text1"/>
              </w:rPr>
              <w:t>SD</w:t>
            </w:r>
            <w:r w:rsidRPr="005554ED">
              <w:rPr>
                <w:rFonts w:asciiTheme="minorHAnsi" w:hAnsiTheme="minorHAnsi" w:cstheme="minorHAnsi"/>
                <w:color w:val="000000" w:themeColor="text1"/>
              </w:rPr>
              <w:t>)</w:t>
            </w:r>
          </w:p>
        </w:tc>
        <w:tc>
          <w:tcPr>
            <w:tcW w:w="1466" w:type="dxa"/>
            <w:vAlign w:val="bottom"/>
          </w:tcPr>
          <w:p w14:paraId="3D2E1246" w14:textId="66C836F7"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0.174</w:t>
            </w:r>
          </w:p>
        </w:tc>
        <w:tc>
          <w:tcPr>
            <w:tcW w:w="1177" w:type="dxa"/>
            <w:vAlign w:val="bottom"/>
          </w:tcPr>
          <w:p w14:paraId="2B7FD189" w14:textId="348DCEA1"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[-0.623;</w:t>
            </w:r>
          </w:p>
        </w:tc>
        <w:tc>
          <w:tcPr>
            <w:tcW w:w="1159" w:type="dxa"/>
            <w:vAlign w:val="bottom"/>
          </w:tcPr>
          <w:p w14:paraId="619640E5" w14:textId="1884758C"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0.971]</w:t>
            </w:r>
          </w:p>
        </w:tc>
      </w:tr>
      <w:tr w:rsidR="005554ED" w:rsidRPr="005554ED" w14:paraId="7E961936" w14:textId="77777777" w:rsidTr="00484660">
        <w:tc>
          <w:tcPr>
            <w:tcW w:w="3369" w:type="dxa"/>
            <w:vAlign w:val="bottom"/>
          </w:tcPr>
          <w:p w14:paraId="4AEFBF5E" w14:textId="05D317A4" w:rsidR="00484660" w:rsidRPr="005554ED" w:rsidRDefault="0048466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Year of data collection * age (</w:t>
            </w:r>
            <w:r w:rsidRPr="005554ED">
              <w:rPr>
                <w:rFonts w:asciiTheme="minorHAnsi" w:hAnsiTheme="minorHAnsi" w:cstheme="minorHAnsi"/>
                <w:i/>
                <w:iCs/>
                <w:color w:val="000000" w:themeColor="text1"/>
              </w:rPr>
              <w:t>SD</w:t>
            </w:r>
            <w:r w:rsidRPr="005554ED">
              <w:rPr>
                <w:rFonts w:asciiTheme="minorHAnsi" w:hAnsiTheme="minorHAnsi" w:cstheme="minorHAnsi"/>
                <w:color w:val="000000" w:themeColor="text1"/>
              </w:rPr>
              <w:t>)</w:t>
            </w:r>
          </w:p>
        </w:tc>
        <w:tc>
          <w:tcPr>
            <w:tcW w:w="1466" w:type="dxa"/>
            <w:vAlign w:val="bottom"/>
          </w:tcPr>
          <w:p w14:paraId="6A8D4F8A" w14:textId="4DAFCF36"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0.001</w:t>
            </w:r>
          </w:p>
        </w:tc>
        <w:tc>
          <w:tcPr>
            <w:tcW w:w="1177" w:type="dxa"/>
            <w:vAlign w:val="bottom"/>
          </w:tcPr>
          <w:p w14:paraId="4A314B88" w14:textId="4C112F02"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[-0.040;</w:t>
            </w:r>
          </w:p>
        </w:tc>
        <w:tc>
          <w:tcPr>
            <w:tcW w:w="1159" w:type="dxa"/>
            <w:vAlign w:val="bottom"/>
          </w:tcPr>
          <w:p w14:paraId="602B778C" w14:textId="5D53BA9F" w:rsidR="00484660" w:rsidRPr="005554ED" w:rsidRDefault="00484660" w:rsidP="00484660">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0.042</w:t>
            </w:r>
            <w:bookmarkStart w:id="57" w:name="OLE_LINK292"/>
            <w:bookmarkStart w:id="58" w:name="OLE_LINK293"/>
            <w:r w:rsidRPr="005554ED">
              <w:rPr>
                <w:rFonts w:asciiTheme="minorHAnsi" w:hAnsiTheme="minorHAnsi" w:cstheme="minorHAnsi"/>
                <w:color w:val="000000" w:themeColor="text1"/>
              </w:rPr>
              <w:t>]</w:t>
            </w:r>
            <w:bookmarkEnd w:id="57"/>
            <w:bookmarkEnd w:id="58"/>
          </w:p>
        </w:tc>
      </w:tr>
    </w:tbl>
    <w:p w14:paraId="5F522746" w14:textId="1A5F1563" w:rsidR="00AF0843" w:rsidRPr="005554ED" w:rsidRDefault="00AF0843" w:rsidP="00694F50">
      <w:pPr>
        <w:ind w:firstLine="0"/>
        <w:rPr>
          <w:color w:val="000000" w:themeColor="text1"/>
        </w:rPr>
      </w:pPr>
      <w:r w:rsidRPr="005554ED">
        <w:rPr>
          <w:i/>
          <w:iCs/>
          <w:color w:val="000000" w:themeColor="text1"/>
          <w:sz w:val="20"/>
          <w:szCs w:val="20"/>
        </w:rPr>
        <w:t>Note.</w:t>
      </w:r>
      <w:r w:rsidRPr="005554ED">
        <w:rPr>
          <w:color w:val="000000" w:themeColor="text1"/>
          <w:sz w:val="20"/>
          <w:szCs w:val="20"/>
        </w:rPr>
        <w:t xml:space="preserve"> Age (</w:t>
      </w:r>
      <w:r w:rsidRPr="005554ED">
        <w:rPr>
          <w:i/>
          <w:iCs/>
          <w:color w:val="000000" w:themeColor="text1"/>
          <w:sz w:val="20"/>
          <w:szCs w:val="20"/>
        </w:rPr>
        <w:t>SD</w:t>
      </w:r>
      <w:r w:rsidRPr="005554ED">
        <w:rPr>
          <w:color w:val="000000" w:themeColor="text1"/>
          <w:sz w:val="20"/>
          <w:szCs w:val="20"/>
        </w:rPr>
        <w:t>) was coded as a continuous variable.</w:t>
      </w:r>
    </w:p>
    <w:bookmarkEnd w:id="53"/>
    <w:bookmarkEnd w:id="54"/>
    <w:p w14:paraId="641EB621" w14:textId="77777777" w:rsidR="00AF0843" w:rsidRPr="005554ED" w:rsidRDefault="00AF0843" w:rsidP="00AF0843">
      <w:pPr>
        <w:rPr>
          <w:color w:val="000000" w:themeColor="text1"/>
        </w:rPr>
      </w:pPr>
    </w:p>
    <w:p w14:paraId="30202085" w14:textId="41FAF9B7" w:rsidR="00716BFA" w:rsidRPr="005554ED" w:rsidRDefault="00716BFA" w:rsidP="00716BFA">
      <w:pPr>
        <w:pStyle w:val="NoSpacing"/>
        <w:rPr>
          <w:color w:val="000000" w:themeColor="text1"/>
        </w:rPr>
      </w:pPr>
      <w:bookmarkStart w:id="59" w:name="OLE_LINK261"/>
      <w:bookmarkStart w:id="60" w:name="OLE_LINK262"/>
      <w:bookmarkEnd w:id="45"/>
      <w:bookmarkEnd w:id="46"/>
      <w:r w:rsidRPr="005554ED">
        <w:rPr>
          <w:color w:val="000000" w:themeColor="text1"/>
        </w:rPr>
        <w:t>Table S11</w:t>
      </w:r>
    </w:p>
    <w:p w14:paraId="5B8C672E" w14:textId="57EA3DD0" w:rsidR="00716BFA" w:rsidRPr="005554ED" w:rsidRDefault="00716BFA" w:rsidP="00716BFA">
      <w:pPr>
        <w:pStyle w:val="NoSpacing"/>
        <w:rPr>
          <w:color w:val="000000" w:themeColor="text1"/>
        </w:rPr>
      </w:pPr>
      <w:bookmarkStart w:id="61" w:name="OLE_LINK255"/>
      <w:bookmarkStart w:id="62" w:name="OLE_LINK256"/>
      <w:bookmarkStart w:id="63" w:name="OLE_LINK259"/>
      <w:bookmarkStart w:id="64" w:name="OLE_LINK260"/>
      <w:bookmarkEnd w:id="59"/>
      <w:bookmarkEnd w:id="60"/>
      <w:r w:rsidRPr="005554ED">
        <w:rPr>
          <w:i/>
          <w:iCs/>
          <w:color w:val="000000" w:themeColor="text1"/>
        </w:rPr>
        <w:t>Population growth (at national level)</w:t>
      </w:r>
      <w:bookmarkEnd w:id="61"/>
      <w:bookmarkEnd w:id="62"/>
      <w:r w:rsidRPr="005554ED">
        <w:rPr>
          <w:i/>
          <w:iCs/>
          <w:color w:val="000000" w:themeColor="text1"/>
        </w:rPr>
        <w:t xml:space="preserve"> as potential moderator of changes in loneliness over historical time</w:t>
      </w:r>
    </w:p>
    <w:tbl>
      <w:tblPr>
        <w:tblStyle w:val="APAReport"/>
        <w:tblW w:w="0" w:type="auto"/>
        <w:tblLook w:val="04A0" w:firstRow="1" w:lastRow="0" w:firstColumn="1" w:lastColumn="0" w:noHBand="0" w:noVBand="1"/>
      </w:tblPr>
      <w:tblGrid>
        <w:gridCol w:w="3369"/>
        <w:gridCol w:w="1466"/>
        <w:gridCol w:w="1177"/>
        <w:gridCol w:w="1159"/>
      </w:tblGrid>
      <w:tr w:rsidR="005554ED" w:rsidRPr="005554ED" w14:paraId="5EB27F8E" w14:textId="77777777" w:rsidTr="00484660">
        <w:trPr>
          <w:cnfStyle w:val="100000000000" w:firstRow="1" w:lastRow="0" w:firstColumn="0" w:lastColumn="0" w:oddVBand="0" w:evenVBand="0" w:oddHBand="0" w:evenHBand="0" w:firstRowFirstColumn="0" w:firstRowLastColumn="0" w:lastRowFirstColumn="0" w:lastRowLastColumn="0"/>
        </w:trPr>
        <w:tc>
          <w:tcPr>
            <w:tcW w:w="3369" w:type="dxa"/>
          </w:tcPr>
          <w:p w14:paraId="345F39E3" w14:textId="77777777" w:rsidR="00716BFA" w:rsidRPr="005554ED" w:rsidRDefault="00716BFA" w:rsidP="00484660">
            <w:pPr>
              <w:rPr>
                <w:rFonts w:asciiTheme="minorHAnsi" w:hAnsiTheme="minorHAnsi" w:cstheme="minorHAnsi"/>
                <w:color w:val="000000" w:themeColor="text1"/>
              </w:rPr>
            </w:pPr>
          </w:p>
        </w:tc>
        <w:tc>
          <w:tcPr>
            <w:tcW w:w="1466" w:type="dxa"/>
          </w:tcPr>
          <w:p w14:paraId="443C7BB4" w14:textId="77777777" w:rsidR="00716BFA" w:rsidRPr="005554ED" w:rsidRDefault="00716BFA"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Estimate</w:t>
            </w:r>
          </w:p>
        </w:tc>
        <w:tc>
          <w:tcPr>
            <w:tcW w:w="2336" w:type="dxa"/>
            <w:gridSpan w:val="2"/>
          </w:tcPr>
          <w:p w14:paraId="5F6271BE" w14:textId="77777777" w:rsidR="00716BFA" w:rsidRPr="005554ED" w:rsidRDefault="00716BFA" w:rsidP="00484660">
            <w:pPr>
              <w:jc w:val="center"/>
              <w:rPr>
                <w:rFonts w:asciiTheme="minorHAnsi" w:hAnsiTheme="minorHAnsi" w:cstheme="minorHAnsi"/>
                <w:color w:val="000000" w:themeColor="text1"/>
              </w:rPr>
            </w:pPr>
            <w:r w:rsidRPr="005554ED">
              <w:rPr>
                <w:rFonts w:asciiTheme="minorHAnsi" w:hAnsiTheme="minorHAnsi" w:cstheme="minorHAnsi"/>
                <w:color w:val="000000" w:themeColor="text1"/>
              </w:rPr>
              <w:t>95% CI</w:t>
            </w:r>
          </w:p>
        </w:tc>
      </w:tr>
      <w:tr w:rsidR="005554ED" w:rsidRPr="005554ED" w14:paraId="6ED119FB" w14:textId="77777777" w:rsidTr="00484660">
        <w:tc>
          <w:tcPr>
            <w:tcW w:w="3369" w:type="dxa"/>
            <w:vAlign w:val="bottom"/>
          </w:tcPr>
          <w:p w14:paraId="00D45C42" w14:textId="77777777" w:rsidR="00C4480F" w:rsidRPr="005554ED" w:rsidRDefault="00C4480F" w:rsidP="00C4480F">
            <w:pPr>
              <w:rPr>
                <w:rFonts w:asciiTheme="minorHAnsi" w:hAnsiTheme="minorHAnsi" w:cstheme="minorHAnsi"/>
                <w:color w:val="000000" w:themeColor="text1"/>
              </w:rPr>
            </w:pPr>
            <w:r w:rsidRPr="005554ED">
              <w:rPr>
                <w:rFonts w:asciiTheme="minorHAnsi" w:hAnsiTheme="minorHAnsi" w:cstheme="minorHAnsi"/>
                <w:color w:val="000000" w:themeColor="text1"/>
              </w:rPr>
              <w:t>Intercept</w:t>
            </w:r>
          </w:p>
        </w:tc>
        <w:tc>
          <w:tcPr>
            <w:tcW w:w="1466" w:type="dxa"/>
            <w:vAlign w:val="bottom"/>
          </w:tcPr>
          <w:p w14:paraId="6DE3F224" w14:textId="3B4C2092"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33.929</w:t>
            </w:r>
          </w:p>
        </w:tc>
        <w:tc>
          <w:tcPr>
            <w:tcW w:w="1177" w:type="dxa"/>
            <w:vAlign w:val="bottom"/>
          </w:tcPr>
          <w:p w14:paraId="5CCD48B0" w14:textId="41DB6F41"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[32.705;</w:t>
            </w:r>
          </w:p>
        </w:tc>
        <w:tc>
          <w:tcPr>
            <w:tcW w:w="1159" w:type="dxa"/>
            <w:vAlign w:val="bottom"/>
          </w:tcPr>
          <w:p w14:paraId="4A6A65D3" w14:textId="53593D0E"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35.153]</w:t>
            </w:r>
          </w:p>
        </w:tc>
      </w:tr>
      <w:tr w:rsidR="005554ED" w:rsidRPr="005554ED" w14:paraId="39B81D39" w14:textId="77777777" w:rsidTr="00484660">
        <w:tc>
          <w:tcPr>
            <w:tcW w:w="3369" w:type="dxa"/>
            <w:vAlign w:val="bottom"/>
          </w:tcPr>
          <w:p w14:paraId="66DE9337" w14:textId="77777777" w:rsidR="00C4480F" w:rsidRPr="005554ED" w:rsidRDefault="00C4480F" w:rsidP="00C4480F">
            <w:pPr>
              <w:rPr>
                <w:rFonts w:asciiTheme="minorHAnsi" w:hAnsiTheme="minorHAnsi" w:cstheme="minorHAnsi"/>
                <w:color w:val="000000" w:themeColor="text1"/>
              </w:rPr>
            </w:pPr>
            <w:r w:rsidRPr="005554ED">
              <w:rPr>
                <w:rFonts w:asciiTheme="minorHAnsi" w:hAnsiTheme="minorHAnsi" w:cstheme="minorHAnsi"/>
                <w:color w:val="000000" w:themeColor="text1"/>
              </w:rPr>
              <w:t xml:space="preserve">Year of data collection </w:t>
            </w:r>
          </w:p>
        </w:tc>
        <w:tc>
          <w:tcPr>
            <w:tcW w:w="1466" w:type="dxa"/>
            <w:vAlign w:val="bottom"/>
          </w:tcPr>
          <w:p w14:paraId="03C28784" w14:textId="7DA9E482"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0.240</w:t>
            </w:r>
          </w:p>
        </w:tc>
        <w:tc>
          <w:tcPr>
            <w:tcW w:w="1177" w:type="dxa"/>
            <w:vAlign w:val="bottom"/>
          </w:tcPr>
          <w:p w14:paraId="58D580F5" w14:textId="7A968FB5"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[0.133;</w:t>
            </w:r>
          </w:p>
        </w:tc>
        <w:tc>
          <w:tcPr>
            <w:tcW w:w="1159" w:type="dxa"/>
            <w:vAlign w:val="bottom"/>
          </w:tcPr>
          <w:p w14:paraId="11C12514" w14:textId="040BAB11"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0.346]</w:t>
            </w:r>
          </w:p>
        </w:tc>
      </w:tr>
      <w:tr w:rsidR="005554ED" w:rsidRPr="005554ED" w14:paraId="7577E28B" w14:textId="77777777" w:rsidTr="00484660">
        <w:tc>
          <w:tcPr>
            <w:tcW w:w="3369" w:type="dxa"/>
            <w:vAlign w:val="bottom"/>
          </w:tcPr>
          <w:p w14:paraId="6745ECF2" w14:textId="071B5D5F" w:rsidR="00C4480F" w:rsidRPr="005554ED" w:rsidRDefault="00C4480F" w:rsidP="00C4480F">
            <w:pPr>
              <w:rPr>
                <w:rFonts w:asciiTheme="minorHAnsi" w:hAnsiTheme="minorHAnsi" w:cstheme="minorHAnsi"/>
                <w:color w:val="000000" w:themeColor="text1"/>
              </w:rPr>
            </w:pPr>
            <w:bookmarkStart w:id="65" w:name="OLE_LINK269"/>
            <w:bookmarkStart w:id="66" w:name="OLE_LINK270"/>
            <w:r w:rsidRPr="005554ED">
              <w:rPr>
                <w:color w:val="000000" w:themeColor="text1"/>
              </w:rPr>
              <w:t>Population growth</w:t>
            </w:r>
            <w:bookmarkEnd w:id="65"/>
            <w:bookmarkEnd w:id="66"/>
          </w:p>
        </w:tc>
        <w:tc>
          <w:tcPr>
            <w:tcW w:w="1466" w:type="dxa"/>
            <w:vAlign w:val="bottom"/>
          </w:tcPr>
          <w:p w14:paraId="009FE692" w14:textId="148E6608"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-2.136</w:t>
            </w:r>
          </w:p>
        </w:tc>
        <w:tc>
          <w:tcPr>
            <w:tcW w:w="1177" w:type="dxa"/>
            <w:vAlign w:val="bottom"/>
          </w:tcPr>
          <w:p w14:paraId="115D1CAC" w14:textId="5D3772FB"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[-7.601;</w:t>
            </w:r>
          </w:p>
        </w:tc>
        <w:tc>
          <w:tcPr>
            <w:tcW w:w="1159" w:type="dxa"/>
            <w:vAlign w:val="bottom"/>
          </w:tcPr>
          <w:p w14:paraId="3C21BDB7" w14:textId="29E75C06"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3.328]</w:t>
            </w:r>
          </w:p>
        </w:tc>
      </w:tr>
      <w:tr w:rsidR="005554ED" w:rsidRPr="005554ED" w14:paraId="7EAE3875" w14:textId="77777777" w:rsidTr="00484660">
        <w:tc>
          <w:tcPr>
            <w:tcW w:w="3369" w:type="dxa"/>
            <w:vAlign w:val="bottom"/>
          </w:tcPr>
          <w:p w14:paraId="133AD48D" w14:textId="6C8BBF9F" w:rsidR="00C4480F" w:rsidRPr="005554ED" w:rsidRDefault="00C4480F" w:rsidP="00C4480F">
            <w:pPr>
              <w:rPr>
                <w:rFonts w:asciiTheme="minorHAnsi" w:hAnsiTheme="minorHAnsi" w:cstheme="minorHAnsi"/>
                <w:color w:val="000000" w:themeColor="text1"/>
              </w:rPr>
            </w:pPr>
            <w:r w:rsidRPr="005554ED">
              <w:rPr>
                <w:rFonts w:asciiTheme="minorHAnsi" w:hAnsiTheme="minorHAnsi" w:cstheme="minorHAnsi"/>
                <w:color w:val="000000" w:themeColor="text1"/>
              </w:rPr>
              <w:t>Year of data collection * p</w:t>
            </w:r>
            <w:r w:rsidRPr="005554ED">
              <w:rPr>
                <w:color w:val="000000" w:themeColor="text1"/>
              </w:rPr>
              <w:t>opulation growth</w:t>
            </w:r>
          </w:p>
        </w:tc>
        <w:tc>
          <w:tcPr>
            <w:tcW w:w="1466" w:type="dxa"/>
            <w:vAlign w:val="bottom"/>
          </w:tcPr>
          <w:p w14:paraId="52F8E7FC" w14:textId="4F7677A6"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-0.238</w:t>
            </w:r>
          </w:p>
        </w:tc>
        <w:tc>
          <w:tcPr>
            <w:tcW w:w="1177" w:type="dxa"/>
            <w:vAlign w:val="bottom"/>
          </w:tcPr>
          <w:p w14:paraId="31E88251" w14:textId="344CDD99"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[-0.752;</w:t>
            </w:r>
          </w:p>
        </w:tc>
        <w:tc>
          <w:tcPr>
            <w:tcW w:w="1159" w:type="dxa"/>
            <w:vAlign w:val="bottom"/>
          </w:tcPr>
          <w:p w14:paraId="3FDC3A1D" w14:textId="769F2E21"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0.276]</w:t>
            </w:r>
          </w:p>
        </w:tc>
      </w:tr>
    </w:tbl>
    <w:p w14:paraId="184F6F16" w14:textId="6C9A3B96" w:rsidR="00716BFA" w:rsidRPr="005554ED" w:rsidRDefault="00716BFA" w:rsidP="00694F50">
      <w:pPr>
        <w:ind w:firstLine="0"/>
        <w:rPr>
          <w:rStyle w:val="Hyperlink"/>
          <w:color w:val="000000" w:themeColor="text1"/>
          <w:sz w:val="20"/>
          <w:szCs w:val="20"/>
          <w:u w:val="none"/>
        </w:rPr>
      </w:pPr>
      <w:r w:rsidRPr="005554ED">
        <w:rPr>
          <w:i/>
          <w:iCs/>
          <w:color w:val="000000" w:themeColor="text1"/>
          <w:sz w:val="20"/>
          <w:szCs w:val="20"/>
        </w:rPr>
        <w:t>Note.</w:t>
      </w:r>
      <w:r w:rsidRPr="005554ED">
        <w:rPr>
          <w:color w:val="000000" w:themeColor="text1"/>
          <w:sz w:val="20"/>
          <w:szCs w:val="20"/>
        </w:rPr>
        <w:t xml:space="preserve"> The </w:t>
      </w:r>
      <w:bookmarkStart w:id="67" w:name="OLE_LINK267"/>
      <w:bookmarkStart w:id="68" w:name="OLE_LINK268"/>
      <w:r w:rsidRPr="005554ED">
        <w:rPr>
          <w:color w:val="000000" w:themeColor="text1"/>
          <w:sz w:val="20"/>
          <w:szCs w:val="20"/>
        </w:rPr>
        <w:t xml:space="preserve">population growth </w:t>
      </w:r>
      <w:bookmarkEnd w:id="67"/>
      <w:bookmarkEnd w:id="68"/>
      <w:r w:rsidRPr="005554ED">
        <w:rPr>
          <w:color w:val="000000" w:themeColor="text1"/>
          <w:sz w:val="20"/>
          <w:szCs w:val="20"/>
        </w:rPr>
        <w:t xml:space="preserve">at national level was taken from </w:t>
      </w:r>
      <w:hyperlink r:id="rId13" w:history="1">
        <w:r w:rsidRPr="005554ED">
          <w:rPr>
            <w:rStyle w:val="Hyperlink"/>
            <w:color w:val="000000" w:themeColor="text1"/>
            <w:sz w:val="20"/>
            <w:szCs w:val="20"/>
          </w:rPr>
          <w:t>https://www.gapminder.org/data/</w:t>
        </w:r>
      </w:hyperlink>
      <w:r w:rsidR="00694F50" w:rsidRPr="005554ED">
        <w:rPr>
          <w:rStyle w:val="Hyperlink"/>
          <w:color w:val="000000" w:themeColor="text1"/>
          <w:sz w:val="20"/>
          <w:szCs w:val="20"/>
        </w:rPr>
        <w:t>.</w:t>
      </w:r>
      <w:r w:rsidR="00694F50" w:rsidRPr="005554ED">
        <w:rPr>
          <w:rStyle w:val="Hyperlink"/>
          <w:color w:val="000000" w:themeColor="text1"/>
          <w:sz w:val="20"/>
          <w:szCs w:val="20"/>
          <w:u w:val="none"/>
        </w:rPr>
        <w:t xml:space="preserve"> </w:t>
      </w:r>
      <w:bookmarkStart w:id="69" w:name="OLE_LINK273"/>
      <w:bookmarkStart w:id="70" w:name="OLE_LINK274"/>
      <w:r w:rsidR="00694F50" w:rsidRPr="005554ED">
        <w:rPr>
          <w:rStyle w:val="Hyperlink"/>
          <w:color w:val="000000" w:themeColor="text1"/>
          <w:sz w:val="20"/>
          <w:szCs w:val="20"/>
          <w:u w:val="none"/>
        </w:rPr>
        <w:t>We mean-centered the population growth within nations.</w:t>
      </w:r>
      <w:bookmarkEnd w:id="69"/>
      <w:bookmarkEnd w:id="70"/>
    </w:p>
    <w:p w14:paraId="1E094A14" w14:textId="09506404" w:rsidR="00694F50" w:rsidRPr="005554ED" w:rsidRDefault="00694F50">
      <w:pPr>
        <w:rPr>
          <w:color w:val="000000" w:themeColor="text1"/>
        </w:rPr>
      </w:pPr>
      <w:r w:rsidRPr="005554ED">
        <w:rPr>
          <w:color w:val="000000" w:themeColor="text1"/>
        </w:rPr>
        <w:br w:type="page"/>
      </w:r>
    </w:p>
    <w:p w14:paraId="347A61D7" w14:textId="6C63E11D" w:rsidR="00694F50" w:rsidRPr="005554ED" w:rsidRDefault="00694F50" w:rsidP="00694F50">
      <w:pPr>
        <w:pStyle w:val="NoSpacing"/>
        <w:rPr>
          <w:color w:val="000000" w:themeColor="text1"/>
        </w:rPr>
      </w:pPr>
      <w:bookmarkStart w:id="71" w:name="OLE_LINK275"/>
      <w:bookmarkStart w:id="72" w:name="OLE_LINK276"/>
      <w:r w:rsidRPr="005554ED">
        <w:rPr>
          <w:color w:val="000000" w:themeColor="text1"/>
        </w:rPr>
        <w:lastRenderedPageBreak/>
        <w:t>Table S12</w:t>
      </w:r>
    </w:p>
    <w:p w14:paraId="06B2A3FB" w14:textId="6E5A61F6" w:rsidR="00694F50" w:rsidRPr="005554ED" w:rsidRDefault="00694F50" w:rsidP="00694F50">
      <w:pPr>
        <w:pStyle w:val="NoSpacing"/>
        <w:rPr>
          <w:i/>
          <w:iCs/>
          <w:color w:val="000000" w:themeColor="text1"/>
        </w:rPr>
      </w:pPr>
      <w:bookmarkStart w:id="73" w:name="OLE_LINK265"/>
      <w:bookmarkStart w:id="74" w:name="OLE_LINK266"/>
      <w:r w:rsidRPr="005554ED">
        <w:rPr>
          <w:i/>
          <w:iCs/>
          <w:color w:val="000000" w:themeColor="text1"/>
        </w:rPr>
        <w:t>Percent of the urban population</w:t>
      </w:r>
      <w:bookmarkEnd w:id="73"/>
      <w:bookmarkEnd w:id="74"/>
      <w:r w:rsidRPr="005554ED">
        <w:rPr>
          <w:i/>
          <w:iCs/>
          <w:color w:val="000000" w:themeColor="text1"/>
        </w:rPr>
        <w:t xml:space="preserve"> (at national level) as potential moderator of changes in loneliness over historical time</w:t>
      </w:r>
    </w:p>
    <w:tbl>
      <w:tblPr>
        <w:tblStyle w:val="APAReport"/>
        <w:tblW w:w="0" w:type="auto"/>
        <w:tblLook w:val="04A0" w:firstRow="1" w:lastRow="0" w:firstColumn="1" w:lastColumn="0" w:noHBand="0" w:noVBand="1"/>
      </w:tblPr>
      <w:tblGrid>
        <w:gridCol w:w="3369"/>
        <w:gridCol w:w="1466"/>
        <w:gridCol w:w="1177"/>
        <w:gridCol w:w="1159"/>
      </w:tblGrid>
      <w:tr w:rsidR="005554ED" w:rsidRPr="005554ED" w14:paraId="77643471" w14:textId="77777777" w:rsidTr="00484660">
        <w:trPr>
          <w:cnfStyle w:val="100000000000" w:firstRow="1" w:lastRow="0" w:firstColumn="0" w:lastColumn="0" w:oddVBand="0" w:evenVBand="0" w:oddHBand="0" w:evenHBand="0" w:firstRowFirstColumn="0" w:firstRowLastColumn="0" w:lastRowFirstColumn="0" w:lastRowLastColumn="0"/>
        </w:trPr>
        <w:tc>
          <w:tcPr>
            <w:tcW w:w="3369" w:type="dxa"/>
          </w:tcPr>
          <w:p w14:paraId="0E498B8F" w14:textId="77777777" w:rsidR="00694F50" w:rsidRPr="005554ED" w:rsidRDefault="00694F50" w:rsidP="00484660">
            <w:pPr>
              <w:rPr>
                <w:rFonts w:asciiTheme="minorHAnsi" w:hAnsiTheme="minorHAnsi" w:cstheme="minorHAnsi"/>
                <w:color w:val="000000" w:themeColor="text1"/>
              </w:rPr>
            </w:pPr>
          </w:p>
        </w:tc>
        <w:tc>
          <w:tcPr>
            <w:tcW w:w="1466" w:type="dxa"/>
          </w:tcPr>
          <w:p w14:paraId="367BA958" w14:textId="77777777" w:rsidR="00694F50" w:rsidRPr="005554ED" w:rsidRDefault="00694F5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Estimate</w:t>
            </w:r>
          </w:p>
        </w:tc>
        <w:tc>
          <w:tcPr>
            <w:tcW w:w="2336" w:type="dxa"/>
            <w:gridSpan w:val="2"/>
          </w:tcPr>
          <w:p w14:paraId="411C57E1" w14:textId="77777777" w:rsidR="00694F50" w:rsidRPr="005554ED" w:rsidRDefault="00694F50" w:rsidP="00484660">
            <w:pPr>
              <w:jc w:val="center"/>
              <w:rPr>
                <w:rFonts w:asciiTheme="minorHAnsi" w:hAnsiTheme="minorHAnsi" w:cstheme="minorHAnsi"/>
                <w:color w:val="000000" w:themeColor="text1"/>
              </w:rPr>
            </w:pPr>
            <w:r w:rsidRPr="005554ED">
              <w:rPr>
                <w:rFonts w:asciiTheme="minorHAnsi" w:hAnsiTheme="minorHAnsi" w:cstheme="minorHAnsi"/>
                <w:color w:val="000000" w:themeColor="text1"/>
              </w:rPr>
              <w:t>95% CI</w:t>
            </w:r>
          </w:p>
        </w:tc>
      </w:tr>
      <w:tr w:rsidR="005554ED" w:rsidRPr="005554ED" w14:paraId="0BABAB7A" w14:textId="77777777" w:rsidTr="00484660">
        <w:tc>
          <w:tcPr>
            <w:tcW w:w="3369" w:type="dxa"/>
            <w:vAlign w:val="bottom"/>
          </w:tcPr>
          <w:p w14:paraId="5A3CCDDB" w14:textId="77777777" w:rsidR="00C4480F" w:rsidRPr="005554ED" w:rsidRDefault="00C4480F" w:rsidP="00C4480F">
            <w:pPr>
              <w:rPr>
                <w:rFonts w:asciiTheme="minorHAnsi" w:hAnsiTheme="minorHAnsi" w:cstheme="minorHAnsi"/>
                <w:color w:val="000000" w:themeColor="text1"/>
              </w:rPr>
            </w:pPr>
            <w:r w:rsidRPr="005554ED">
              <w:rPr>
                <w:rFonts w:asciiTheme="minorHAnsi" w:hAnsiTheme="minorHAnsi" w:cstheme="minorHAnsi"/>
                <w:color w:val="000000" w:themeColor="text1"/>
              </w:rPr>
              <w:t>Intercept</w:t>
            </w:r>
          </w:p>
        </w:tc>
        <w:tc>
          <w:tcPr>
            <w:tcW w:w="1466" w:type="dxa"/>
            <w:vAlign w:val="bottom"/>
          </w:tcPr>
          <w:p w14:paraId="69B23FAB" w14:textId="740475D0"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33.682</w:t>
            </w:r>
          </w:p>
        </w:tc>
        <w:tc>
          <w:tcPr>
            <w:tcW w:w="1177" w:type="dxa"/>
            <w:vAlign w:val="bottom"/>
          </w:tcPr>
          <w:p w14:paraId="76417FA6" w14:textId="3345464D"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[32.273;</w:t>
            </w:r>
          </w:p>
        </w:tc>
        <w:tc>
          <w:tcPr>
            <w:tcW w:w="1159" w:type="dxa"/>
            <w:vAlign w:val="bottom"/>
          </w:tcPr>
          <w:p w14:paraId="49CAFF29" w14:textId="2D56BD94"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35.091]</w:t>
            </w:r>
          </w:p>
        </w:tc>
      </w:tr>
      <w:tr w:rsidR="005554ED" w:rsidRPr="005554ED" w14:paraId="23BCB9F7" w14:textId="77777777" w:rsidTr="00484660">
        <w:tc>
          <w:tcPr>
            <w:tcW w:w="3369" w:type="dxa"/>
            <w:vAlign w:val="bottom"/>
          </w:tcPr>
          <w:p w14:paraId="53DE2A28" w14:textId="77777777" w:rsidR="00C4480F" w:rsidRPr="005554ED" w:rsidRDefault="00C4480F" w:rsidP="00C4480F">
            <w:pPr>
              <w:rPr>
                <w:rFonts w:asciiTheme="minorHAnsi" w:hAnsiTheme="minorHAnsi" w:cstheme="minorHAnsi"/>
                <w:color w:val="000000" w:themeColor="text1"/>
              </w:rPr>
            </w:pPr>
            <w:r w:rsidRPr="005554ED">
              <w:rPr>
                <w:rFonts w:asciiTheme="minorHAnsi" w:hAnsiTheme="minorHAnsi" w:cstheme="minorHAnsi"/>
                <w:color w:val="000000" w:themeColor="text1"/>
              </w:rPr>
              <w:t xml:space="preserve">Year of data collection </w:t>
            </w:r>
          </w:p>
        </w:tc>
        <w:tc>
          <w:tcPr>
            <w:tcW w:w="1466" w:type="dxa"/>
            <w:vAlign w:val="bottom"/>
          </w:tcPr>
          <w:p w14:paraId="0D041B46" w14:textId="4D71742A"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0.310</w:t>
            </w:r>
          </w:p>
        </w:tc>
        <w:tc>
          <w:tcPr>
            <w:tcW w:w="1177" w:type="dxa"/>
            <w:vAlign w:val="bottom"/>
          </w:tcPr>
          <w:p w14:paraId="7196FEA1" w14:textId="65AE1094"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[0.124;</w:t>
            </w:r>
          </w:p>
        </w:tc>
        <w:tc>
          <w:tcPr>
            <w:tcW w:w="1159" w:type="dxa"/>
            <w:vAlign w:val="bottom"/>
          </w:tcPr>
          <w:p w14:paraId="48B35B27" w14:textId="755BB932"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0.496]</w:t>
            </w:r>
          </w:p>
        </w:tc>
      </w:tr>
      <w:tr w:rsidR="005554ED" w:rsidRPr="005554ED" w14:paraId="2CA78ABA" w14:textId="77777777" w:rsidTr="00484660">
        <w:tc>
          <w:tcPr>
            <w:tcW w:w="3369" w:type="dxa"/>
            <w:vAlign w:val="bottom"/>
          </w:tcPr>
          <w:p w14:paraId="1A37078F" w14:textId="3A0269AC" w:rsidR="00C4480F" w:rsidRPr="005554ED" w:rsidRDefault="00C4480F" w:rsidP="00C4480F">
            <w:pPr>
              <w:rPr>
                <w:rFonts w:asciiTheme="minorHAnsi" w:hAnsiTheme="minorHAnsi" w:cstheme="minorHAnsi"/>
                <w:color w:val="000000" w:themeColor="text1"/>
              </w:rPr>
            </w:pPr>
            <w:r w:rsidRPr="005554ED">
              <w:rPr>
                <w:rFonts w:asciiTheme="minorHAnsi" w:hAnsiTheme="minorHAnsi" w:cstheme="minorHAnsi"/>
                <w:color w:val="000000" w:themeColor="text1"/>
              </w:rPr>
              <w:t>Urban population</w:t>
            </w:r>
          </w:p>
        </w:tc>
        <w:tc>
          <w:tcPr>
            <w:tcW w:w="1466" w:type="dxa"/>
            <w:vAlign w:val="bottom"/>
          </w:tcPr>
          <w:p w14:paraId="4C29AFB9" w14:textId="5FA0717B"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-3.361</w:t>
            </w:r>
          </w:p>
        </w:tc>
        <w:tc>
          <w:tcPr>
            <w:tcW w:w="1177" w:type="dxa"/>
            <w:vAlign w:val="bottom"/>
          </w:tcPr>
          <w:p w14:paraId="76471D93" w14:textId="73685245"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[-75.002;</w:t>
            </w:r>
          </w:p>
        </w:tc>
        <w:tc>
          <w:tcPr>
            <w:tcW w:w="1159" w:type="dxa"/>
            <w:vAlign w:val="bottom"/>
          </w:tcPr>
          <w:p w14:paraId="21469AA6" w14:textId="35EEA845"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68.281]</w:t>
            </w:r>
          </w:p>
        </w:tc>
      </w:tr>
      <w:tr w:rsidR="005554ED" w:rsidRPr="005554ED" w14:paraId="1AFEEEFD" w14:textId="77777777" w:rsidTr="00484660">
        <w:tc>
          <w:tcPr>
            <w:tcW w:w="3369" w:type="dxa"/>
            <w:vAlign w:val="bottom"/>
          </w:tcPr>
          <w:p w14:paraId="3281D2CB" w14:textId="2FB32DE7" w:rsidR="00C4480F" w:rsidRPr="005554ED" w:rsidRDefault="00C4480F" w:rsidP="00C4480F">
            <w:pPr>
              <w:rPr>
                <w:rFonts w:asciiTheme="minorHAnsi" w:hAnsiTheme="minorHAnsi" w:cstheme="minorHAnsi"/>
                <w:color w:val="000000" w:themeColor="text1"/>
              </w:rPr>
            </w:pPr>
            <w:r w:rsidRPr="005554ED">
              <w:rPr>
                <w:rFonts w:asciiTheme="minorHAnsi" w:hAnsiTheme="minorHAnsi" w:cstheme="minorHAnsi"/>
                <w:color w:val="000000" w:themeColor="text1"/>
              </w:rPr>
              <w:t>Year of data collection * urban population</w:t>
            </w:r>
          </w:p>
        </w:tc>
        <w:tc>
          <w:tcPr>
            <w:tcW w:w="1466" w:type="dxa"/>
            <w:vAlign w:val="bottom"/>
          </w:tcPr>
          <w:p w14:paraId="39808BB1" w14:textId="444023CF"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2.440</w:t>
            </w:r>
          </w:p>
        </w:tc>
        <w:tc>
          <w:tcPr>
            <w:tcW w:w="1177" w:type="dxa"/>
            <w:vAlign w:val="bottom"/>
          </w:tcPr>
          <w:p w14:paraId="137BC5E4" w14:textId="0B1CA5DE"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[-1.156;</w:t>
            </w:r>
          </w:p>
        </w:tc>
        <w:tc>
          <w:tcPr>
            <w:tcW w:w="1159" w:type="dxa"/>
            <w:vAlign w:val="bottom"/>
          </w:tcPr>
          <w:p w14:paraId="0E638556" w14:textId="48BDB878"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6.036]</w:t>
            </w:r>
          </w:p>
        </w:tc>
      </w:tr>
    </w:tbl>
    <w:p w14:paraId="6B29F56F" w14:textId="2DEE00E8" w:rsidR="008F0121" w:rsidRPr="005554ED" w:rsidRDefault="00694F50" w:rsidP="00694F50">
      <w:pPr>
        <w:ind w:firstLine="0"/>
        <w:rPr>
          <w:rStyle w:val="Hyperlink"/>
          <w:color w:val="000000" w:themeColor="text1"/>
          <w:sz w:val="20"/>
          <w:szCs w:val="20"/>
          <w:u w:val="none"/>
        </w:rPr>
      </w:pPr>
      <w:r w:rsidRPr="005554ED">
        <w:rPr>
          <w:i/>
          <w:iCs/>
          <w:color w:val="000000" w:themeColor="text1"/>
          <w:sz w:val="20"/>
          <w:szCs w:val="20"/>
        </w:rPr>
        <w:t>Note.</w:t>
      </w:r>
      <w:r w:rsidRPr="005554ED">
        <w:rPr>
          <w:color w:val="000000" w:themeColor="text1"/>
          <w:sz w:val="20"/>
          <w:szCs w:val="20"/>
        </w:rPr>
        <w:t xml:space="preserve"> The percent of the urban population at national level was taken from </w:t>
      </w:r>
      <w:hyperlink r:id="rId14" w:history="1">
        <w:r w:rsidRPr="005554ED">
          <w:rPr>
            <w:rStyle w:val="Hyperlink"/>
            <w:color w:val="000000" w:themeColor="text1"/>
            <w:sz w:val="20"/>
            <w:szCs w:val="20"/>
          </w:rPr>
          <w:t>https://www.gapminder.org/data/</w:t>
        </w:r>
      </w:hyperlink>
      <w:r w:rsidRPr="005554ED">
        <w:rPr>
          <w:rStyle w:val="Hyperlink"/>
          <w:color w:val="000000" w:themeColor="text1"/>
          <w:sz w:val="20"/>
          <w:szCs w:val="20"/>
        </w:rPr>
        <w:t>.</w:t>
      </w:r>
      <w:bookmarkEnd w:id="63"/>
      <w:bookmarkEnd w:id="64"/>
      <w:r w:rsidRPr="005554ED">
        <w:rPr>
          <w:rStyle w:val="Hyperlink"/>
          <w:color w:val="000000" w:themeColor="text1"/>
          <w:sz w:val="20"/>
          <w:szCs w:val="20"/>
        </w:rPr>
        <w:t xml:space="preserve"> </w:t>
      </w:r>
      <w:r w:rsidRPr="005554ED">
        <w:rPr>
          <w:rStyle w:val="Hyperlink"/>
          <w:color w:val="000000" w:themeColor="text1"/>
          <w:sz w:val="20"/>
          <w:szCs w:val="20"/>
          <w:u w:val="none"/>
        </w:rPr>
        <w:t>We mean-centered the percent of urban population within nations.</w:t>
      </w:r>
    </w:p>
    <w:p w14:paraId="1EA59A4D" w14:textId="77777777" w:rsidR="00694F50" w:rsidRPr="005554ED" w:rsidRDefault="00694F50" w:rsidP="00694F50">
      <w:pPr>
        <w:rPr>
          <w:rStyle w:val="Hyperlink"/>
          <w:color w:val="000000" w:themeColor="text1"/>
          <w:u w:val="none"/>
        </w:rPr>
      </w:pPr>
    </w:p>
    <w:p w14:paraId="27359366" w14:textId="40A5A66A" w:rsidR="00694F50" w:rsidRPr="005554ED" w:rsidRDefault="00694F50" w:rsidP="00694F50">
      <w:pPr>
        <w:pStyle w:val="NoSpacing"/>
        <w:rPr>
          <w:color w:val="000000" w:themeColor="text1"/>
        </w:rPr>
      </w:pPr>
      <w:r w:rsidRPr="005554ED">
        <w:rPr>
          <w:color w:val="000000" w:themeColor="text1"/>
        </w:rPr>
        <w:t>Table S13</w:t>
      </w:r>
    </w:p>
    <w:p w14:paraId="4D647D75" w14:textId="541CC8B4" w:rsidR="00694F50" w:rsidRPr="005554ED" w:rsidRDefault="00694F50" w:rsidP="00694F50">
      <w:pPr>
        <w:pStyle w:val="NoSpacing"/>
        <w:rPr>
          <w:i/>
          <w:iCs/>
          <w:color w:val="000000" w:themeColor="text1"/>
        </w:rPr>
      </w:pPr>
      <w:r w:rsidRPr="005554ED">
        <w:rPr>
          <w:i/>
          <w:iCs/>
          <w:color w:val="000000" w:themeColor="text1"/>
        </w:rPr>
        <w:t>Gini index (at national level) as potential moderator of changes in loneliness over historical time</w:t>
      </w:r>
    </w:p>
    <w:tbl>
      <w:tblPr>
        <w:tblStyle w:val="APAReport"/>
        <w:tblW w:w="0" w:type="auto"/>
        <w:tblLook w:val="04A0" w:firstRow="1" w:lastRow="0" w:firstColumn="1" w:lastColumn="0" w:noHBand="0" w:noVBand="1"/>
      </w:tblPr>
      <w:tblGrid>
        <w:gridCol w:w="3369"/>
        <w:gridCol w:w="1466"/>
        <w:gridCol w:w="1177"/>
        <w:gridCol w:w="1159"/>
      </w:tblGrid>
      <w:tr w:rsidR="005554ED" w:rsidRPr="005554ED" w14:paraId="1DB85E67" w14:textId="77777777" w:rsidTr="00484660">
        <w:trPr>
          <w:cnfStyle w:val="100000000000" w:firstRow="1" w:lastRow="0" w:firstColumn="0" w:lastColumn="0" w:oddVBand="0" w:evenVBand="0" w:oddHBand="0" w:evenHBand="0" w:firstRowFirstColumn="0" w:firstRowLastColumn="0" w:lastRowFirstColumn="0" w:lastRowLastColumn="0"/>
        </w:trPr>
        <w:tc>
          <w:tcPr>
            <w:tcW w:w="3369" w:type="dxa"/>
          </w:tcPr>
          <w:p w14:paraId="232DBD55" w14:textId="77777777" w:rsidR="00694F50" w:rsidRPr="005554ED" w:rsidRDefault="00694F50" w:rsidP="00484660">
            <w:pPr>
              <w:rPr>
                <w:rFonts w:asciiTheme="minorHAnsi" w:hAnsiTheme="minorHAnsi" w:cstheme="minorHAnsi"/>
                <w:color w:val="000000" w:themeColor="text1"/>
              </w:rPr>
            </w:pPr>
          </w:p>
        </w:tc>
        <w:tc>
          <w:tcPr>
            <w:tcW w:w="1466" w:type="dxa"/>
          </w:tcPr>
          <w:p w14:paraId="2CC538D3" w14:textId="77777777" w:rsidR="00694F50" w:rsidRPr="005554ED" w:rsidRDefault="00694F50" w:rsidP="00484660">
            <w:pPr>
              <w:rPr>
                <w:rFonts w:asciiTheme="minorHAnsi" w:hAnsiTheme="minorHAnsi" w:cstheme="minorHAnsi"/>
                <w:color w:val="000000" w:themeColor="text1"/>
              </w:rPr>
            </w:pPr>
            <w:r w:rsidRPr="005554ED">
              <w:rPr>
                <w:rFonts w:asciiTheme="minorHAnsi" w:hAnsiTheme="minorHAnsi" w:cstheme="minorHAnsi"/>
                <w:color w:val="000000" w:themeColor="text1"/>
              </w:rPr>
              <w:t>Estimate</w:t>
            </w:r>
          </w:p>
        </w:tc>
        <w:tc>
          <w:tcPr>
            <w:tcW w:w="2336" w:type="dxa"/>
            <w:gridSpan w:val="2"/>
          </w:tcPr>
          <w:p w14:paraId="2521D36A" w14:textId="77777777" w:rsidR="00694F50" w:rsidRPr="005554ED" w:rsidRDefault="00694F50" w:rsidP="00484660">
            <w:pPr>
              <w:jc w:val="center"/>
              <w:rPr>
                <w:rFonts w:asciiTheme="minorHAnsi" w:hAnsiTheme="minorHAnsi" w:cstheme="minorHAnsi"/>
                <w:color w:val="000000" w:themeColor="text1"/>
              </w:rPr>
            </w:pPr>
            <w:r w:rsidRPr="005554ED">
              <w:rPr>
                <w:rFonts w:asciiTheme="minorHAnsi" w:hAnsiTheme="minorHAnsi" w:cstheme="minorHAnsi"/>
                <w:color w:val="000000" w:themeColor="text1"/>
              </w:rPr>
              <w:t>95% CI</w:t>
            </w:r>
          </w:p>
        </w:tc>
      </w:tr>
      <w:tr w:rsidR="005554ED" w:rsidRPr="005554ED" w14:paraId="3F260A93" w14:textId="77777777" w:rsidTr="00484660">
        <w:tc>
          <w:tcPr>
            <w:tcW w:w="3369" w:type="dxa"/>
            <w:vAlign w:val="bottom"/>
          </w:tcPr>
          <w:p w14:paraId="450A678A" w14:textId="77777777" w:rsidR="00C4480F" w:rsidRPr="005554ED" w:rsidRDefault="00C4480F" w:rsidP="00C4480F">
            <w:pPr>
              <w:rPr>
                <w:rFonts w:asciiTheme="minorHAnsi" w:hAnsiTheme="minorHAnsi" w:cstheme="minorHAnsi"/>
                <w:color w:val="000000" w:themeColor="text1"/>
              </w:rPr>
            </w:pPr>
            <w:r w:rsidRPr="005554ED">
              <w:rPr>
                <w:rFonts w:asciiTheme="minorHAnsi" w:hAnsiTheme="minorHAnsi" w:cstheme="minorHAnsi"/>
                <w:color w:val="000000" w:themeColor="text1"/>
              </w:rPr>
              <w:t>Intercept</w:t>
            </w:r>
          </w:p>
        </w:tc>
        <w:tc>
          <w:tcPr>
            <w:tcW w:w="1466" w:type="dxa"/>
            <w:vAlign w:val="bottom"/>
          </w:tcPr>
          <w:p w14:paraId="3B32F5F8" w14:textId="6AFC65DF"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33.075</w:t>
            </w:r>
          </w:p>
        </w:tc>
        <w:tc>
          <w:tcPr>
            <w:tcW w:w="1177" w:type="dxa"/>
            <w:vAlign w:val="bottom"/>
          </w:tcPr>
          <w:p w14:paraId="2D1306F5" w14:textId="0FDE03C0"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[31.051;</w:t>
            </w:r>
          </w:p>
        </w:tc>
        <w:tc>
          <w:tcPr>
            <w:tcW w:w="1159" w:type="dxa"/>
            <w:vAlign w:val="bottom"/>
          </w:tcPr>
          <w:p w14:paraId="4DFEB301" w14:textId="3AAC9DDD"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35.099]</w:t>
            </w:r>
          </w:p>
        </w:tc>
      </w:tr>
      <w:tr w:rsidR="005554ED" w:rsidRPr="005554ED" w14:paraId="142C92F0" w14:textId="77777777" w:rsidTr="00484660">
        <w:tc>
          <w:tcPr>
            <w:tcW w:w="3369" w:type="dxa"/>
            <w:vAlign w:val="bottom"/>
          </w:tcPr>
          <w:p w14:paraId="317081BE" w14:textId="77777777" w:rsidR="00C4480F" w:rsidRPr="005554ED" w:rsidRDefault="00C4480F" w:rsidP="00C4480F">
            <w:pPr>
              <w:rPr>
                <w:rFonts w:asciiTheme="minorHAnsi" w:hAnsiTheme="minorHAnsi" w:cstheme="minorHAnsi"/>
                <w:color w:val="000000" w:themeColor="text1"/>
              </w:rPr>
            </w:pPr>
            <w:r w:rsidRPr="005554ED">
              <w:rPr>
                <w:rFonts w:asciiTheme="minorHAnsi" w:hAnsiTheme="minorHAnsi" w:cstheme="minorHAnsi"/>
                <w:color w:val="000000" w:themeColor="text1"/>
              </w:rPr>
              <w:t xml:space="preserve">Year of data collection </w:t>
            </w:r>
          </w:p>
        </w:tc>
        <w:tc>
          <w:tcPr>
            <w:tcW w:w="1466" w:type="dxa"/>
            <w:vAlign w:val="bottom"/>
          </w:tcPr>
          <w:p w14:paraId="442E35C8" w14:textId="73526B4B"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0.402</w:t>
            </w:r>
          </w:p>
        </w:tc>
        <w:tc>
          <w:tcPr>
            <w:tcW w:w="1177" w:type="dxa"/>
            <w:vAlign w:val="bottom"/>
          </w:tcPr>
          <w:p w14:paraId="3BD218BE" w14:textId="42F798D2"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[0.099;</w:t>
            </w:r>
          </w:p>
        </w:tc>
        <w:tc>
          <w:tcPr>
            <w:tcW w:w="1159" w:type="dxa"/>
            <w:vAlign w:val="bottom"/>
          </w:tcPr>
          <w:p w14:paraId="060BF7C2" w14:textId="56EA3AAB"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0.704]</w:t>
            </w:r>
          </w:p>
        </w:tc>
      </w:tr>
      <w:tr w:rsidR="005554ED" w:rsidRPr="005554ED" w14:paraId="32F94071" w14:textId="77777777" w:rsidTr="00484660">
        <w:tc>
          <w:tcPr>
            <w:tcW w:w="3369" w:type="dxa"/>
            <w:vAlign w:val="bottom"/>
          </w:tcPr>
          <w:p w14:paraId="0D0DC347" w14:textId="7B6C3BB5" w:rsidR="00C4480F" w:rsidRPr="005554ED" w:rsidRDefault="00C4480F" w:rsidP="00C4480F">
            <w:pPr>
              <w:rPr>
                <w:rFonts w:asciiTheme="minorHAnsi" w:hAnsiTheme="minorHAnsi" w:cstheme="minorHAnsi"/>
                <w:color w:val="000000" w:themeColor="text1"/>
              </w:rPr>
            </w:pPr>
            <w:r w:rsidRPr="005554ED">
              <w:rPr>
                <w:rFonts w:asciiTheme="minorHAnsi" w:hAnsiTheme="minorHAnsi" w:cstheme="minorHAnsi"/>
                <w:color w:val="000000" w:themeColor="text1"/>
              </w:rPr>
              <w:t>Gini index</w:t>
            </w:r>
          </w:p>
        </w:tc>
        <w:tc>
          <w:tcPr>
            <w:tcW w:w="1466" w:type="dxa"/>
            <w:vAlign w:val="bottom"/>
          </w:tcPr>
          <w:p w14:paraId="64093636" w14:textId="1E09577B"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-0.267</w:t>
            </w:r>
          </w:p>
        </w:tc>
        <w:tc>
          <w:tcPr>
            <w:tcW w:w="1177" w:type="dxa"/>
            <w:vAlign w:val="bottom"/>
          </w:tcPr>
          <w:p w14:paraId="50719107" w14:textId="7CC72878"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[-1.967;</w:t>
            </w:r>
          </w:p>
        </w:tc>
        <w:tc>
          <w:tcPr>
            <w:tcW w:w="1159" w:type="dxa"/>
            <w:vAlign w:val="bottom"/>
          </w:tcPr>
          <w:p w14:paraId="2FD5AA76" w14:textId="68E26BDA"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1.432]</w:t>
            </w:r>
          </w:p>
        </w:tc>
      </w:tr>
      <w:tr w:rsidR="005554ED" w:rsidRPr="005554ED" w14:paraId="1E4F3C64" w14:textId="77777777" w:rsidTr="00484660">
        <w:tc>
          <w:tcPr>
            <w:tcW w:w="3369" w:type="dxa"/>
            <w:vAlign w:val="bottom"/>
          </w:tcPr>
          <w:p w14:paraId="1F2A0525" w14:textId="15EF3D69" w:rsidR="00C4480F" w:rsidRPr="005554ED" w:rsidRDefault="00C4480F" w:rsidP="00C4480F">
            <w:pPr>
              <w:rPr>
                <w:rFonts w:asciiTheme="minorHAnsi" w:hAnsiTheme="minorHAnsi" w:cstheme="minorHAnsi"/>
                <w:color w:val="000000" w:themeColor="text1"/>
              </w:rPr>
            </w:pPr>
            <w:r w:rsidRPr="005554ED">
              <w:rPr>
                <w:rFonts w:asciiTheme="minorHAnsi" w:hAnsiTheme="minorHAnsi" w:cstheme="minorHAnsi"/>
                <w:color w:val="000000" w:themeColor="text1"/>
              </w:rPr>
              <w:t>Year of data collection * Gini index</w:t>
            </w:r>
          </w:p>
        </w:tc>
        <w:tc>
          <w:tcPr>
            <w:tcW w:w="1466" w:type="dxa"/>
            <w:vAlign w:val="bottom"/>
          </w:tcPr>
          <w:p w14:paraId="2A142AF8" w14:textId="1830CFDF"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0.052</w:t>
            </w:r>
          </w:p>
        </w:tc>
        <w:tc>
          <w:tcPr>
            <w:tcW w:w="1177" w:type="dxa"/>
            <w:vAlign w:val="bottom"/>
          </w:tcPr>
          <w:p w14:paraId="62C12D5B" w14:textId="4AD34195"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[-0.090;</w:t>
            </w:r>
          </w:p>
        </w:tc>
        <w:tc>
          <w:tcPr>
            <w:tcW w:w="1159" w:type="dxa"/>
            <w:vAlign w:val="bottom"/>
          </w:tcPr>
          <w:p w14:paraId="27F5DDEB" w14:textId="66C44F47" w:rsidR="00C4480F" w:rsidRPr="005554ED" w:rsidRDefault="00C4480F" w:rsidP="00C4480F">
            <w:pPr>
              <w:jc w:val="right"/>
              <w:rPr>
                <w:rFonts w:asciiTheme="minorHAnsi" w:hAnsiTheme="minorHAnsi" w:cstheme="minorHAnsi"/>
                <w:color w:val="000000" w:themeColor="text1"/>
              </w:rPr>
            </w:pPr>
            <w:r w:rsidRPr="005554ED">
              <w:rPr>
                <w:rFonts w:asciiTheme="minorHAnsi" w:hAnsiTheme="minorHAnsi" w:cstheme="minorHAnsi"/>
                <w:color w:val="000000" w:themeColor="text1"/>
              </w:rPr>
              <w:t>0.195]</w:t>
            </w:r>
          </w:p>
        </w:tc>
      </w:tr>
    </w:tbl>
    <w:p w14:paraId="7BB694F5" w14:textId="65E373B9" w:rsidR="00694F50" w:rsidRPr="005554ED" w:rsidRDefault="00694F50" w:rsidP="00694F50">
      <w:pPr>
        <w:ind w:firstLine="0"/>
        <w:rPr>
          <w:color w:val="000000" w:themeColor="text1"/>
          <w:sz w:val="20"/>
          <w:szCs w:val="20"/>
        </w:rPr>
      </w:pPr>
      <w:r w:rsidRPr="005554ED">
        <w:rPr>
          <w:i/>
          <w:iCs/>
          <w:color w:val="000000" w:themeColor="text1"/>
          <w:sz w:val="20"/>
          <w:szCs w:val="20"/>
        </w:rPr>
        <w:t>Note.</w:t>
      </w:r>
      <w:r w:rsidRPr="005554ED">
        <w:rPr>
          <w:color w:val="000000" w:themeColor="text1"/>
          <w:sz w:val="20"/>
          <w:szCs w:val="20"/>
        </w:rPr>
        <w:t xml:space="preserve"> The Gini index at national level was taken from </w:t>
      </w:r>
      <w:hyperlink r:id="rId15" w:history="1">
        <w:r w:rsidRPr="005554ED">
          <w:rPr>
            <w:rStyle w:val="Hyperlink"/>
            <w:color w:val="000000" w:themeColor="text1"/>
            <w:sz w:val="20"/>
            <w:szCs w:val="20"/>
          </w:rPr>
          <w:t>https://www.gapminder.org/data/</w:t>
        </w:r>
      </w:hyperlink>
      <w:r w:rsidRPr="005554ED">
        <w:rPr>
          <w:rStyle w:val="Hyperlink"/>
          <w:color w:val="000000" w:themeColor="text1"/>
          <w:sz w:val="20"/>
          <w:szCs w:val="20"/>
        </w:rPr>
        <w:t xml:space="preserve">. </w:t>
      </w:r>
      <w:r w:rsidRPr="005554ED">
        <w:rPr>
          <w:rStyle w:val="Hyperlink"/>
          <w:color w:val="000000" w:themeColor="text1"/>
          <w:sz w:val="20"/>
          <w:szCs w:val="20"/>
          <w:u w:val="none"/>
        </w:rPr>
        <w:t>We mean-centered the Gini index within nations.</w:t>
      </w:r>
    </w:p>
    <w:bookmarkEnd w:id="71"/>
    <w:bookmarkEnd w:id="72"/>
    <w:p w14:paraId="3292C39B" w14:textId="1F7BCB10" w:rsidR="00E7687B" w:rsidRPr="005554ED" w:rsidRDefault="00E7687B">
      <w:pPr>
        <w:rPr>
          <w:b/>
          <w:bCs/>
          <w:color w:val="000000" w:themeColor="text1"/>
        </w:rPr>
      </w:pPr>
      <w:r w:rsidRPr="005554ED">
        <w:rPr>
          <w:color w:val="000000" w:themeColor="text1"/>
        </w:rPr>
        <w:br w:type="page"/>
      </w:r>
    </w:p>
    <w:p w14:paraId="607453A9" w14:textId="25045738" w:rsidR="00120996" w:rsidRPr="005554ED" w:rsidRDefault="00120996" w:rsidP="00120996">
      <w:pPr>
        <w:pStyle w:val="Heading2"/>
        <w:rPr>
          <w:color w:val="000000" w:themeColor="text1"/>
        </w:rPr>
      </w:pPr>
      <w:r w:rsidRPr="005554ED">
        <w:rPr>
          <w:color w:val="000000" w:themeColor="text1"/>
        </w:rPr>
        <w:lastRenderedPageBreak/>
        <w:t xml:space="preserve">Reference list of included </w:t>
      </w:r>
      <w:r w:rsidR="00B76713" w:rsidRPr="005554ED">
        <w:rPr>
          <w:color w:val="000000" w:themeColor="text1"/>
        </w:rPr>
        <w:t>studies</w:t>
      </w:r>
      <w:r w:rsidR="0020229A" w:rsidRPr="005554ED">
        <w:rPr>
          <w:color w:val="000000" w:themeColor="text1"/>
        </w:rPr>
        <w:t xml:space="preserve"> (</w:t>
      </w:r>
      <w:r w:rsidR="0020229A" w:rsidRPr="005554ED">
        <w:rPr>
          <w:i/>
          <w:iCs/>
          <w:color w:val="000000" w:themeColor="text1"/>
        </w:rPr>
        <w:t>k</w:t>
      </w:r>
      <w:r w:rsidR="0020229A" w:rsidRPr="005554ED">
        <w:rPr>
          <w:color w:val="000000" w:themeColor="text1"/>
        </w:rPr>
        <w:t xml:space="preserve"> = 343)</w:t>
      </w:r>
    </w:p>
    <w:p w14:paraId="6CA1E79F" w14:textId="77777777" w:rsidR="00B76713" w:rsidRPr="005554ED" w:rsidRDefault="00B76713" w:rsidP="00B76713">
      <w:pPr>
        <w:pStyle w:val="Bibliography"/>
        <w:rPr>
          <w:color w:val="000000" w:themeColor="text1"/>
        </w:rPr>
      </w:pPr>
      <w:r w:rsidRPr="005554ED">
        <w:rPr>
          <w:color w:val="000000" w:themeColor="text1"/>
          <w:lang w:val="de-DE"/>
        </w:rPr>
        <w:t xml:space="preserve">Allen, J. J., &amp; Anderson, C. A. (2018). </w:t>
      </w:r>
      <w:r w:rsidRPr="005554ED">
        <w:rPr>
          <w:color w:val="000000" w:themeColor="text1"/>
        </w:rPr>
        <w:t xml:space="preserve">Satisfaction and frustration of basic psychological needs in the real world and in video games predict internet gaming disorder scores and well-being. </w:t>
      </w:r>
      <w:r w:rsidRPr="005554ED">
        <w:rPr>
          <w:i/>
          <w:iCs/>
          <w:color w:val="000000" w:themeColor="text1"/>
        </w:rPr>
        <w:t>Computers in Human Behavior</w:t>
      </w:r>
      <w:r w:rsidRPr="005554ED">
        <w:rPr>
          <w:color w:val="000000" w:themeColor="text1"/>
        </w:rPr>
        <w:t xml:space="preserve">, </w:t>
      </w:r>
      <w:r w:rsidRPr="005554ED">
        <w:rPr>
          <w:i/>
          <w:iCs/>
          <w:color w:val="000000" w:themeColor="text1"/>
        </w:rPr>
        <w:t>84</w:t>
      </w:r>
      <w:r w:rsidRPr="005554ED">
        <w:rPr>
          <w:color w:val="000000" w:themeColor="text1"/>
        </w:rPr>
        <w:t xml:space="preserve">, 220–229. </w:t>
      </w:r>
      <w:hyperlink r:id="rId16" w:history="1">
        <w:r w:rsidRPr="005554ED">
          <w:rPr>
            <w:rStyle w:val="Hyperlink"/>
            <w:rFonts w:eastAsia="Arial"/>
            <w:color w:val="000000" w:themeColor="text1"/>
          </w:rPr>
          <w:t>https://doi.org/10.1016/j.chb.2018.02.034</w:t>
        </w:r>
      </w:hyperlink>
    </w:p>
    <w:p w14:paraId="1A3FBA9F" w14:textId="77777777" w:rsidR="00B76713" w:rsidRPr="005554ED" w:rsidRDefault="00B76713" w:rsidP="00B76713">
      <w:pPr>
        <w:pStyle w:val="Bibliography"/>
        <w:rPr>
          <w:color w:val="000000" w:themeColor="text1"/>
        </w:rPr>
      </w:pPr>
      <w:r w:rsidRPr="005554ED">
        <w:rPr>
          <w:color w:val="000000" w:themeColor="text1"/>
        </w:rPr>
        <w:t xml:space="preserve">Ames, M. E., Pratt, M. W., </w:t>
      </w:r>
      <w:proofErr w:type="spellStart"/>
      <w:r w:rsidRPr="005554ED">
        <w:rPr>
          <w:color w:val="000000" w:themeColor="text1"/>
        </w:rPr>
        <w:t>Pancer</w:t>
      </w:r>
      <w:proofErr w:type="spellEnd"/>
      <w:r w:rsidRPr="005554ED">
        <w:rPr>
          <w:color w:val="000000" w:themeColor="text1"/>
        </w:rPr>
        <w:t xml:space="preserve">, S. M., </w:t>
      </w:r>
      <w:proofErr w:type="spellStart"/>
      <w:r w:rsidRPr="005554ED">
        <w:rPr>
          <w:color w:val="000000" w:themeColor="text1"/>
        </w:rPr>
        <w:t>Wintre</w:t>
      </w:r>
      <w:proofErr w:type="spellEnd"/>
      <w:r w:rsidRPr="005554ED">
        <w:rPr>
          <w:color w:val="000000" w:themeColor="text1"/>
        </w:rPr>
        <w:t xml:space="preserve">, M. G., </w:t>
      </w:r>
      <w:proofErr w:type="spellStart"/>
      <w:r w:rsidRPr="005554ED">
        <w:rPr>
          <w:color w:val="000000" w:themeColor="text1"/>
        </w:rPr>
        <w:t>Polivy</w:t>
      </w:r>
      <w:proofErr w:type="spellEnd"/>
      <w:r w:rsidRPr="005554ED">
        <w:rPr>
          <w:color w:val="000000" w:themeColor="text1"/>
        </w:rPr>
        <w:t xml:space="preserve">, J., </w:t>
      </w:r>
      <w:proofErr w:type="spellStart"/>
      <w:r w:rsidRPr="005554ED">
        <w:rPr>
          <w:color w:val="000000" w:themeColor="text1"/>
        </w:rPr>
        <w:t>Birnie-Lefcovitch</w:t>
      </w:r>
      <w:proofErr w:type="spellEnd"/>
      <w:r w:rsidRPr="005554ED">
        <w:rPr>
          <w:color w:val="000000" w:themeColor="text1"/>
        </w:rPr>
        <w:t xml:space="preserve">, S., &amp; Adams, G. (2011). The moderating effects of attachment style on students’ experience of a transition to university group facilitation program. </w:t>
      </w:r>
      <w:r w:rsidRPr="006A16A9">
        <w:rPr>
          <w:i/>
          <w:iCs/>
          <w:color w:val="000000" w:themeColor="text1"/>
        </w:rPr>
        <w:t xml:space="preserve">Canadian Journal of </w:t>
      </w:r>
      <w:proofErr w:type="spellStart"/>
      <w:r w:rsidRPr="006A16A9">
        <w:rPr>
          <w:i/>
          <w:iCs/>
          <w:color w:val="000000" w:themeColor="text1"/>
        </w:rPr>
        <w:t>Behavioural</w:t>
      </w:r>
      <w:proofErr w:type="spellEnd"/>
      <w:r w:rsidRPr="006A16A9">
        <w:rPr>
          <w:i/>
          <w:iCs/>
          <w:color w:val="000000" w:themeColor="text1"/>
        </w:rPr>
        <w:t xml:space="preserve"> Science/Revue Canadienne Des Sciences Du Comportement</w:t>
      </w:r>
      <w:r w:rsidRPr="006A16A9">
        <w:rPr>
          <w:color w:val="000000" w:themeColor="text1"/>
        </w:rPr>
        <w:t xml:space="preserve">, </w:t>
      </w:r>
      <w:r w:rsidRPr="006A16A9">
        <w:rPr>
          <w:i/>
          <w:iCs/>
          <w:color w:val="000000" w:themeColor="text1"/>
        </w:rPr>
        <w:t>43</w:t>
      </w:r>
      <w:r w:rsidRPr="006A16A9">
        <w:rPr>
          <w:color w:val="000000" w:themeColor="text1"/>
        </w:rPr>
        <w:t xml:space="preserve">(1), 1–12. </w:t>
      </w:r>
      <w:hyperlink r:id="rId17" w:history="1">
        <w:r w:rsidRPr="005554ED">
          <w:rPr>
            <w:rStyle w:val="Hyperlink"/>
            <w:rFonts w:eastAsia="Arial"/>
            <w:color w:val="000000" w:themeColor="text1"/>
          </w:rPr>
          <w:t>https://doi.org/10.1037/a0020648</w:t>
        </w:r>
      </w:hyperlink>
    </w:p>
    <w:p w14:paraId="19E722FB" w14:textId="77777777" w:rsidR="00B76713" w:rsidRPr="005554ED" w:rsidRDefault="00B76713" w:rsidP="00B76713">
      <w:pPr>
        <w:pStyle w:val="Bibliography"/>
        <w:rPr>
          <w:color w:val="000000" w:themeColor="text1"/>
        </w:rPr>
      </w:pPr>
      <w:r w:rsidRPr="005554ED">
        <w:rPr>
          <w:color w:val="000000" w:themeColor="text1"/>
        </w:rPr>
        <w:t xml:space="preserve">Anderson, C. A. (1999). Attributional style, depression, and loneliness: A cross-cultural comparison of American and Chinese students. </w:t>
      </w:r>
      <w:r w:rsidRPr="005554ED">
        <w:rPr>
          <w:i/>
          <w:iCs/>
          <w:color w:val="000000" w:themeColor="text1"/>
        </w:rPr>
        <w:t>Personality and Social Psychology Bulletin</w:t>
      </w:r>
      <w:r w:rsidRPr="005554ED">
        <w:rPr>
          <w:color w:val="000000" w:themeColor="text1"/>
        </w:rPr>
        <w:t xml:space="preserve">, </w:t>
      </w:r>
      <w:r w:rsidRPr="005554ED">
        <w:rPr>
          <w:i/>
          <w:iCs/>
          <w:color w:val="000000" w:themeColor="text1"/>
        </w:rPr>
        <w:t>25</w:t>
      </w:r>
      <w:r w:rsidRPr="005554ED">
        <w:rPr>
          <w:color w:val="000000" w:themeColor="text1"/>
        </w:rPr>
        <w:t xml:space="preserve">(4), 482–499. </w:t>
      </w:r>
      <w:hyperlink r:id="rId18" w:history="1">
        <w:r w:rsidRPr="005554ED">
          <w:rPr>
            <w:rStyle w:val="Hyperlink"/>
            <w:rFonts w:eastAsia="Arial"/>
            <w:color w:val="000000" w:themeColor="text1"/>
          </w:rPr>
          <w:t>https://doi.org/10.1177/0146167299025004007</w:t>
        </w:r>
      </w:hyperlink>
    </w:p>
    <w:p w14:paraId="5335BA05" w14:textId="77777777" w:rsidR="00B76713" w:rsidRPr="006A16A9" w:rsidRDefault="00B76713" w:rsidP="00B76713">
      <w:pPr>
        <w:pStyle w:val="Bibliography"/>
        <w:rPr>
          <w:color w:val="000000" w:themeColor="text1"/>
        </w:rPr>
      </w:pPr>
      <w:r w:rsidRPr="005554ED">
        <w:rPr>
          <w:color w:val="000000" w:themeColor="text1"/>
        </w:rPr>
        <w:t xml:space="preserve">Anderson, C. A., &amp; Arnoult, L. H. (1985). Attributional style and everyday problems in living: Depression, loneliness, and shyness. </w:t>
      </w:r>
      <w:r w:rsidRPr="006A16A9">
        <w:rPr>
          <w:i/>
          <w:iCs/>
          <w:color w:val="000000" w:themeColor="text1"/>
        </w:rPr>
        <w:t>Social Cognition</w:t>
      </w:r>
      <w:r w:rsidRPr="006A16A9">
        <w:rPr>
          <w:color w:val="000000" w:themeColor="text1"/>
        </w:rPr>
        <w:t xml:space="preserve">, </w:t>
      </w:r>
      <w:r w:rsidRPr="006A16A9">
        <w:rPr>
          <w:i/>
          <w:iCs/>
          <w:color w:val="000000" w:themeColor="text1"/>
        </w:rPr>
        <w:t>3</w:t>
      </w:r>
      <w:r w:rsidRPr="006A16A9">
        <w:rPr>
          <w:color w:val="000000" w:themeColor="text1"/>
        </w:rPr>
        <w:t xml:space="preserve">(1), 16–35. </w:t>
      </w:r>
      <w:hyperlink r:id="rId19" w:history="1">
        <w:r w:rsidRPr="006A16A9">
          <w:rPr>
            <w:rStyle w:val="Hyperlink"/>
            <w:rFonts w:eastAsia="Arial"/>
            <w:color w:val="000000" w:themeColor="text1"/>
          </w:rPr>
          <w:t>https://doi.org/10.1521/soco.1985.3.1.16</w:t>
        </w:r>
      </w:hyperlink>
    </w:p>
    <w:p w14:paraId="4F2E2C8E" w14:textId="77777777" w:rsidR="00B76713" w:rsidRPr="005554ED" w:rsidRDefault="00B76713" w:rsidP="00B76713">
      <w:pPr>
        <w:pStyle w:val="Bibliography"/>
        <w:rPr>
          <w:color w:val="000000" w:themeColor="text1"/>
        </w:rPr>
      </w:pPr>
      <w:r w:rsidRPr="006A16A9">
        <w:rPr>
          <w:color w:val="000000" w:themeColor="text1"/>
        </w:rPr>
        <w:t xml:space="preserve">Anderson, C. A., &amp; </w:t>
      </w:r>
      <w:proofErr w:type="spellStart"/>
      <w:r w:rsidRPr="006A16A9">
        <w:rPr>
          <w:color w:val="000000" w:themeColor="text1"/>
        </w:rPr>
        <w:t>Riger</w:t>
      </w:r>
      <w:proofErr w:type="spellEnd"/>
      <w:r w:rsidRPr="006A16A9">
        <w:rPr>
          <w:color w:val="000000" w:themeColor="text1"/>
        </w:rPr>
        <w:t xml:space="preserve">, A. L. (1991). </w:t>
      </w:r>
      <w:r w:rsidRPr="005554ED">
        <w:rPr>
          <w:color w:val="000000" w:themeColor="text1"/>
        </w:rPr>
        <w:t xml:space="preserve">A controllability attributional model of problems in living: Dimensional and situational interactions in the prediction of depression and loneliness. </w:t>
      </w:r>
      <w:r w:rsidRPr="005554ED">
        <w:rPr>
          <w:i/>
          <w:iCs/>
          <w:color w:val="000000" w:themeColor="text1"/>
        </w:rPr>
        <w:t>Social Cognition</w:t>
      </w:r>
      <w:r w:rsidRPr="005554ED">
        <w:rPr>
          <w:color w:val="000000" w:themeColor="text1"/>
        </w:rPr>
        <w:t xml:space="preserve">, </w:t>
      </w:r>
      <w:r w:rsidRPr="005554ED">
        <w:rPr>
          <w:i/>
          <w:iCs/>
          <w:color w:val="000000" w:themeColor="text1"/>
        </w:rPr>
        <w:t>9</w:t>
      </w:r>
      <w:r w:rsidRPr="005554ED">
        <w:rPr>
          <w:color w:val="000000" w:themeColor="text1"/>
        </w:rPr>
        <w:t xml:space="preserve">(2), 149–181. </w:t>
      </w:r>
      <w:hyperlink r:id="rId20" w:history="1">
        <w:r w:rsidRPr="005554ED">
          <w:rPr>
            <w:rStyle w:val="Hyperlink"/>
            <w:rFonts w:eastAsia="Arial"/>
            <w:color w:val="000000" w:themeColor="text1"/>
          </w:rPr>
          <w:t>https://doi.org/10.1521/soco.1991.9.2.149</w:t>
        </w:r>
      </w:hyperlink>
    </w:p>
    <w:p w14:paraId="39701C27" w14:textId="77777777" w:rsidR="00B76713" w:rsidRPr="005554ED" w:rsidRDefault="00B76713" w:rsidP="00B76713">
      <w:pPr>
        <w:pStyle w:val="Bibliography"/>
        <w:rPr>
          <w:color w:val="000000" w:themeColor="text1"/>
        </w:rPr>
      </w:pPr>
      <w:r w:rsidRPr="005554ED">
        <w:rPr>
          <w:color w:val="000000" w:themeColor="text1"/>
        </w:rPr>
        <w:t xml:space="preserve">Ang, C.-S., </w:t>
      </w:r>
      <w:proofErr w:type="spellStart"/>
      <w:r w:rsidRPr="005554ED">
        <w:rPr>
          <w:color w:val="000000" w:themeColor="text1"/>
        </w:rPr>
        <w:t>Mansor</w:t>
      </w:r>
      <w:proofErr w:type="spellEnd"/>
      <w:r w:rsidRPr="005554ED">
        <w:rPr>
          <w:color w:val="000000" w:themeColor="text1"/>
        </w:rPr>
        <w:t xml:space="preserve">, A. T., &amp; Tan, K.-A. (2014). Pangs of loneliness breed material lifestyle but Don’t Power Up Life Satisfaction of young people: The moderating effect of gender. </w:t>
      </w:r>
      <w:r w:rsidRPr="005554ED">
        <w:rPr>
          <w:i/>
          <w:iCs/>
          <w:color w:val="000000" w:themeColor="text1"/>
        </w:rPr>
        <w:t>Social Indicators Research</w:t>
      </w:r>
      <w:r w:rsidRPr="005554ED">
        <w:rPr>
          <w:color w:val="000000" w:themeColor="text1"/>
        </w:rPr>
        <w:t xml:space="preserve">, </w:t>
      </w:r>
      <w:r w:rsidRPr="005554ED">
        <w:rPr>
          <w:i/>
          <w:iCs/>
          <w:color w:val="000000" w:themeColor="text1"/>
        </w:rPr>
        <w:t>117</w:t>
      </w:r>
      <w:r w:rsidRPr="005554ED">
        <w:rPr>
          <w:color w:val="000000" w:themeColor="text1"/>
        </w:rPr>
        <w:t xml:space="preserve">(2), 353–365. </w:t>
      </w:r>
      <w:hyperlink r:id="rId21" w:history="1">
        <w:r w:rsidRPr="005554ED">
          <w:rPr>
            <w:rStyle w:val="Hyperlink"/>
            <w:rFonts w:eastAsia="Arial"/>
            <w:color w:val="000000" w:themeColor="text1"/>
          </w:rPr>
          <w:t>https://doi.org/10.1007/s11205-013-0349-0</w:t>
        </w:r>
      </w:hyperlink>
    </w:p>
    <w:p w14:paraId="1CF4D278" w14:textId="77777777" w:rsidR="00B76713" w:rsidRPr="005554ED" w:rsidRDefault="00B76713" w:rsidP="00B76713">
      <w:pPr>
        <w:pStyle w:val="Bibliography"/>
        <w:rPr>
          <w:color w:val="000000" w:themeColor="text1"/>
        </w:rPr>
      </w:pPr>
      <w:proofErr w:type="spellStart"/>
      <w:r w:rsidRPr="005554ED">
        <w:rPr>
          <w:color w:val="000000" w:themeColor="text1"/>
        </w:rPr>
        <w:lastRenderedPageBreak/>
        <w:t>Asendorpf</w:t>
      </w:r>
      <w:proofErr w:type="spellEnd"/>
      <w:r w:rsidRPr="005554ED">
        <w:rPr>
          <w:color w:val="000000" w:themeColor="text1"/>
        </w:rPr>
        <w:t xml:space="preserve">, J. B., </w:t>
      </w:r>
      <w:proofErr w:type="spellStart"/>
      <w:r w:rsidRPr="005554ED">
        <w:rPr>
          <w:color w:val="000000" w:themeColor="text1"/>
        </w:rPr>
        <w:t>Borkenau</w:t>
      </w:r>
      <w:proofErr w:type="spellEnd"/>
      <w:r w:rsidRPr="005554ED">
        <w:rPr>
          <w:color w:val="000000" w:themeColor="text1"/>
        </w:rPr>
        <w:t xml:space="preserve">, P., Ostendorf, F., &amp; Van </w:t>
      </w:r>
      <w:proofErr w:type="spellStart"/>
      <w:r w:rsidRPr="005554ED">
        <w:rPr>
          <w:color w:val="000000" w:themeColor="text1"/>
        </w:rPr>
        <w:t>Aken</w:t>
      </w:r>
      <w:proofErr w:type="spellEnd"/>
      <w:r w:rsidRPr="005554ED">
        <w:rPr>
          <w:color w:val="000000" w:themeColor="text1"/>
        </w:rPr>
        <w:t xml:space="preserve">, M. A. G. (2001). Carving personality description at its joints: Confirmation of three replicable personality prototypes for both children and adults. </w:t>
      </w:r>
      <w:r w:rsidRPr="005554ED">
        <w:rPr>
          <w:i/>
          <w:iCs/>
          <w:color w:val="000000" w:themeColor="text1"/>
        </w:rPr>
        <w:t>European Journal of Personality</w:t>
      </w:r>
      <w:r w:rsidRPr="005554ED">
        <w:rPr>
          <w:color w:val="000000" w:themeColor="text1"/>
        </w:rPr>
        <w:t xml:space="preserve">, </w:t>
      </w:r>
      <w:r w:rsidRPr="005554ED">
        <w:rPr>
          <w:i/>
          <w:iCs/>
          <w:color w:val="000000" w:themeColor="text1"/>
        </w:rPr>
        <w:t>15</w:t>
      </w:r>
      <w:r w:rsidRPr="005554ED">
        <w:rPr>
          <w:color w:val="000000" w:themeColor="text1"/>
        </w:rPr>
        <w:t xml:space="preserve">(3), 169–198. </w:t>
      </w:r>
      <w:hyperlink r:id="rId22" w:history="1">
        <w:r w:rsidRPr="005554ED">
          <w:rPr>
            <w:rStyle w:val="Hyperlink"/>
            <w:rFonts w:eastAsia="Arial"/>
            <w:color w:val="000000" w:themeColor="text1"/>
          </w:rPr>
          <w:t>https://doi.org/10.1002/per.408</w:t>
        </w:r>
      </w:hyperlink>
    </w:p>
    <w:p w14:paraId="773B1850" w14:textId="77777777" w:rsidR="00B76713" w:rsidRPr="005554ED" w:rsidRDefault="00B76713" w:rsidP="00B76713">
      <w:pPr>
        <w:pStyle w:val="Bibliography"/>
        <w:rPr>
          <w:color w:val="000000" w:themeColor="text1"/>
        </w:rPr>
      </w:pPr>
      <w:proofErr w:type="spellStart"/>
      <w:r w:rsidRPr="005554ED">
        <w:rPr>
          <w:color w:val="000000" w:themeColor="text1"/>
        </w:rPr>
        <w:t>Atroszko</w:t>
      </w:r>
      <w:proofErr w:type="spellEnd"/>
      <w:r w:rsidRPr="005554ED">
        <w:rPr>
          <w:color w:val="000000" w:themeColor="text1"/>
        </w:rPr>
        <w:t xml:space="preserve">, P. A., </w:t>
      </w:r>
      <w:proofErr w:type="spellStart"/>
      <w:r w:rsidRPr="005554ED">
        <w:rPr>
          <w:color w:val="000000" w:themeColor="text1"/>
        </w:rPr>
        <w:t>Balcerowska</w:t>
      </w:r>
      <w:proofErr w:type="spellEnd"/>
      <w:r w:rsidRPr="005554ED">
        <w:rPr>
          <w:color w:val="000000" w:themeColor="text1"/>
        </w:rPr>
        <w:t xml:space="preserve">, J. M., </w:t>
      </w:r>
      <w:proofErr w:type="spellStart"/>
      <w:r w:rsidRPr="005554ED">
        <w:rPr>
          <w:color w:val="000000" w:themeColor="text1"/>
        </w:rPr>
        <w:t>Bereznowski</w:t>
      </w:r>
      <w:proofErr w:type="spellEnd"/>
      <w:r w:rsidRPr="005554ED">
        <w:rPr>
          <w:color w:val="000000" w:themeColor="text1"/>
        </w:rPr>
        <w:t xml:space="preserve">, P., </w:t>
      </w:r>
      <w:proofErr w:type="spellStart"/>
      <w:r w:rsidRPr="005554ED">
        <w:rPr>
          <w:color w:val="000000" w:themeColor="text1"/>
        </w:rPr>
        <w:t>Biernatowska</w:t>
      </w:r>
      <w:proofErr w:type="spellEnd"/>
      <w:r w:rsidRPr="005554ED">
        <w:rPr>
          <w:color w:val="000000" w:themeColor="text1"/>
        </w:rPr>
        <w:t xml:space="preserve">, A., </w:t>
      </w:r>
      <w:proofErr w:type="spellStart"/>
      <w:r w:rsidRPr="005554ED">
        <w:rPr>
          <w:color w:val="000000" w:themeColor="text1"/>
        </w:rPr>
        <w:t>Pallesen</w:t>
      </w:r>
      <w:proofErr w:type="spellEnd"/>
      <w:r w:rsidRPr="005554ED">
        <w:rPr>
          <w:color w:val="000000" w:themeColor="text1"/>
        </w:rPr>
        <w:t xml:space="preserve">, S., &amp; </w:t>
      </w:r>
      <w:proofErr w:type="spellStart"/>
      <w:r w:rsidRPr="005554ED">
        <w:rPr>
          <w:color w:val="000000" w:themeColor="text1"/>
        </w:rPr>
        <w:t>Schou</w:t>
      </w:r>
      <w:proofErr w:type="spellEnd"/>
      <w:r w:rsidRPr="005554ED">
        <w:rPr>
          <w:color w:val="000000" w:themeColor="text1"/>
        </w:rPr>
        <w:t xml:space="preserve"> </w:t>
      </w:r>
      <w:proofErr w:type="spellStart"/>
      <w:r w:rsidRPr="005554ED">
        <w:rPr>
          <w:color w:val="000000" w:themeColor="text1"/>
        </w:rPr>
        <w:t>Andreassen</w:t>
      </w:r>
      <w:proofErr w:type="spellEnd"/>
      <w:r w:rsidRPr="005554ED">
        <w:rPr>
          <w:color w:val="000000" w:themeColor="text1"/>
        </w:rPr>
        <w:t xml:space="preserve">, C. (2018). Facebook addiction among Polish undergraduate students: Validity of measurement and relationship with personality and well-being. </w:t>
      </w:r>
      <w:r w:rsidRPr="005554ED">
        <w:rPr>
          <w:i/>
          <w:iCs/>
          <w:color w:val="000000" w:themeColor="text1"/>
        </w:rPr>
        <w:t>Computers in Human Behavior</w:t>
      </w:r>
      <w:r w:rsidRPr="005554ED">
        <w:rPr>
          <w:color w:val="000000" w:themeColor="text1"/>
        </w:rPr>
        <w:t xml:space="preserve">, </w:t>
      </w:r>
      <w:r w:rsidRPr="005554ED">
        <w:rPr>
          <w:i/>
          <w:iCs/>
          <w:color w:val="000000" w:themeColor="text1"/>
        </w:rPr>
        <w:t>85</w:t>
      </w:r>
      <w:r w:rsidRPr="005554ED">
        <w:rPr>
          <w:color w:val="000000" w:themeColor="text1"/>
        </w:rPr>
        <w:t xml:space="preserve">, 329–338. </w:t>
      </w:r>
      <w:hyperlink r:id="rId23" w:history="1">
        <w:r w:rsidRPr="005554ED">
          <w:rPr>
            <w:rStyle w:val="Hyperlink"/>
            <w:rFonts w:eastAsia="Arial"/>
            <w:color w:val="000000" w:themeColor="text1"/>
          </w:rPr>
          <w:t>https://doi.org/10.1016/j.chb.2018.04.001</w:t>
        </w:r>
      </w:hyperlink>
    </w:p>
    <w:p w14:paraId="3120A349" w14:textId="77777777" w:rsidR="00B76713" w:rsidRPr="006A16A9" w:rsidRDefault="00B76713" w:rsidP="00B76713">
      <w:pPr>
        <w:pStyle w:val="Bibliography"/>
        <w:rPr>
          <w:color w:val="000000" w:themeColor="text1"/>
        </w:rPr>
      </w:pPr>
      <w:r w:rsidRPr="005554ED">
        <w:rPr>
          <w:color w:val="000000" w:themeColor="text1"/>
        </w:rPr>
        <w:t xml:space="preserve">Austin, B. A. (1983). Factorial structure of the UCLA Loneliness Scale. </w:t>
      </w:r>
      <w:r w:rsidRPr="006A16A9">
        <w:rPr>
          <w:i/>
          <w:iCs/>
          <w:color w:val="000000" w:themeColor="text1"/>
        </w:rPr>
        <w:t>Psychological Reports</w:t>
      </w:r>
      <w:r w:rsidRPr="006A16A9">
        <w:rPr>
          <w:color w:val="000000" w:themeColor="text1"/>
        </w:rPr>
        <w:t xml:space="preserve">, </w:t>
      </w:r>
      <w:r w:rsidRPr="006A16A9">
        <w:rPr>
          <w:i/>
          <w:iCs/>
          <w:color w:val="000000" w:themeColor="text1"/>
        </w:rPr>
        <w:t>53</w:t>
      </w:r>
      <w:r w:rsidRPr="006A16A9">
        <w:rPr>
          <w:color w:val="000000" w:themeColor="text1"/>
        </w:rPr>
        <w:t xml:space="preserve">(3 Pt 1), 883–889. </w:t>
      </w:r>
      <w:hyperlink r:id="rId24" w:history="1">
        <w:r w:rsidRPr="006A16A9">
          <w:rPr>
            <w:rStyle w:val="Hyperlink"/>
            <w:rFonts w:eastAsia="Arial"/>
            <w:color w:val="000000" w:themeColor="text1"/>
          </w:rPr>
          <w:t>https://doi.org/10.2466/pr0.1983.53.3.883</w:t>
        </w:r>
      </w:hyperlink>
    </w:p>
    <w:p w14:paraId="4C24E27D" w14:textId="77777777" w:rsidR="00B76713" w:rsidRPr="005554ED" w:rsidRDefault="00B76713" w:rsidP="00B76713">
      <w:pPr>
        <w:pStyle w:val="Bibliography"/>
        <w:rPr>
          <w:color w:val="000000" w:themeColor="text1"/>
        </w:rPr>
      </w:pPr>
      <w:r w:rsidRPr="006A16A9">
        <w:rPr>
          <w:color w:val="000000" w:themeColor="text1"/>
        </w:rPr>
        <w:t xml:space="preserve">Austin, B. A. (1985). </w:t>
      </w:r>
      <w:r w:rsidRPr="005554ED">
        <w:rPr>
          <w:color w:val="000000" w:themeColor="text1"/>
        </w:rPr>
        <w:t xml:space="preserve">Loneliness and use of six mass media among college students. </w:t>
      </w:r>
      <w:r w:rsidRPr="005554ED">
        <w:rPr>
          <w:i/>
          <w:iCs/>
          <w:color w:val="000000" w:themeColor="text1"/>
        </w:rPr>
        <w:t>Psychological Reports</w:t>
      </w:r>
      <w:r w:rsidRPr="005554ED">
        <w:rPr>
          <w:color w:val="000000" w:themeColor="text1"/>
        </w:rPr>
        <w:t xml:space="preserve">, </w:t>
      </w:r>
      <w:r w:rsidRPr="005554ED">
        <w:rPr>
          <w:i/>
          <w:iCs/>
          <w:color w:val="000000" w:themeColor="text1"/>
        </w:rPr>
        <w:t>56</w:t>
      </w:r>
      <w:r w:rsidRPr="005554ED">
        <w:rPr>
          <w:color w:val="000000" w:themeColor="text1"/>
        </w:rPr>
        <w:t xml:space="preserve">(1), 323–327. </w:t>
      </w:r>
      <w:hyperlink r:id="rId25" w:history="1">
        <w:r w:rsidRPr="005554ED">
          <w:rPr>
            <w:rStyle w:val="Hyperlink"/>
            <w:rFonts w:eastAsia="Arial"/>
            <w:color w:val="000000" w:themeColor="text1"/>
          </w:rPr>
          <w:t>https://doi.org/10.2466/pr0.1985.56.1.323</w:t>
        </w:r>
      </w:hyperlink>
    </w:p>
    <w:p w14:paraId="3E11AD60" w14:textId="77777777" w:rsidR="00B76713" w:rsidRPr="005554ED" w:rsidRDefault="00B76713" w:rsidP="00B76713">
      <w:pPr>
        <w:pStyle w:val="Bibliography"/>
        <w:rPr>
          <w:color w:val="000000" w:themeColor="text1"/>
        </w:rPr>
      </w:pPr>
      <w:r w:rsidRPr="005554ED">
        <w:rPr>
          <w:color w:val="000000" w:themeColor="text1"/>
        </w:rPr>
        <w:t xml:space="preserve">Badcock, J. C., </w:t>
      </w:r>
      <w:proofErr w:type="spellStart"/>
      <w:r w:rsidRPr="005554ED">
        <w:rPr>
          <w:color w:val="000000" w:themeColor="text1"/>
        </w:rPr>
        <w:t>Barkus</w:t>
      </w:r>
      <w:proofErr w:type="spellEnd"/>
      <w:r w:rsidRPr="005554ED">
        <w:rPr>
          <w:color w:val="000000" w:themeColor="text1"/>
        </w:rPr>
        <w:t xml:space="preserve">, E., Cohen, A. S., Bucks, R., &amp; Badcock, D. R. (2016). Loneliness and </w:t>
      </w:r>
      <w:proofErr w:type="spellStart"/>
      <w:r w:rsidRPr="005554ED">
        <w:rPr>
          <w:color w:val="000000" w:themeColor="text1"/>
        </w:rPr>
        <w:t>schizotypy</w:t>
      </w:r>
      <w:proofErr w:type="spellEnd"/>
      <w:r w:rsidRPr="005554ED">
        <w:rPr>
          <w:color w:val="000000" w:themeColor="text1"/>
        </w:rPr>
        <w:t xml:space="preserve"> are distinct constructs, separate from general psychopathology. </w:t>
      </w:r>
      <w:r w:rsidRPr="005554ED">
        <w:rPr>
          <w:i/>
          <w:iCs/>
          <w:color w:val="000000" w:themeColor="text1"/>
        </w:rPr>
        <w:t>Frontiers in Psychology</w:t>
      </w:r>
      <w:r w:rsidRPr="005554ED">
        <w:rPr>
          <w:color w:val="000000" w:themeColor="text1"/>
        </w:rPr>
        <w:t xml:space="preserve">, </w:t>
      </w:r>
      <w:r w:rsidRPr="005554ED">
        <w:rPr>
          <w:i/>
          <w:iCs/>
          <w:color w:val="000000" w:themeColor="text1"/>
        </w:rPr>
        <w:t>7</w:t>
      </w:r>
      <w:r w:rsidRPr="005554ED">
        <w:rPr>
          <w:color w:val="000000" w:themeColor="text1"/>
        </w:rPr>
        <w:t xml:space="preserve">, 1018. </w:t>
      </w:r>
      <w:hyperlink r:id="rId26" w:history="1">
        <w:r w:rsidRPr="005554ED">
          <w:rPr>
            <w:rStyle w:val="Hyperlink"/>
            <w:rFonts w:eastAsia="Arial"/>
            <w:color w:val="000000" w:themeColor="text1"/>
          </w:rPr>
          <w:t>https://doi.org/10.3389/fpsyg.2016.01018</w:t>
        </w:r>
      </w:hyperlink>
    </w:p>
    <w:p w14:paraId="47351F28" w14:textId="77777777" w:rsidR="00B76713" w:rsidRPr="005554ED" w:rsidRDefault="00B76713" w:rsidP="00B76713">
      <w:pPr>
        <w:pStyle w:val="Bibliography"/>
        <w:rPr>
          <w:color w:val="000000" w:themeColor="text1"/>
        </w:rPr>
      </w:pPr>
      <w:proofErr w:type="spellStart"/>
      <w:r w:rsidRPr="005554ED">
        <w:rPr>
          <w:color w:val="000000" w:themeColor="text1"/>
        </w:rPr>
        <w:t>Bagner</w:t>
      </w:r>
      <w:proofErr w:type="spellEnd"/>
      <w:r w:rsidRPr="005554ED">
        <w:rPr>
          <w:color w:val="000000" w:themeColor="text1"/>
        </w:rPr>
        <w:t xml:space="preserve">, D. M., Storch, E. A., &amp; Preston, A. S. (2007). Romantic relational aggression: What about gender? </w:t>
      </w:r>
      <w:r w:rsidRPr="005554ED">
        <w:rPr>
          <w:i/>
          <w:iCs/>
          <w:color w:val="000000" w:themeColor="text1"/>
        </w:rPr>
        <w:t>Journal of Family Violence</w:t>
      </w:r>
      <w:r w:rsidRPr="005554ED">
        <w:rPr>
          <w:color w:val="000000" w:themeColor="text1"/>
        </w:rPr>
        <w:t xml:space="preserve">, </w:t>
      </w:r>
      <w:r w:rsidRPr="005554ED">
        <w:rPr>
          <w:i/>
          <w:iCs/>
          <w:color w:val="000000" w:themeColor="text1"/>
        </w:rPr>
        <w:t>22</w:t>
      </w:r>
      <w:r w:rsidRPr="005554ED">
        <w:rPr>
          <w:color w:val="000000" w:themeColor="text1"/>
        </w:rPr>
        <w:t xml:space="preserve">(1), 19–24. </w:t>
      </w:r>
      <w:hyperlink r:id="rId27" w:history="1">
        <w:r w:rsidRPr="005554ED">
          <w:rPr>
            <w:rStyle w:val="Hyperlink"/>
            <w:rFonts w:eastAsia="Arial"/>
            <w:color w:val="000000" w:themeColor="text1"/>
          </w:rPr>
          <w:t>https://doi.org/10.1007/s10896-006-9055-x</w:t>
        </w:r>
      </w:hyperlink>
    </w:p>
    <w:p w14:paraId="5BF90EDB" w14:textId="77777777" w:rsidR="00B76713" w:rsidRPr="005554ED" w:rsidRDefault="00B76713" w:rsidP="00B76713">
      <w:pPr>
        <w:pStyle w:val="Bibliography"/>
        <w:rPr>
          <w:color w:val="000000" w:themeColor="text1"/>
        </w:rPr>
      </w:pPr>
      <w:r w:rsidRPr="005554ED">
        <w:rPr>
          <w:color w:val="000000" w:themeColor="text1"/>
        </w:rPr>
        <w:t xml:space="preserve">Bartsch, M. (2019). </w:t>
      </w:r>
      <w:r w:rsidRPr="005554ED">
        <w:rPr>
          <w:i/>
          <w:iCs/>
          <w:color w:val="000000" w:themeColor="text1"/>
        </w:rPr>
        <w:t>The Dark Side of Media</w:t>
      </w:r>
      <w:r w:rsidRPr="005554ED">
        <w:rPr>
          <w:color w:val="000000" w:themeColor="text1"/>
        </w:rPr>
        <w:t xml:space="preserve"> [Unpublished raw data].</w:t>
      </w:r>
    </w:p>
    <w:p w14:paraId="7CBBD2C7" w14:textId="77777777" w:rsidR="00B76713" w:rsidRPr="005554ED" w:rsidRDefault="00B76713" w:rsidP="00B76713">
      <w:pPr>
        <w:pStyle w:val="Bibliography"/>
        <w:rPr>
          <w:color w:val="000000" w:themeColor="text1"/>
        </w:rPr>
      </w:pPr>
      <w:r w:rsidRPr="005554ED">
        <w:rPr>
          <w:color w:val="000000" w:themeColor="text1"/>
        </w:rPr>
        <w:t xml:space="preserve">Bastian, B., </w:t>
      </w:r>
      <w:proofErr w:type="spellStart"/>
      <w:r w:rsidRPr="005554ED">
        <w:rPr>
          <w:color w:val="000000" w:themeColor="text1"/>
        </w:rPr>
        <w:t>Koval</w:t>
      </w:r>
      <w:proofErr w:type="spellEnd"/>
      <w:r w:rsidRPr="005554ED">
        <w:rPr>
          <w:color w:val="000000" w:themeColor="text1"/>
        </w:rPr>
        <w:t xml:space="preserve">, P., </w:t>
      </w:r>
      <w:proofErr w:type="spellStart"/>
      <w:r w:rsidRPr="005554ED">
        <w:rPr>
          <w:color w:val="000000" w:themeColor="text1"/>
        </w:rPr>
        <w:t>Erbas</w:t>
      </w:r>
      <w:proofErr w:type="spellEnd"/>
      <w:r w:rsidRPr="005554ED">
        <w:rPr>
          <w:color w:val="000000" w:themeColor="text1"/>
        </w:rPr>
        <w:t xml:space="preserve">, Y., </w:t>
      </w:r>
      <w:proofErr w:type="spellStart"/>
      <w:r w:rsidRPr="005554ED">
        <w:rPr>
          <w:color w:val="000000" w:themeColor="text1"/>
        </w:rPr>
        <w:t>Houben</w:t>
      </w:r>
      <w:proofErr w:type="spellEnd"/>
      <w:r w:rsidRPr="005554ED">
        <w:rPr>
          <w:color w:val="000000" w:themeColor="text1"/>
        </w:rPr>
        <w:t xml:space="preserve">, M., Pe, M., &amp; </w:t>
      </w:r>
      <w:proofErr w:type="spellStart"/>
      <w:r w:rsidRPr="005554ED">
        <w:rPr>
          <w:color w:val="000000" w:themeColor="text1"/>
        </w:rPr>
        <w:t>Kuppens</w:t>
      </w:r>
      <w:proofErr w:type="spellEnd"/>
      <w:r w:rsidRPr="005554ED">
        <w:rPr>
          <w:color w:val="000000" w:themeColor="text1"/>
        </w:rPr>
        <w:t xml:space="preserve">, P. (2015). Sad and alone. </w:t>
      </w:r>
      <w:r w:rsidRPr="005554ED">
        <w:rPr>
          <w:i/>
          <w:iCs/>
          <w:color w:val="000000" w:themeColor="text1"/>
        </w:rPr>
        <w:t>Social Psychological and Personality Science</w:t>
      </w:r>
      <w:r w:rsidRPr="005554ED">
        <w:rPr>
          <w:color w:val="000000" w:themeColor="text1"/>
        </w:rPr>
        <w:t xml:space="preserve">, </w:t>
      </w:r>
      <w:r w:rsidRPr="005554ED">
        <w:rPr>
          <w:i/>
          <w:iCs/>
          <w:color w:val="000000" w:themeColor="text1"/>
        </w:rPr>
        <w:t>6</w:t>
      </w:r>
      <w:r w:rsidRPr="005554ED">
        <w:rPr>
          <w:color w:val="000000" w:themeColor="text1"/>
        </w:rPr>
        <w:t xml:space="preserve">(5), 496–503. </w:t>
      </w:r>
      <w:hyperlink r:id="rId28" w:history="1">
        <w:r w:rsidRPr="005554ED">
          <w:rPr>
            <w:rStyle w:val="Hyperlink"/>
            <w:rFonts w:eastAsia="Arial"/>
            <w:color w:val="000000" w:themeColor="text1"/>
          </w:rPr>
          <w:t>https://doi.org/10.1177/1948550614568682</w:t>
        </w:r>
      </w:hyperlink>
    </w:p>
    <w:p w14:paraId="4C9219B9" w14:textId="77777777" w:rsidR="00B76713" w:rsidRPr="005554ED" w:rsidRDefault="00B76713" w:rsidP="00B76713">
      <w:pPr>
        <w:pStyle w:val="Bibliography"/>
        <w:rPr>
          <w:color w:val="000000" w:themeColor="text1"/>
        </w:rPr>
      </w:pPr>
      <w:r w:rsidRPr="005554ED">
        <w:rPr>
          <w:color w:val="000000" w:themeColor="text1"/>
        </w:rPr>
        <w:lastRenderedPageBreak/>
        <w:t xml:space="preserve">Baumeister, A. L., &amp; Storch, E. A. (2004). Correlations of religious beliefs with loneliness for an undergraduate sample. </w:t>
      </w:r>
      <w:r w:rsidRPr="005554ED">
        <w:rPr>
          <w:i/>
          <w:iCs/>
          <w:color w:val="000000" w:themeColor="text1"/>
        </w:rPr>
        <w:t>Psychological Reports</w:t>
      </w:r>
      <w:r w:rsidRPr="005554ED">
        <w:rPr>
          <w:color w:val="000000" w:themeColor="text1"/>
        </w:rPr>
        <w:t xml:space="preserve">, </w:t>
      </w:r>
      <w:r w:rsidRPr="005554ED">
        <w:rPr>
          <w:i/>
          <w:iCs/>
          <w:color w:val="000000" w:themeColor="text1"/>
        </w:rPr>
        <w:t>94</w:t>
      </w:r>
      <w:r w:rsidRPr="005554ED">
        <w:rPr>
          <w:color w:val="000000" w:themeColor="text1"/>
        </w:rPr>
        <w:t xml:space="preserve">(3 Pt 1), 859–862. </w:t>
      </w:r>
      <w:hyperlink r:id="rId29" w:history="1">
        <w:r w:rsidRPr="005554ED">
          <w:rPr>
            <w:rStyle w:val="Hyperlink"/>
            <w:rFonts w:eastAsia="Arial"/>
            <w:color w:val="000000" w:themeColor="text1"/>
          </w:rPr>
          <w:t>https://doi.org/10.2466/PR0.94.3.859-862</w:t>
        </w:r>
      </w:hyperlink>
    </w:p>
    <w:p w14:paraId="1BF1AABF" w14:textId="77777777" w:rsidR="00B76713" w:rsidRPr="005554ED" w:rsidRDefault="00B76713" w:rsidP="00B76713">
      <w:pPr>
        <w:pStyle w:val="Bibliography"/>
        <w:rPr>
          <w:color w:val="000000" w:themeColor="text1"/>
        </w:rPr>
      </w:pPr>
      <w:proofErr w:type="spellStart"/>
      <w:r w:rsidRPr="005554ED">
        <w:rPr>
          <w:color w:val="000000" w:themeColor="text1"/>
        </w:rPr>
        <w:t>Bazińska</w:t>
      </w:r>
      <w:proofErr w:type="spellEnd"/>
      <w:r w:rsidRPr="005554ED">
        <w:rPr>
          <w:color w:val="000000" w:themeColor="text1"/>
        </w:rPr>
        <w:t xml:space="preserve">, R. (2015). Original article validation of the Polish version of the Collective Self-Esteem Scale. </w:t>
      </w:r>
      <w:r w:rsidRPr="005554ED">
        <w:rPr>
          <w:i/>
          <w:iCs/>
          <w:color w:val="000000" w:themeColor="text1"/>
        </w:rPr>
        <w:t>Current Issues in Personality Psychology</w:t>
      </w:r>
      <w:r w:rsidRPr="005554ED">
        <w:rPr>
          <w:color w:val="000000" w:themeColor="text1"/>
        </w:rPr>
        <w:t xml:space="preserve">, </w:t>
      </w:r>
      <w:r w:rsidRPr="005554ED">
        <w:rPr>
          <w:i/>
          <w:iCs/>
          <w:color w:val="000000" w:themeColor="text1"/>
        </w:rPr>
        <w:t>2</w:t>
      </w:r>
      <w:r w:rsidRPr="005554ED">
        <w:rPr>
          <w:color w:val="000000" w:themeColor="text1"/>
        </w:rPr>
        <w:t xml:space="preserve">, 125–137. </w:t>
      </w:r>
      <w:hyperlink r:id="rId30" w:history="1">
        <w:r w:rsidRPr="005554ED">
          <w:rPr>
            <w:rStyle w:val="Hyperlink"/>
            <w:rFonts w:eastAsia="Arial"/>
            <w:color w:val="000000" w:themeColor="text1"/>
          </w:rPr>
          <w:t>https://doi.org/10.5114/cipp.2015.52891</w:t>
        </w:r>
      </w:hyperlink>
    </w:p>
    <w:p w14:paraId="21302161" w14:textId="77777777" w:rsidR="00B76713" w:rsidRPr="005554ED" w:rsidRDefault="00B76713" w:rsidP="00B76713">
      <w:pPr>
        <w:pStyle w:val="Bibliography"/>
        <w:rPr>
          <w:color w:val="000000" w:themeColor="text1"/>
        </w:rPr>
      </w:pPr>
      <w:r w:rsidRPr="005554ED">
        <w:rPr>
          <w:color w:val="000000" w:themeColor="text1"/>
        </w:rPr>
        <w:t xml:space="preserve">Becker, S. P., Burns, G. L., Garner, A. A., Jarrett, M. A., </w:t>
      </w:r>
      <w:proofErr w:type="spellStart"/>
      <w:r w:rsidRPr="005554ED">
        <w:rPr>
          <w:color w:val="000000" w:themeColor="text1"/>
        </w:rPr>
        <w:t>Luebbe</w:t>
      </w:r>
      <w:proofErr w:type="spellEnd"/>
      <w:r w:rsidRPr="005554ED">
        <w:rPr>
          <w:color w:val="000000" w:themeColor="text1"/>
        </w:rPr>
        <w:t xml:space="preserve">, A. M., Epstein, J. N., &amp; </w:t>
      </w:r>
      <w:proofErr w:type="spellStart"/>
      <w:r w:rsidRPr="005554ED">
        <w:rPr>
          <w:color w:val="000000" w:themeColor="text1"/>
        </w:rPr>
        <w:t>Willcutt</w:t>
      </w:r>
      <w:proofErr w:type="spellEnd"/>
      <w:r w:rsidRPr="005554ED">
        <w:rPr>
          <w:color w:val="000000" w:themeColor="text1"/>
        </w:rPr>
        <w:t xml:space="preserve">, E. G. (2018). Sluggish cognitive tempo in adults: Psychometric validation of the Adult Concentration Inventory. </w:t>
      </w:r>
      <w:r w:rsidRPr="005554ED">
        <w:rPr>
          <w:i/>
          <w:iCs/>
          <w:color w:val="000000" w:themeColor="text1"/>
        </w:rPr>
        <w:t>Psychological Assessment</w:t>
      </w:r>
      <w:r w:rsidRPr="005554ED">
        <w:rPr>
          <w:color w:val="000000" w:themeColor="text1"/>
        </w:rPr>
        <w:t xml:space="preserve">, </w:t>
      </w:r>
      <w:r w:rsidRPr="005554ED">
        <w:rPr>
          <w:i/>
          <w:iCs/>
          <w:color w:val="000000" w:themeColor="text1"/>
        </w:rPr>
        <w:t>30</w:t>
      </w:r>
      <w:r w:rsidRPr="005554ED">
        <w:rPr>
          <w:color w:val="000000" w:themeColor="text1"/>
        </w:rPr>
        <w:t xml:space="preserve">(3), 296–310. </w:t>
      </w:r>
      <w:hyperlink r:id="rId31" w:history="1">
        <w:r w:rsidRPr="005554ED">
          <w:rPr>
            <w:rStyle w:val="Hyperlink"/>
            <w:rFonts w:eastAsia="Arial"/>
            <w:color w:val="000000" w:themeColor="text1"/>
          </w:rPr>
          <w:t>https://doi.org/10.1037/pas0000476</w:t>
        </w:r>
      </w:hyperlink>
    </w:p>
    <w:p w14:paraId="4E7D3E5C" w14:textId="77777777" w:rsidR="00B76713" w:rsidRPr="005554ED" w:rsidRDefault="00B76713" w:rsidP="00B76713">
      <w:pPr>
        <w:pStyle w:val="Bibliography"/>
        <w:rPr>
          <w:color w:val="000000" w:themeColor="text1"/>
        </w:rPr>
      </w:pPr>
      <w:proofErr w:type="spellStart"/>
      <w:r w:rsidRPr="005554ED">
        <w:rPr>
          <w:color w:val="000000" w:themeColor="text1"/>
        </w:rPr>
        <w:t>Berant</w:t>
      </w:r>
      <w:proofErr w:type="spellEnd"/>
      <w:r w:rsidRPr="005554ED">
        <w:rPr>
          <w:color w:val="000000" w:themeColor="text1"/>
        </w:rPr>
        <w:t xml:space="preserve">, E., Newborn, M., &amp; </w:t>
      </w:r>
      <w:proofErr w:type="spellStart"/>
      <w:r w:rsidRPr="005554ED">
        <w:rPr>
          <w:color w:val="000000" w:themeColor="text1"/>
        </w:rPr>
        <w:t>Orgler</w:t>
      </w:r>
      <w:proofErr w:type="spellEnd"/>
      <w:r w:rsidRPr="005554ED">
        <w:rPr>
          <w:color w:val="000000" w:themeColor="text1"/>
        </w:rPr>
        <w:t xml:space="preserve">, S. (2008). Convergence of self-report scales and Rorschach indexes of psychological distress: The moderating role of self-disclosure. </w:t>
      </w:r>
      <w:r w:rsidRPr="005554ED">
        <w:rPr>
          <w:i/>
          <w:iCs/>
          <w:color w:val="000000" w:themeColor="text1"/>
        </w:rPr>
        <w:t>Journal of Personality Assessment</w:t>
      </w:r>
      <w:r w:rsidRPr="005554ED">
        <w:rPr>
          <w:color w:val="000000" w:themeColor="text1"/>
        </w:rPr>
        <w:t xml:space="preserve">, </w:t>
      </w:r>
      <w:r w:rsidRPr="005554ED">
        <w:rPr>
          <w:i/>
          <w:iCs/>
          <w:color w:val="000000" w:themeColor="text1"/>
        </w:rPr>
        <w:t>90</w:t>
      </w:r>
      <w:r w:rsidRPr="005554ED">
        <w:rPr>
          <w:color w:val="000000" w:themeColor="text1"/>
        </w:rPr>
        <w:t xml:space="preserve">(1), 36–43. </w:t>
      </w:r>
      <w:hyperlink r:id="rId32" w:history="1">
        <w:r w:rsidRPr="005554ED">
          <w:rPr>
            <w:rStyle w:val="Hyperlink"/>
            <w:rFonts w:eastAsia="Arial"/>
            <w:color w:val="000000" w:themeColor="text1"/>
          </w:rPr>
          <w:t>https://doi.org/10.1080/00223890701693702</w:t>
        </w:r>
      </w:hyperlink>
    </w:p>
    <w:p w14:paraId="35CE2B23" w14:textId="77777777" w:rsidR="00B76713" w:rsidRPr="005554ED" w:rsidRDefault="00B76713" w:rsidP="00B76713">
      <w:pPr>
        <w:pStyle w:val="Bibliography"/>
        <w:rPr>
          <w:color w:val="000000" w:themeColor="text1"/>
        </w:rPr>
      </w:pPr>
      <w:proofErr w:type="spellStart"/>
      <w:r w:rsidRPr="005554ED">
        <w:rPr>
          <w:color w:val="000000" w:themeColor="text1"/>
        </w:rPr>
        <w:t>Bernhold</w:t>
      </w:r>
      <w:proofErr w:type="spellEnd"/>
      <w:r w:rsidRPr="005554ED">
        <w:rPr>
          <w:color w:val="000000" w:themeColor="text1"/>
        </w:rPr>
        <w:t xml:space="preserve">, Q. S. (2020). Grandparents’ affectionate communication toward grandchildren and grandchildren’s mental health difficulties: The moderating role of future time perspective. </w:t>
      </w:r>
      <w:r w:rsidRPr="005554ED">
        <w:rPr>
          <w:i/>
          <w:iCs/>
          <w:color w:val="000000" w:themeColor="text1"/>
        </w:rPr>
        <w:t>Health Communication</w:t>
      </w:r>
      <w:r w:rsidRPr="005554ED">
        <w:rPr>
          <w:color w:val="000000" w:themeColor="text1"/>
        </w:rPr>
        <w:t xml:space="preserve">, </w:t>
      </w:r>
      <w:r w:rsidRPr="005554ED">
        <w:rPr>
          <w:i/>
          <w:iCs/>
          <w:color w:val="000000" w:themeColor="text1"/>
        </w:rPr>
        <w:t>35</w:t>
      </w:r>
      <w:r w:rsidRPr="005554ED">
        <w:rPr>
          <w:color w:val="000000" w:themeColor="text1"/>
        </w:rPr>
        <w:t xml:space="preserve">(7), 822–831. </w:t>
      </w:r>
      <w:hyperlink r:id="rId33" w:history="1">
        <w:r w:rsidRPr="005554ED">
          <w:rPr>
            <w:rStyle w:val="Hyperlink"/>
            <w:rFonts w:eastAsia="Arial"/>
            <w:color w:val="000000" w:themeColor="text1"/>
          </w:rPr>
          <w:t>https://doi.org/10.1080/10410236.2019.1593080</w:t>
        </w:r>
      </w:hyperlink>
    </w:p>
    <w:p w14:paraId="41599DC7" w14:textId="77777777" w:rsidR="00B76713" w:rsidRPr="005554ED" w:rsidRDefault="00B76713" w:rsidP="00B76713">
      <w:pPr>
        <w:pStyle w:val="Bibliography"/>
        <w:rPr>
          <w:color w:val="000000" w:themeColor="text1"/>
        </w:rPr>
      </w:pPr>
      <w:r w:rsidRPr="005554ED">
        <w:rPr>
          <w:color w:val="000000" w:themeColor="text1"/>
        </w:rPr>
        <w:t xml:space="preserve">Berryman, C., Ferguson, C. J., &amp; </w:t>
      </w:r>
      <w:proofErr w:type="spellStart"/>
      <w:r w:rsidRPr="005554ED">
        <w:rPr>
          <w:color w:val="000000" w:themeColor="text1"/>
        </w:rPr>
        <w:t>Negy</w:t>
      </w:r>
      <w:proofErr w:type="spellEnd"/>
      <w:r w:rsidRPr="005554ED">
        <w:rPr>
          <w:color w:val="000000" w:themeColor="text1"/>
        </w:rPr>
        <w:t xml:space="preserve">, C. (2018). Social media use and mental health among young adults. </w:t>
      </w:r>
      <w:r w:rsidRPr="005554ED">
        <w:rPr>
          <w:i/>
          <w:iCs/>
          <w:color w:val="000000" w:themeColor="text1"/>
        </w:rPr>
        <w:t>The Psychiatric Quarterly</w:t>
      </w:r>
      <w:r w:rsidRPr="005554ED">
        <w:rPr>
          <w:color w:val="000000" w:themeColor="text1"/>
        </w:rPr>
        <w:t xml:space="preserve">, </w:t>
      </w:r>
      <w:r w:rsidRPr="005554ED">
        <w:rPr>
          <w:i/>
          <w:iCs/>
          <w:color w:val="000000" w:themeColor="text1"/>
        </w:rPr>
        <w:t>89</w:t>
      </w:r>
      <w:r w:rsidRPr="005554ED">
        <w:rPr>
          <w:color w:val="000000" w:themeColor="text1"/>
        </w:rPr>
        <w:t xml:space="preserve">(2), 307–314. </w:t>
      </w:r>
      <w:hyperlink r:id="rId34" w:history="1">
        <w:r w:rsidRPr="005554ED">
          <w:rPr>
            <w:rStyle w:val="Hyperlink"/>
            <w:rFonts w:eastAsia="Arial"/>
            <w:color w:val="000000" w:themeColor="text1"/>
          </w:rPr>
          <w:t>https://doi.org/10.1007/s11126-017-9535-6</w:t>
        </w:r>
      </w:hyperlink>
    </w:p>
    <w:p w14:paraId="2606C0BF" w14:textId="77777777" w:rsidR="00B76713" w:rsidRPr="005554ED" w:rsidRDefault="00B76713" w:rsidP="00B76713">
      <w:pPr>
        <w:pStyle w:val="Bibliography"/>
        <w:rPr>
          <w:color w:val="000000" w:themeColor="text1"/>
        </w:rPr>
      </w:pPr>
      <w:proofErr w:type="spellStart"/>
      <w:r w:rsidRPr="005554ED">
        <w:rPr>
          <w:color w:val="000000" w:themeColor="text1"/>
        </w:rPr>
        <w:t>Bian</w:t>
      </w:r>
      <w:proofErr w:type="spellEnd"/>
      <w:r w:rsidRPr="005554ED">
        <w:rPr>
          <w:color w:val="000000" w:themeColor="text1"/>
        </w:rPr>
        <w:t xml:space="preserve">, M., &amp; Leung, L. (2015). Linking loneliness, shyness, smartphone addiction symptoms, and patterns of smartphone use to social capital. </w:t>
      </w:r>
      <w:r w:rsidRPr="005554ED">
        <w:rPr>
          <w:i/>
          <w:iCs/>
          <w:color w:val="000000" w:themeColor="text1"/>
        </w:rPr>
        <w:t>Social Science Computer Review</w:t>
      </w:r>
      <w:r w:rsidRPr="005554ED">
        <w:rPr>
          <w:color w:val="000000" w:themeColor="text1"/>
        </w:rPr>
        <w:t xml:space="preserve">, </w:t>
      </w:r>
      <w:r w:rsidRPr="005554ED">
        <w:rPr>
          <w:i/>
          <w:iCs/>
          <w:color w:val="000000" w:themeColor="text1"/>
        </w:rPr>
        <w:t>33</w:t>
      </w:r>
      <w:r w:rsidRPr="005554ED">
        <w:rPr>
          <w:color w:val="000000" w:themeColor="text1"/>
        </w:rPr>
        <w:t xml:space="preserve">(1), 61–79. </w:t>
      </w:r>
      <w:hyperlink r:id="rId35" w:history="1">
        <w:r w:rsidRPr="005554ED">
          <w:rPr>
            <w:rStyle w:val="Hyperlink"/>
            <w:rFonts w:eastAsia="Arial"/>
            <w:color w:val="000000" w:themeColor="text1"/>
          </w:rPr>
          <w:t>https://doi.org/10.1177/0894439314528779</w:t>
        </w:r>
      </w:hyperlink>
    </w:p>
    <w:p w14:paraId="6C1D36FA" w14:textId="77777777" w:rsidR="00B76713" w:rsidRPr="005554ED" w:rsidRDefault="00B76713" w:rsidP="00B76713">
      <w:pPr>
        <w:pStyle w:val="Bibliography"/>
        <w:rPr>
          <w:color w:val="000000" w:themeColor="text1"/>
        </w:rPr>
      </w:pPr>
      <w:proofErr w:type="spellStart"/>
      <w:r w:rsidRPr="005554ED">
        <w:rPr>
          <w:color w:val="000000" w:themeColor="text1"/>
        </w:rPr>
        <w:lastRenderedPageBreak/>
        <w:t>Boldero</w:t>
      </w:r>
      <w:proofErr w:type="spellEnd"/>
      <w:r w:rsidRPr="005554ED">
        <w:rPr>
          <w:color w:val="000000" w:themeColor="text1"/>
        </w:rPr>
        <w:t>, J., &amp; Moore, S. (1990). An evaluation of de Jong-</w:t>
      </w:r>
      <w:proofErr w:type="spellStart"/>
      <w:r w:rsidRPr="005554ED">
        <w:rPr>
          <w:color w:val="000000" w:themeColor="text1"/>
        </w:rPr>
        <w:t>Giervald’s</w:t>
      </w:r>
      <w:proofErr w:type="spellEnd"/>
      <w:r w:rsidRPr="005554ED">
        <w:rPr>
          <w:color w:val="000000" w:themeColor="text1"/>
        </w:rPr>
        <w:t xml:space="preserve"> loneliness model with Australian adolescents. </w:t>
      </w:r>
      <w:r w:rsidRPr="005554ED">
        <w:rPr>
          <w:i/>
          <w:iCs/>
          <w:color w:val="000000" w:themeColor="text1"/>
        </w:rPr>
        <w:t>Journal of Youth and Adolescence</w:t>
      </w:r>
      <w:r w:rsidRPr="005554ED">
        <w:rPr>
          <w:color w:val="000000" w:themeColor="text1"/>
        </w:rPr>
        <w:t xml:space="preserve">, </w:t>
      </w:r>
      <w:r w:rsidRPr="005554ED">
        <w:rPr>
          <w:i/>
          <w:iCs/>
          <w:color w:val="000000" w:themeColor="text1"/>
        </w:rPr>
        <w:t>19</w:t>
      </w:r>
      <w:r w:rsidRPr="005554ED">
        <w:rPr>
          <w:color w:val="000000" w:themeColor="text1"/>
        </w:rPr>
        <w:t xml:space="preserve">(2), 133–147. </w:t>
      </w:r>
      <w:hyperlink r:id="rId36" w:history="1">
        <w:r w:rsidRPr="005554ED">
          <w:rPr>
            <w:rStyle w:val="Hyperlink"/>
            <w:rFonts w:eastAsia="Arial"/>
            <w:color w:val="000000" w:themeColor="text1"/>
          </w:rPr>
          <w:t>https://doi.org/10.1007/BF01538717</w:t>
        </w:r>
      </w:hyperlink>
    </w:p>
    <w:p w14:paraId="37D2FB9F" w14:textId="77777777" w:rsidR="00B76713" w:rsidRPr="005554ED" w:rsidRDefault="00B76713" w:rsidP="00B76713">
      <w:pPr>
        <w:pStyle w:val="Bibliography"/>
        <w:rPr>
          <w:color w:val="000000" w:themeColor="text1"/>
        </w:rPr>
      </w:pPr>
      <w:proofErr w:type="spellStart"/>
      <w:r w:rsidRPr="005554ED">
        <w:rPr>
          <w:color w:val="000000" w:themeColor="text1"/>
        </w:rPr>
        <w:t>Borawski</w:t>
      </w:r>
      <w:proofErr w:type="spellEnd"/>
      <w:r w:rsidRPr="005554ED">
        <w:rPr>
          <w:color w:val="000000" w:themeColor="text1"/>
        </w:rPr>
        <w:t xml:space="preserve">, D. (2018). The loneliness of the zero-sum game loser. The balance of social exchange and belief in a zero-sum game as predictors of loneliness. </w:t>
      </w:r>
      <w:r w:rsidRPr="005554ED">
        <w:rPr>
          <w:i/>
          <w:iCs/>
          <w:color w:val="000000" w:themeColor="text1"/>
        </w:rPr>
        <w:t>Personality and Individual Differences</w:t>
      </w:r>
      <w:r w:rsidRPr="005554ED">
        <w:rPr>
          <w:color w:val="000000" w:themeColor="text1"/>
        </w:rPr>
        <w:t xml:space="preserve">, </w:t>
      </w:r>
      <w:r w:rsidRPr="005554ED">
        <w:rPr>
          <w:i/>
          <w:iCs/>
          <w:color w:val="000000" w:themeColor="text1"/>
        </w:rPr>
        <w:t>135</w:t>
      </w:r>
      <w:r w:rsidRPr="005554ED">
        <w:rPr>
          <w:color w:val="000000" w:themeColor="text1"/>
        </w:rPr>
        <w:t xml:space="preserve">, 270–276. </w:t>
      </w:r>
      <w:hyperlink r:id="rId37" w:history="1">
        <w:r w:rsidRPr="005554ED">
          <w:rPr>
            <w:rStyle w:val="Hyperlink"/>
            <w:rFonts w:eastAsia="Arial"/>
            <w:color w:val="000000" w:themeColor="text1"/>
          </w:rPr>
          <w:t>https://doi.org/10.1016/j.paid.2018.07.037</w:t>
        </w:r>
      </w:hyperlink>
    </w:p>
    <w:p w14:paraId="340BE4B2" w14:textId="77777777" w:rsidR="00B76713" w:rsidRPr="005554ED" w:rsidRDefault="00B76713" w:rsidP="00B76713">
      <w:pPr>
        <w:pStyle w:val="Bibliography"/>
        <w:rPr>
          <w:color w:val="000000" w:themeColor="text1"/>
        </w:rPr>
      </w:pPr>
      <w:proofErr w:type="spellStart"/>
      <w:r w:rsidRPr="005554ED">
        <w:rPr>
          <w:color w:val="000000" w:themeColor="text1"/>
        </w:rPr>
        <w:t>Bovornusvakool</w:t>
      </w:r>
      <w:proofErr w:type="spellEnd"/>
      <w:r w:rsidRPr="005554ED">
        <w:rPr>
          <w:color w:val="000000" w:themeColor="text1"/>
        </w:rPr>
        <w:t xml:space="preserve">, W., Vodanovich, S. J., </w:t>
      </w:r>
      <w:proofErr w:type="spellStart"/>
      <w:r w:rsidRPr="005554ED">
        <w:rPr>
          <w:color w:val="000000" w:themeColor="text1"/>
        </w:rPr>
        <w:t>Ariyabuddhiphongs</w:t>
      </w:r>
      <w:proofErr w:type="spellEnd"/>
      <w:r w:rsidRPr="005554ED">
        <w:rPr>
          <w:color w:val="000000" w:themeColor="text1"/>
        </w:rPr>
        <w:t xml:space="preserve">, K., &amp; </w:t>
      </w:r>
      <w:proofErr w:type="spellStart"/>
      <w:r w:rsidRPr="005554ED">
        <w:rPr>
          <w:color w:val="000000" w:themeColor="text1"/>
        </w:rPr>
        <w:t>Ngamake</w:t>
      </w:r>
      <w:proofErr w:type="spellEnd"/>
      <w:r w:rsidRPr="005554ED">
        <w:rPr>
          <w:color w:val="000000" w:themeColor="text1"/>
        </w:rPr>
        <w:t xml:space="preserve">, S. T. (2012). Examining the antecedents and consequences of workaholism. </w:t>
      </w:r>
      <w:r w:rsidRPr="005554ED">
        <w:rPr>
          <w:i/>
          <w:iCs/>
          <w:color w:val="000000" w:themeColor="text1"/>
        </w:rPr>
        <w:t>The Psychologist-Manager Journal</w:t>
      </w:r>
      <w:r w:rsidRPr="005554ED">
        <w:rPr>
          <w:color w:val="000000" w:themeColor="text1"/>
        </w:rPr>
        <w:t xml:space="preserve">, </w:t>
      </w:r>
      <w:r w:rsidRPr="005554ED">
        <w:rPr>
          <w:i/>
          <w:iCs/>
          <w:color w:val="000000" w:themeColor="text1"/>
        </w:rPr>
        <w:t>15</w:t>
      </w:r>
      <w:r w:rsidRPr="005554ED">
        <w:rPr>
          <w:color w:val="000000" w:themeColor="text1"/>
        </w:rPr>
        <w:t xml:space="preserve">(1), 56–70. </w:t>
      </w:r>
      <w:hyperlink r:id="rId38" w:history="1">
        <w:r w:rsidRPr="005554ED">
          <w:rPr>
            <w:rStyle w:val="Hyperlink"/>
            <w:rFonts w:eastAsia="Arial"/>
            <w:color w:val="000000" w:themeColor="text1"/>
          </w:rPr>
          <w:t>https://doi.org/10.1080/10887156.2012.649994</w:t>
        </w:r>
      </w:hyperlink>
    </w:p>
    <w:p w14:paraId="475143A6" w14:textId="77777777" w:rsidR="00B76713" w:rsidRPr="005554ED" w:rsidRDefault="00B76713" w:rsidP="00B76713">
      <w:pPr>
        <w:pStyle w:val="Bibliography"/>
        <w:rPr>
          <w:color w:val="000000" w:themeColor="text1"/>
        </w:rPr>
      </w:pPr>
      <w:r w:rsidRPr="005554ED">
        <w:rPr>
          <w:color w:val="000000" w:themeColor="text1"/>
        </w:rPr>
        <w:t xml:space="preserve">Bowers, J. R., </w:t>
      </w:r>
      <w:proofErr w:type="spellStart"/>
      <w:r w:rsidRPr="005554ED">
        <w:rPr>
          <w:color w:val="000000" w:themeColor="text1"/>
        </w:rPr>
        <w:t>Segrin</w:t>
      </w:r>
      <w:proofErr w:type="spellEnd"/>
      <w:r w:rsidRPr="005554ED">
        <w:rPr>
          <w:color w:val="000000" w:themeColor="text1"/>
        </w:rPr>
        <w:t xml:space="preserve">, C., &amp; Joyce, N. (2016). The role of transitional instability, psychological distress, and dysfunctional drinking in emerging adults’ involvement in risky sex. </w:t>
      </w:r>
      <w:r w:rsidRPr="005554ED">
        <w:rPr>
          <w:i/>
          <w:iCs/>
          <w:color w:val="000000" w:themeColor="text1"/>
        </w:rPr>
        <w:t>Journal of Social and Personal Relationships</w:t>
      </w:r>
      <w:r w:rsidRPr="005554ED">
        <w:rPr>
          <w:color w:val="000000" w:themeColor="text1"/>
        </w:rPr>
        <w:t xml:space="preserve">, </w:t>
      </w:r>
      <w:r w:rsidRPr="005554ED">
        <w:rPr>
          <w:i/>
          <w:iCs/>
          <w:color w:val="000000" w:themeColor="text1"/>
        </w:rPr>
        <w:t>33</w:t>
      </w:r>
      <w:r w:rsidRPr="005554ED">
        <w:rPr>
          <w:color w:val="000000" w:themeColor="text1"/>
        </w:rPr>
        <w:t xml:space="preserve">(8), 1097–1119. </w:t>
      </w:r>
      <w:hyperlink r:id="rId39" w:history="1">
        <w:r w:rsidRPr="005554ED">
          <w:rPr>
            <w:rStyle w:val="Hyperlink"/>
            <w:rFonts w:eastAsia="Arial"/>
            <w:color w:val="000000" w:themeColor="text1"/>
          </w:rPr>
          <w:t>https://doi.org/10.1177/0265407515617621</w:t>
        </w:r>
      </w:hyperlink>
    </w:p>
    <w:p w14:paraId="139D1FFC" w14:textId="77777777" w:rsidR="00B76713" w:rsidRPr="005554ED" w:rsidRDefault="00B76713" w:rsidP="00B76713">
      <w:pPr>
        <w:pStyle w:val="Bibliography"/>
        <w:rPr>
          <w:color w:val="000000" w:themeColor="text1"/>
        </w:rPr>
      </w:pPr>
      <w:r w:rsidRPr="005554ED">
        <w:rPr>
          <w:color w:val="000000" w:themeColor="text1"/>
        </w:rPr>
        <w:t xml:space="preserve">Bowker, J. C., White, H. I., &amp; </w:t>
      </w:r>
      <w:proofErr w:type="spellStart"/>
      <w:r w:rsidRPr="005554ED">
        <w:rPr>
          <w:color w:val="000000" w:themeColor="text1"/>
        </w:rPr>
        <w:t>Stotsky</w:t>
      </w:r>
      <w:proofErr w:type="spellEnd"/>
      <w:r w:rsidRPr="005554ED">
        <w:rPr>
          <w:color w:val="000000" w:themeColor="text1"/>
        </w:rPr>
        <w:t xml:space="preserve">, M. T. (2016). </w:t>
      </w:r>
      <w:r w:rsidRPr="005554ED">
        <w:rPr>
          <w:i/>
          <w:iCs/>
          <w:color w:val="000000" w:themeColor="text1"/>
        </w:rPr>
        <w:t>Clarifying Concepts in Solitude Research</w:t>
      </w:r>
      <w:r w:rsidRPr="005554ED">
        <w:rPr>
          <w:color w:val="000000" w:themeColor="text1"/>
        </w:rPr>
        <w:t xml:space="preserve"> [Unpublished raw data].</w:t>
      </w:r>
    </w:p>
    <w:p w14:paraId="0DE0B083" w14:textId="77777777" w:rsidR="00B76713" w:rsidRPr="006A16A9" w:rsidRDefault="00B76713" w:rsidP="00B76713">
      <w:pPr>
        <w:pStyle w:val="Bibliography"/>
        <w:rPr>
          <w:color w:val="000000" w:themeColor="text1"/>
        </w:rPr>
      </w:pPr>
      <w:r w:rsidRPr="005554ED">
        <w:rPr>
          <w:color w:val="000000" w:themeColor="text1"/>
          <w:lang w:val="de-DE"/>
        </w:rPr>
        <w:t xml:space="preserve">Bozoglan, B., Demirer, V., &amp; Sahin, I. (2013). </w:t>
      </w:r>
      <w:r w:rsidRPr="005554ED">
        <w:rPr>
          <w:color w:val="000000" w:themeColor="text1"/>
        </w:rPr>
        <w:t xml:space="preserve">Loneliness, self-esteem, and life satisfaction as predictors of Internet addiction: A cross-sectional study among Turkish university students. </w:t>
      </w:r>
      <w:r w:rsidRPr="006A16A9">
        <w:rPr>
          <w:i/>
          <w:iCs/>
          <w:color w:val="000000" w:themeColor="text1"/>
        </w:rPr>
        <w:t>Scandinavian Journal of Psychology</w:t>
      </w:r>
      <w:r w:rsidRPr="006A16A9">
        <w:rPr>
          <w:color w:val="000000" w:themeColor="text1"/>
        </w:rPr>
        <w:t xml:space="preserve">, </w:t>
      </w:r>
      <w:r w:rsidRPr="006A16A9">
        <w:rPr>
          <w:i/>
          <w:iCs/>
          <w:color w:val="000000" w:themeColor="text1"/>
        </w:rPr>
        <w:t>54</w:t>
      </w:r>
      <w:r w:rsidRPr="006A16A9">
        <w:rPr>
          <w:color w:val="000000" w:themeColor="text1"/>
        </w:rPr>
        <w:t xml:space="preserve">(4), 313–319. </w:t>
      </w:r>
      <w:hyperlink r:id="rId40" w:history="1">
        <w:r w:rsidRPr="006A16A9">
          <w:rPr>
            <w:rStyle w:val="Hyperlink"/>
            <w:rFonts w:eastAsia="Arial"/>
            <w:color w:val="000000" w:themeColor="text1"/>
          </w:rPr>
          <w:t>https://doi.org/10.1111/sjop.12049</w:t>
        </w:r>
      </w:hyperlink>
    </w:p>
    <w:p w14:paraId="7FE03A46" w14:textId="77777777" w:rsidR="00B76713" w:rsidRPr="005554ED" w:rsidRDefault="00B76713" w:rsidP="00B76713">
      <w:pPr>
        <w:pStyle w:val="Bibliography"/>
        <w:rPr>
          <w:color w:val="000000" w:themeColor="text1"/>
        </w:rPr>
      </w:pPr>
      <w:r w:rsidRPr="006A16A9">
        <w:rPr>
          <w:color w:val="000000" w:themeColor="text1"/>
        </w:rPr>
        <w:t xml:space="preserve">Bram, A. D. (2014). </w:t>
      </w:r>
      <w:r w:rsidRPr="005554ED">
        <w:rPr>
          <w:color w:val="000000" w:themeColor="text1"/>
        </w:rPr>
        <w:t xml:space="preserve">Object relations, interpersonal functioning, and health in a nonclinical sample: Construct validation and norms for the TAT SCORS-G. </w:t>
      </w:r>
      <w:r w:rsidRPr="005554ED">
        <w:rPr>
          <w:i/>
          <w:iCs/>
          <w:color w:val="000000" w:themeColor="text1"/>
        </w:rPr>
        <w:t>Psychoanalytic Psychology</w:t>
      </w:r>
      <w:r w:rsidRPr="005554ED">
        <w:rPr>
          <w:color w:val="000000" w:themeColor="text1"/>
        </w:rPr>
        <w:t xml:space="preserve">, </w:t>
      </w:r>
      <w:r w:rsidRPr="005554ED">
        <w:rPr>
          <w:i/>
          <w:iCs/>
          <w:color w:val="000000" w:themeColor="text1"/>
        </w:rPr>
        <w:t>31</w:t>
      </w:r>
      <w:r w:rsidRPr="005554ED">
        <w:rPr>
          <w:color w:val="000000" w:themeColor="text1"/>
        </w:rPr>
        <w:t xml:space="preserve">(3), 314–342. </w:t>
      </w:r>
      <w:hyperlink r:id="rId41" w:history="1">
        <w:r w:rsidRPr="005554ED">
          <w:rPr>
            <w:rStyle w:val="Hyperlink"/>
            <w:rFonts w:eastAsia="Arial"/>
            <w:color w:val="000000" w:themeColor="text1"/>
          </w:rPr>
          <w:t>https://doi.org/10.1037/a0036286</w:t>
        </w:r>
      </w:hyperlink>
    </w:p>
    <w:p w14:paraId="58288178" w14:textId="77777777" w:rsidR="00B76713" w:rsidRPr="005554ED" w:rsidRDefault="00B76713" w:rsidP="00B76713">
      <w:pPr>
        <w:pStyle w:val="Bibliography"/>
        <w:rPr>
          <w:color w:val="000000" w:themeColor="text1"/>
          <w:lang w:val="de-DE"/>
        </w:rPr>
      </w:pPr>
      <w:r w:rsidRPr="005554ED">
        <w:rPr>
          <w:color w:val="000000" w:themeColor="text1"/>
        </w:rPr>
        <w:lastRenderedPageBreak/>
        <w:t xml:space="preserve">Bronfenbrenner, U. (1977). Toward an experimental ecology of human development. </w:t>
      </w:r>
      <w:r w:rsidRPr="005554ED">
        <w:rPr>
          <w:i/>
          <w:iCs/>
          <w:color w:val="000000" w:themeColor="text1"/>
          <w:lang w:val="de-DE"/>
        </w:rPr>
        <w:t>American Psychologist</w:t>
      </w:r>
      <w:r w:rsidRPr="005554ED">
        <w:rPr>
          <w:color w:val="000000" w:themeColor="text1"/>
          <w:lang w:val="de-DE"/>
        </w:rPr>
        <w:t xml:space="preserve">, </w:t>
      </w:r>
      <w:r w:rsidRPr="005554ED">
        <w:rPr>
          <w:i/>
          <w:iCs/>
          <w:color w:val="000000" w:themeColor="text1"/>
          <w:lang w:val="de-DE"/>
        </w:rPr>
        <w:t>32</w:t>
      </w:r>
      <w:r w:rsidRPr="005554ED">
        <w:rPr>
          <w:color w:val="000000" w:themeColor="text1"/>
          <w:lang w:val="de-DE"/>
        </w:rPr>
        <w:t xml:space="preserve">(7), 513–531. </w:t>
      </w:r>
      <w:hyperlink r:id="rId42" w:history="1">
        <w:r w:rsidRPr="005554ED">
          <w:rPr>
            <w:rStyle w:val="Hyperlink"/>
            <w:rFonts w:eastAsia="Arial"/>
            <w:color w:val="000000" w:themeColor="text1"/>
            <w:lang w:val="de-DE"/>
          </w:rPr>
          <w:t>https://doi.org/10.1037/0003-066X.32.7.513</w:t>
        </w:r>
      </w:hyperlink>
    </w:p>
    <w:p w14:paraId="24FBC41E" w14:textId="77777777" w:rsidR="00B76713" w:rsidRPr="005554ED" w:rsidRDefault="00B76713" w:rsidP="00B76713">
      <w:pPr>
        <w:pStyle w:val="Bibliography"/>
        <w:rPr>
          <w:color w:val="000000" w:themeColor="text1"/>
        </w:rPr>
      </w:pPr>
      <w:r w:rsidRPr="005554ED">
        <w:rPr>
          <w:color w:val="000000" w:themeColor="text1"/>
          <w:lang w:val="de-DE"/>
        </w:rPr>
        <w:t xml:space="preserve">Bruno, S., Lutwak, N., &amp; Agin, M. A. (2009). </w:t>
      </w:r>
      <w:r w:rsidRPr="005554ED">
        <w:rPr>
          <w:color w:val="000000" w:themeColor="text1"/>
        </w:rPr>
        <w:t xml:space="preserve">Conceptualizations of guilt and the corresponding relationships to emotional ambivalence, self-disclosure, loneliness and alienation. </w:t>
      </w:r>
      <w:r w:rsidRPr="005554ED">
        <w:rPr>
          <w:i/>
          <w:iCs/>
          <w:color w:val="000000" w:themeColor="text1"/>
        </w:rPr>
        <w:t>Personality and Individual Differences</w:t>
      </w:r>
      <w:r w:rsidRPr="005554ED">
        <w:rPr>
          <w:color w:val="000000" w:themeColor="text1"/>
        </w:rPr>
        <w:t xml:space="preserve">, </w:t>
      </w:r>
      <w:r w:rsidRPr="005554ED">
        <w:rPr>
          <w:i/>
          <w:iCs/>
          <w:color w:val="000000" w:themeColor="text1"/>
        </w:rPr>
        <w:t>47</w:t>
      </w:r>
      <w:r w:rsidRPr="005554ED">
        <w:rPr>
          <w:color w:val="000000" w:themeColor="text1"/>
        </w:rPr>
        <w:t xml:space="preserve">(5), 487–491. </w:t>
      </w:r>
      <w:hyperlink r:id="rId43" w:history="1">
        <w:r w:rsidRPr="005554ED">
          <w:rPr>
            <w:rStyle w:val="Hyperlink"/>
            <w:rFonts w:eastAsia="Arial"/>
            <w:color w:val="000000" w:themeColor="text1"/>
          </w:rPr>
          <w:t>https://doi.org/10.1016/j.paid.2009.04.023</w:t>
        </w:r>
      </w:hyperlink>
    </w:p>
    <w:p w14:paraId="699F7F79" w14:textId="77777777" w:rsidR="00B76713" w:rsidRPr="005554ED" w:rsidRDefault="00B76713" w:rsidP="00B76713">
      <w:pPr>
        <w:pStyle w:val="Bibliography"/>
        <w:rPr>
          <w:color w:val="000000" w:themeColor="text1"/>
        </w:rPr>
      </w:pPr>
      <w:r w:rsidRPr="005554ED">
        <w:rPr>
          <w:color w:val="000000" w:themeColor="text1"/>
        </w:rPr>
        <w:t xml:space="preserve">Bryan, J. L., Baker, Z. G., &amp; </w:t>
      </w:r>
      <w:proofErr w:type="spellStart"/>
      <w:r w:rsidRPr="005554ED">
        <w:rPr>
          <w:color w:val="000000" w:themeColor="text1"/>
        </w:rPr>
        <w:t>Tou</w:t>
      </w:r>
      <w:proofErr w:type="spellEnd"/>
      <w:r w:rsidRPr="005554ED">
        <w:rPr>
          <w:color w:val="000000" w:themeColor="text1"/>
        </w:rPr>
        <w:t xml:space="preserve">, R. Y. (2017). Prevent the blue, be true to you: Authenticity buffers the negative impact of loneliness on alcohol-related problems, physical symptoms, and depressive and anxiety symptoms. </w:t>
      </w:r>
      <w:r w:rsidRPr="005554ED">
        <w:rPr>
          <w:i/>
          <w:iCs/>
          <w:color w:val="000000" w:themeColor="text1"/>
        </w:rPr>
        <w:t>Journal of Health Psychology</w:t>
      </w:r>
      <w:r w:rsidRPr="005554ED">
        <w:rPr>
          <w:color w:val="000000" w:themeColor="text1"/>
        </w:rPr>
        <w:t xml:space="preserve">, </w:t>
      </w:r>
      <w:r w:rsidRPr="005554ED">
        <w:rPr>
          <w:i/>
          <w:iCs/>
          <w:color w:val="000000" w:themeColor="text1"/>
        </w:rPr>
        <w:t>22</w:t>
      </w:r>
      <w:r w:rsidRPr="005554ED">
        <w:rPr>
          <w:color w:val="000000" w:themeColor="text1"/>
        </w:rPr>
        <w:t xml:space="preserve">(5), 605–616. </w:t>
      </w:r>
      <w:hyperlink r:id="rId44" w:history="1">
        <w:r w:rsidRPr="005554ED">
          <w:rPr>
            <w:rStyle w:val="Hyperlink"/>
            <w:rFonts w:eastAsia="Arial"/>
            <w:color w:val="000000" w:themeColor="text1"/>
          </w:rPr>
          <w:t>https://doi.org/10.1177/1359105315609090</w:t>
        </w:r>
      </w:hyperlink>
    </w:p>
    <w:p w14:paraId="26EA3739" w14:textId="77777777" w:rsidR="00B76713" w:rsidRPr="005554ED" w:rsidRDefault="00B76713" w:rsidP="00B76713">
      <w:pPr>
        <w:pStyle w:val="Bibliography"/>
        <w:rPr>
          <w:color w:val="000000" w:themeColor="text1"/>
        </w:rPr>
      </w:pPr>
      <w:proofErr w:type="spellStart"/>
      <w:r w:rsidRPr="005554ED">
        <w:rPr>
          <w:color w:val="000000" w:themeColor="text1"/>
        </w:rPr>
        <w:t>Bulut</w:t>
      </w:r>
      <w:proofErr w:type="spellEnd"/>
      <w:r w:rsidRPr="005554ED">
        <w:rPr>
          <w:color w:val="000000" w:themeColor="text1"/>
        </w:rPr>
        <w:t xml:space="preserve"> Serin, N. (2011). An examination of predictor variables for problematic internet use. </w:t>
      </w:r>
      <w:r w:rsidRPr="005554ED">
        <w:rPr>
          <w:i/>
          <w:iCs/>
          <w:color w:val="000000" w:themeColor="text1"/>
        </w:rPr>
        <w:t>Turkish Online Journal of Educational Technology-TOJET</w:t>
      </w:r>
      <w:r w:rsidRPr="005554ED">
        <w:rPr>
          <w:color w:val="000000" w:themeColor="text1"/>
        </w:rPr>
        <w:t xml:space="preserve">, </w:t>
      </w:r>
      <w:r w:rsidRPr="005554ED">
        <w:rPr>
          <w:i/>
          <w:iCs/>
          <w:color w:val="000000" w:themeColor="text1"/>
        </w:rPr>
        <w:t>10</w:t>
      </w:r>
      <w:r w:rsidRPr="005554ED">
        <w:rPr>
          <w:color w:val="000000" w:themeColor="text1"/>
        </w:rPr>
        <w:t>(3), 54–62.</w:t>
      </w:r>
    </w:p>
    <w:p w14:paraId="02555FA0" w14:textId="77777777" w:rsidR="00B76713" w:rsidRPr="005554ED" w:rsidRDefault="00B76713" w:rsidP="00B76713">
      <w:pPr>
        <w:pStyle w:val="Bibliography"/>
        <w:rPr>
          <w:color w:val="000000" w:themeColor="text1"/>
        </w:rPr>
      </w:pPr>
      <w:r w:rsidRPr="005554ED">
        <w:rPr>
          <w:color w:val="000000" w:themeColor="text1"/>
        </w:rPr>
        <w:t xml:space="preserve">Burke, T. J., Ruppel, E. K., &amp; Dinsmore, D. R. (2016). Moving away and reaching out: Young adults’ relational maintenance and psychosocial well-being during the transition to college. </w:t>
      </w:r>
      <w:r w:rsidRPr="005554ED">
        <w:rPr>
          <w:i/>
          <w:iCs/>
          <w:color w:val="000000" w:themeColor="text1"/>
        </w:rPr>
        <w:t>Journal of Family Communication</w:t>
      </w:r>
      <w:r w:rsidRPr="005554ED">
        <w:rPr>
          <w:color w:val="000000" w:themeColor="text1"/>
        </w:rPr>
        <w:t xml:space="preserve">, </w:t>
      </w:r>
      <w:r w:rsidRPr="005554ED">
        <w:rPr>
          <w:i/>
          <w:iCs/>
          <w:color w:val="000000" w:themeColor="text1"/>
        </w:rPr>
        <w:t>16</w:t>
      </w:r>
      <w:r w:rsidRPr="005554ED">
        <w:rPr>
          <w:color w:val="000000" w:themeColor="text1"/>
        </w:rPr>
        <w:t xml:space="preserve">(2), 180–187. </w:t>
      </w:r>
      <w:hyperlink r:id="rId45" w:history="1">
        <w:r w:rsidRPr="005554ED">
          <w:rPr>
            <w:rStyle w:val="Hyperlink"/>
            <w:rFonts w:eastAsia="Arial"/>
            <w:color w:val="000000" w:themeColor="text1"/>
          </w:rPr>
          <w:t>https://doi.org/10.1080/15267431.2016.1146724</w:t>
        </w:r>
      </w:hyperlink>
    </w:p>
    <w:p w14:paraId="20422F67" w14:textId="77777777" w:rsidR="00B76713" w:rsidRPr="005554ED" w:rsidRDefault="00B76713" w:rsidP="00B76713">
      <w:pPr>
        <w:pStyle w:val="Bibliography"/>
        <w:rPr>
          <w:color w:val="000000" w:themeColor="text1"/>
        </w:rPr>
      </w:pPr>
      <w:r w:rsidRPr="005554ED">
        <w:rPr>
          <w:color w:val="000000" w:themeColor="text1"/>
        </w:rPr>
        <w:t xml:space="preserve">Cacioppo, J. T., Hawkley, L. C., Crawford, L. E., Ernst, J. M., Burleson, M. H., </w:t>
      </w:r>
      <w:proofErr w:type="spellStart"/>
      <w:r w:rsidRPr="005554ED">
        <w:rPr>
          <w:color w:val="000000" w:themeColor="text1"/>
        </w:rPr>
        <w:t>Kowalewski</w:t>
      </w:r>
      <w:proofErr w:type="spellEnd"/>
      <w:r w:rsidRPr="005554ED">
        <w:rPr>
          <w:color w:val="000000" w:themeColor="text1"/>
        </w:rPr>
        <w:t xml:space="preserve">, R. B., Malarkey, W. B., van </w:t>
      </w:r>
      <w:proofErr w:type="spellStart"/>
      <w:r w:rsidRPr="005554ED">
        <w:rPr>
          <w:color w:val="000000" w:themeColor="text1"/>
        </w:rPr>
        <w:t>Cauter</w:t>
      </w:r>
      <w:proofErr w:type="spellEnd"/>
      <w:r w:rsidRPr="005554ED">
        <w:rPr>
          <w:color w:val="000000" w:themeColor="text1"/>
        </w:rPr>
        <w:t xml:space="preserve">, E., &amp; </w:t>
      </w:r>
      <w:proofErr w:type="spellStart"/>
      <w:r w:rsidRPr="005554ED">
        <w:rPr>
          <w:color w:val="000000" w:themeColor="text1"/>
        </w:rPr>
        <w:t>Berntson</w:t>
      </w:r>
      <w:proofErr w:type="spellEnd"/>
      <w:r w:rsidRPr="005554ED">
        <w:rPr>
          <w:color w:val="000000" w:themeColor="text1"/>
        </w:rPr>
        <w:t xml:space="preserve">, G. G. (2002). Loneliness and health: Potential mechanisms. </w:t>
      </w:r>
      <w:r w:rsidRPr="005554ED">
        <w:rPr>
          <w:i/>
          <w:iCs/>
          <w:color w:val="000000" w:themeColor="text1"/>
        </w:rPr>
        <w:t>Psychosomatic Medicine</w:t>
      </w:r>
      <w:r w:rsidRPr="005554ED">
        <w:rPr>
          <w:color w:val="000000" w:themeColor="text1"/>
        </w:rPr>
        <w:t xml:space="preserve">, </w:t>
      </w:r>
      <w:r w:rsidRPr="005554ED">
        <w:rPr>
          <w:i/>
          <w:iCs/>
          <w:color w:val="000000" w:themeColor="text1"/>
        </w:rPr>
        <w:t>64</w:t>
      </w:r>
      <w:r w:rsidRPr="005554ED">
        <w:rPr>
          <w:color w:val="000000" w:themeColor="text1"/>
        </w:rPr>
        <w:t xml:space="preserve">(3), 407–417. </w:t>
      </w:r>
      <w:hyperlink r:id="rId46" w:history="1">
        <w:r w:rsidRPr="005554ED">
          <w:rPr>
            <w:rStyle w:val="Hyperlink"/>
            <w:rFonts w:eastAsia="Arial"/>
            <w:color w:val="000000" w:themeColor="text1"/>
          </w:rPr>
          <w:t>https://doi.org/10.1097/00006842-200205000-00005</w:t>
        </w:r>
      </w:hyperlink>
    </w:p>
    <w:p w14:paraId="262157B1" w14:textId="77777777" w:rsidR="00B76713" w:rsidRPr="005554ED" w:rsidRDefault="00B76713" w:rsidP="00B76713">
      <w:pPr>
        <w:pStyle w:val="Bibliography"/>
        <w:rPr>
          <w:color w:val="000000" w:themeColor="text1"/>
        </w:rPr>
      </w:pPr>
      <w:r w:rsidRPr="005554ED">
        <w:rPr>
          <w:color w:val="000000" w:themeColor="text1"/>
        </w:rPr>
        <w:t xml:space="preserve">Caitlin M. Clark. (2017). </w:t>
      </w:r>
      <w:r w:rsidRPr="005554ED">
        <w:rPr>
          <w:i/>
          <w:iCs/>
          <w:color w:val="000000" w:themeColor="text1"/>
        </w:rPr>
        <w:t>Validation of the Young Adult Relational Aggression Scale</w:t>
      </w:r>
      <w:r w:rsidRPr="005554ED">
        <w:rPr>
          <w:color w:val="000000" w:themeColor="text1"/>
        </w:rPr>
        <w:t>. The University of Southern Mississippi, College of Education and Psychology.</w:t>
      </w:r>
    </w:p>
    <w:p w14:paraId="682DE08A" w14:textId="77777777" w:rsidR="00B76713" w:rsidRPr="005554ED" w:rsidRDefault="00B76713" w:rsidP="00B76713">
      <w:pPr>
        <w:pStyle w:val="Bibliography"/>
        <w:rPr>
          <w:color w:val="000000" w:themeColor="text1"/>
        </w:rPr>
      </w:pPr>
      <w:r w:rsidRPr="005554ED">
        <w:rPr>
          <w:color w:val="000000" w:themeColor="text1"/>
        </w:rPr>
        <w:lastRenderedPageBreak/>
        <w:t xml:space="preserve">Canary, D. J., &amp; </w:t>
      </w:r>
      <w:proofErr w:type="spellStart"/>
      <w:r w:rsidRPr="005554ED">
        <w:rPr>
          <w:color w:val="000000" w:themeColor="text1"/>
        </w:rPr>
        <w:t>Spitzberg</w:t>
      </w:r>
      <w:proofErr w:type="spellEnd"/>
      <w:r w:rsidRPr="005554ED">
        <w:rPr>
          <w:color w:val="000000" w:themeColor="text1"/>
        </w:rPr>
        <w:t xml:space="preserve">, B. H. (1993). Loneliness and media gratifications. </w:t>
      </w:r>
      <w:r w:rsidRPr="005554ED">
        <w:rPr>
          <w:i/>
          <w:iCs/>
          <w:color w:val="000000" w:themeColor="text1"/>
        </w:rPr>
        <w:t>Communication Research</w:t>
      </w:r>
      <w:r w:rsidRPr="005554ED">
        <w:rPr>
          <w:color w:val="000000" w:themeColor="text1"/>
        </w:rPr>
        <w:t xml:space="preserve">, </w:t>
      </w:r>
      <w:r w:rsidRPr="005554ED">
        <w:rPr>
          <w:i/>
          <w:iCs/>
          <w:color w:val="000000" w:themeColor="text1"/>
        </w:rPr>
        <w:t>20</w:t>
      </w:r>
      <w:r w:rsidRPr="005554ED">
        <w:rPr>
          <w:color w:val="000000" w:themeColor="text1"/>
        </w:rPr>
        <w:t xml:space="preserve">(6), 800–821. </w:t>
      </w:r>
      <w:hyperlink r:id="rId47" w:history="1">
        <w:r w:rsidRPr="005554ED">
          <w:rPr>
            <w:rStyle w:val="Hyperlink"/>
            <w:rFonts w:eastAsia="Arial"/>
            <w:color w:val="000000" w:themeColor="text1"/>
          </w:rPr>
          <w:t>https://doi.org/10.1177/009365093020006003</w:t>
        </w:r>
      </w:hyperlink>
    </w:p>
    <w:p w14:paraId="430BF3A9" w14:textId="77777777" w:rsidR="00B76713" w:rsidRPr="005554ED" w:rsidRDefault="00B76713" w:rsidP="00B76713">
      <w:pPr>
        <w:pStyle w:val="Bibliography"/>
        <w:rPr>
          <w:color w:val="000000" w:themeColor="text1"/>
        </w:rPr>
      </w:pPr>
      <w:proofErr w:type="spellStart"/>
      <w:r w:rsidRPr="005554ED">
        <w:rPr>
          <w:color w:val="000000" w:themeColor="text1"/>
        </w:rPr>
        <w:t>Canevello</w:t>
      </w:r>
      <w:proofErr w:type="spellEnd"/>
      <w:r w:rsidRPr="005554ED">
        <w:rPr>
          <w:color w:val="000000" w:themeColor="text1"/>
        </w:rPr>
        <w:t xml:space="preserve">, A., &amp; Crocker, J. (2017). Compassionate goals and affect in social situations. </w:t>
      </w:r>
      <w:r w:rsidRPr="005554ED">
        <w:rPr>
          <w:i/>
          <w:iCs/>
          <w:color w:val="000000" w:themeColor="text1"/>
        </w:rPr>
        <w:t>Motivation and Emotion</w:t>
      </w:r>
      <w:r w:rsidRPr="005554ED">
        <w:rPr>
          <w:color w:val="000000" w:themeColor="text1"/>
        </w:rPr>
        <w:t xml:space="preserve">, </w:t>
      </w:r>
      <w:r w:rsidRPr="005554ED">
        <w:rPr>
          <w:i/>
          <w:iCs/>
          <w:color w:val="000000" w:themeColor="text1"/>
        </w:rPr>
        <w:t>41</w:t>
      </w:r>
      <w:r w:rsidRPr="005554ED">
        <w:rPr>
          <w:color w:val="000000" w:themeColor="text1"/>
        </w:rPr>
        <w:t xml:space="preserve">(2), 158–179. </w:t>
      </w:r>
      <w:hyperlink r:id="rId48" w:history="1">
        <w:r w:rsidRPr="005554ED">
          <w:rPr>
            <w:rStyle w:val="Hyperlink"/>
            <w:rFonts w:eastAsia="Arial"/>
            <w:color w:val="000000" w:themeColor="text1"/>
          </w:rPr>
          <w:t>https://doi.org/10.1007/s11031-016-9599-x</w:t>
        </w:r>
      </w:hyperlink>
    </w:p>
    <w:p w14:paraId="3C8F78F4" w14:textId="77777777" w:rsidR="00B76713" w:rsidRPr="005554ED" w:rsidRDefault="00B76713" w:rsidP="00B76713">
      <w:pPr>
        <w:pStyle w:val="Bibliography"/>
        <w:rPr>
          <w:color w:val="000000" w:themeColor="text1"/>
        </w:rPr>
      </w:pPr>
      <w:proofErr w:type="spellStart"/>
      <w:r w:rsidRPr="005554ED">
        <w:rPr>
          <w:color w:val="000000" w:themeColor="text1"/>
        </w:rPr>
        <w:t>Carr</w:t>
      </w:r>
      <w:proofErr w:type="spellEnd"/>
      <w:r w:rsidRPr="005554ED">
        <w:rPr>
          <w:color w:val="000000" w:themeColor="text1"/>
        </w:rPr>
        <w:t xml:space="preserve">, S., Colthurst, K., Coyle, M., &amp; Elliott, D. (2013). Attachment dimensions as predictors of mental health and psychosocial well-being in the transition to university. </w:t>
      </w:r>
      <w:r w:rsidRPr="005554ED">
        <w:rPr>
          <w:i/>
          <w:iCs/>
          <w:color w:val="000000" w:themeColor="text1"/>
        </w:rPr>
        <w:t>European Journal of Psychology of Education</w:t>
      </w:r>
      <w:r w:rsidRPr="005554ED">
        <w:rPr>
          <w:color w:val="000000" w:themeColor="text1"/>
        </w:rPr>
        <w:t xml:space="preserve">, </w:t>
      </w:r>
      <w:r w:rsidRPr="005554ED">
        <w:rPr>
          <w:i/>
          <w:iCs/>
          <w:color w:val="000000" w:themeColor="text1"/>
        </w:rPr>
        <w:t>28</w:t>
      </w:r>
      <w:r w:rsidRPr="005554ED">
        <w:rPr>
          <w:color w:val="000000" w:themeColor="text1"/>
        </w:rPr>
        <w:t xml:space="preserve">(2), 157–172. </w:t>
      </w:r>
      <w:hyperlink r:id="rId49" w:history="1">
        <w:r w:rsidRPr="005554ED">
          <w:rPr>
            <w:rStyle w:val="Hyperlink"/>
            <w:rFonts w:eastAsia="Arial"/>
            <w:color w:val="000000" w:themeColor="text1"/>
          </w:rPr>
          <w:t>https://doi.org/10.1007/s10212-012-0106-9</w:t>
        </w:r>
      </w:hyperlink>
    </w:p>
    <w:p w14:paraId="67200B52" w14:textId="77777777" w:rsidR="00B76713" w:rsidRPr="005554ED" w:rsidRDefault="00B76713" w:rsidP="00B76713">
      <w:pPr>
        <w:pStyle w:val="Bibliography"/>
        <w:rPr>
          <w:color w:val="000000" w:themeColor="text1"/>
        </w:rPr>
      </w:pPr>
      <w:proofErr w:type="spellStart"/>
      <w:r w:rsidRPr="005554ED">
        <w:rPr>
          <w:color w:val="000000" w:themeColor="text1"/>
        </w:rPr>
        <w:t>Çeçen</w:t>
      </w:r>
      <w:proofErr w:type="spellEnd"/>
      <w:r w:rsidRPr="005554ED">
        <w:rPr>
          <w:color w:val="000000" w:themeColor="text1"/>
        </w:rPr>
        <w:t xml:space="preserve">, A. R. (2007). Humor styles in predicting loneliness among Turkish university students. </w:t>
      </w:r>
      <w:r w:rsidRPr="005554ED">
        <w:rPr>
          <w:i/>
          <w:iCs/>
          <w:color w:val="000000" w:themeColor="text1"/>
        </w:rPr>
        <w:t>Social Behavior and Personality: An International Journal</w:t>
      </w:r>
      <w:r w:rsidRPr="005554ED">
        <w:rPr>
          <w:color w:val="000000" w:themeColor="text1"/>
        </w:rPr>
        <w:t xml:space="preserve">, </w:t>
      </w:r>
      <w:r w:rsidRPr="005554ED">
        <w:rPr>
          <w:i/>
          <w:iCs/>
          <w:color w:val="000000" w:themeColor="text1"/>
        </w:rPr>
        <w:t>35</w:t>
      </w:r>
      <w:r w:rsidRPr="005554ED">
        <w:rPr>
          <w:color w:val="000000" w:themeColor="text1"/>
        </w:rPr>
        <w:t xml:space="preserve">(6), 835–844. </w:t>
      </w:r>
      <w:hyperlink r:id="rId50" w:history="1">
        <w:r w:rsidRPr="005554ED">
          <w:rPr>
            <w:rStyle w:val="Hyperlink"/>
            <w:rFonts w:eastAsia="Arial"/>
            <w:color w:val="000000" w:themeColor="text1"/>
          </w:rPr>
          <w:t>https://doi.org/10.2224/sbp.2007.35.6.835</w:t>
        </w:r>
      </w:hyperlink>
    </w:p>
    <w:p w14:paraId="535F2B18" w14:textId="77777777" w:rsidR="00B76713" w:rsidRPr="005554ED" w:rsidRDefault="00B76713" w:rsidP="00B76713">
      <w:pPr>
        <w:pStyle w:val="Bibliography"/>
        <w:rPr>
          <w:color w:val="000000" w:themeColor="text1"/>
        </w:rPr>
      </w:pPr>
      <w:proofErr w:type="spellStart"/>
      <w:r w:rsidRPr="005554ED">
        <w:rPr>
          <w:color w:val="000000" w:themeColor="text1"/>
        </w:rPr>
        <w:t>Cecen</w:t>
      </w:r>
      <w:proofErr w:type="spellEnd"/>
      <w:r w:rsidRPr="005554ED">
        <w:rPr>
          <w:color w:val="000000" w:themeColor="text1"/>
        </w:rPr>
        <w:t xml:space="preserve">, A. R. (2008). The effects of gender and loneliness levels on ways of coping among university students. </w:t>
      </w:r>
      <w:r w:rsidRPr="005554ED">
        <w:rPr>
          <w:i/>
          <w:iCs/>
          <w:color w:val="000000" w:themeColor="text1"/>
        </w:rPr>
        <w:t>College Student Journal</w:t>
      </w:r>
      <w:r w:rsidRPr="005554ED">
        <w:rPr>
          <w:color w:val="000000" w:themeColor="text1"/>
        </w:rPr>
        <w:t xml:space="preserve">, </w:t>
      </w:r>
      <w:r w:rsidRPr="005554ED">
        <w:rPr>
          <w:i/>
          <w:iCs/>
          <w:color w:val="000000" w:themeColor="text1"/>
        </w:rPr>
        <w:t>42</w:t>
      </w:r>
      <w:r w:rsidRPr="005554ED">
        <w:rPr>
          <w:color w:val="000000" w:themeColor="text1"/>
        </w:rPr>
        <w:t>(2), 510–516.</w:t>
      </w:r>
    </w:p>
    <w:p w14:paraId="05051D8D" w14:textId="77777777" w:rsidR="00B76713" w:rsidRPr="005554ED" w:rsidRDefault="00B76713" w:rsidP="00B76713">
      <w:pPr>
        <w:pStyle w:val="Bibliography"/>
        <w:rPr>
          <w:color w:val="000000" w:themeColor="text1"/>
        </w:rPr>
      </w:pPr>
      <w:r w:rsidRPr="005554ED">
        <w:rPr>
          <w:color w:val="000000" w:themeColor="text1"/>
        </w:rPr>
        <w:t xml:space="preserve">Chambless, C. B. (2010). </w:t>
      </w:r>
      <w:r w:rsidRPr="005554ED">
        <w:rPr>
          <w:i/>
          <w:iCs/>
          <w:color w:val="000000" w:themeColor="text1"/>
        </w:rPr>
        <w:t>Long-Term effects of bullying: Exploring the relationships among recalled experiences with bullying, current coping resources, and reported symptoms of distress</w:t>
      </w:r>
      <w:r w:rsidRPr="005554ED">
        <w:rPr>
          <w:color w:val="000000" w:themeColor="text1"/>
        </w:rPr>
        <w:t>. Georgia State University, College of Education.</w:t>
      </w:r>
    </w:p>
    <w:p w14:paraId="304B57EE" w14:textId="77777777" w:rsidR="00B76713" w:rsidRPr="005554ED" w:rsidRDefault="00B76713" w:rsidP="00B76713">
      <w:pPr>
        <w:pStyle w:val="Bibliography"/>
        <w:rPr>
          <w:color w:val="000000" w:themeColor="text1"/>
        </w:rPr>
      </w:pPr>
      <w:r w:rsidRPr="005554ED">
        <w:rPr>
          <w:color w:val="000000" w:themeColor="text1"/>
        </w:rPr>
        <w:t xml:space="preserve">Chang, E. C. (2017). Perfectionism and </w:t>
      </w:r>
      <w:proofErr w:type="spellStart"/>
      <w:r w:rsidRPr="005554ED">
        <w:rPr>
          <w:color w:val="000000" w:themeColor="text1"/>
        </w:rPr>
        <w:t>oneliness</w:t>
      </w:r>
      <w:proofErr w:type="spellEnd"/>
      <w:r w:rsidRPr="005554ED">
        <w:rPr>
          <w:color w:val="000000" w:themeColor="text1"/>
        </w:rPr>
        <w:t xml:space="preserve"> as predictors of depressive and anxious symptoms in African American adults: Further evidence for a top-down additive model. </w:t>
      </w:r>
      <w:r w:rsidRPr="005554ED">
        <w:rPr>
          <w:i/>
          <w:iCs/>
          <w:color w:val="000000" w:themeColor="text1"/>
        </w:rPr>
        <w:t>Cognitive Therapy and Research</w:t>
      </w:r>
      <w:r w:rsidRPr="005554ED">
        <w:rPr>
          <w:color w:val="000000" w:themeColor="text1"/>
        </w:rPr>
        <w:t xml:space="preserve">, </w:t>
      </w:r>
      <w:r w:rsidRPr="005554ED">
        <w:rPr>
          <w:i/>
          <w:iCs/>
          <w:color w:val="000000" w:themeColor="text1"/>
        </w:rPr>
        <w:t>41</w:t>
      </w:r>
      <w:r w:rsidRPr="005554ED">
        <w:rPr>
          <w:color w:val="000000" w:themeColor="text1"/>
        </w:rPr>
        <w:t xml:space="preserve">(5), 720–729. </w:t>
      </w:r>
      <w:hyperlink r:id="rId51" w:history="1">
        <w:r w:rsidRPr="005554ED">
          <w:rPr>
            <w:rStyle w:val="Hyperlink"/>
            <w:rFonts w:eastAsia="Arial"/>
            <w:color w:val="000000" w:themeColor="text1"/>
          </w:rPr>
          <w:t>https://doi.org/10.1007/s10608-017-9843-z</w:t>
        </w:r>
      </w:hyperlink>
    </w:p>
    <w:p w14:paraId="557917A8" w14:textId="77777777" w:rsidR="00B76713" w:rsidRPr="005554ED" w:rsidRDefault="00B76713" w:rsidP="00B76713">
      <w:pPr>
        <w:pStyle w:val="Bibliography"/>
        <w:rPr>
          <w:color w:val="000000" w:themeColor="text1"/>
        </w:rPr>
      </w:pPr>
      <w:r w:rsidRPr="005554ED">
        <w:rPr>
          <w:color w:val="000000" w:themeColor="text1"/>
        </w:rPr>
        <w:t xml:space="preserve">Chang, E. C. (2018). Relationship between loneliness and symptoms of anxiety and depression in African American men and women: Evidence for gender as a moderator. </w:t>
      </w:r>
      <w:r w:rsidRPr="005554ED">
        <w:rPr>
          <w:i/>
          <w:iCs/>
          <w:color w:val="000000" w:themeColor="text1"/>
        </w:rPr>
        <w:t>Personality and Individual Differences</w:t>
      </w:r>
      <w:r w:rsidRPr="005554ED">
        <w:rPr>
          <w:color w:val="000000" w:themeColor="text1"/>
        </w:rPr>
        <w:t xml:space="preserve">, </w:t>
      </w:r>
      <w:r w:rsidRPr="005554ED">
        <w:rPr>
          <w:i/>
          <w:iCs/>
          <w:color w:val="000000" w:themeColor="text1"/>
        </w:rPr>
        <w:t>120</w:t>
      </w:r>
      <w:r w:rsidRPr="005554ED">
        <w:rPr>
          <w:color w:val="000000" w:themeColor="text1"/>
        </w:rPr>
        <w:t xml:space="preserve">, 138–143. </w:t>
      </w:r>
      <w:hyperlink r:id="rId52" w:history="1">
        <w:r w:rsidRPr="005554ED">
          <w:rPr>
            <w:rStyle w:val="Hyperlink"/>
            <w:rFonts w:eastAsia="Arial"/>
            <w:color w:val="000000" w:themeColor="text1"/>
          </w:rPr>
          <w:t>https://doi.org/10.1016/j.paid.2017.08.035</w:t>
        </w:r>
      </w:hyperlink>
    </w:p>
    <w:p w14:paraId="218D6BD7" w14:textId="77777777" w:rsidR="00B76713" w:rsidRPr="005554ED" w:rsidRDefault="00B76713" w:rsidP="00B76713">
      <w:pPr>
        <w:pStyle w:val="Bibliography"/>
        <w:rPr>
          <w:color w:val="000000" w:themeColor="text1"/>
        </w:rPr>
      </w:pPr>
      <w:r w:rsidRPr="005554ED">
        <w:rPr>
          <w:color w:val="000000" w:themeColor="text1"/>
        </w:rPr>
        <w:lastRenderedPageBreak/>
        <w:t xml:space="preserve">Chang, E. C., Chang, O. D., </w:t>
      </w:r>
      <w:proofErr w:type="spellStart"/>
      <w:r w:rsidRPr="005554ED">
        <w:rPr>
          <w:color w:val="000000" w:themeColor="text1"/>
        </w:rPr>
        <w:t>Martos</w:t>
      </w:r>
      <w:proofErr w:type="spellEnd"/>
      <w:r w:rsidRPr="005554ED">
        <w:rPr>
          <w:color w:val="000000" w:themeColor="text1"/>
        </w:rPr>
        <w:t xml:space="preserve">, T., </w:t>
      </w:r>
      <w:proofErr w:type="spellStart"/>
      <w:r w:rsidRPr="005554ED">
        <w:rPr>
          <w:color w:val="000000" w:themeColor="text1"/>
        </w:rPr>
        <w:t>Sallay</w:t>
      </w:r>
      <w:proofErr w:type="spellEnd"/>
      <w:r w:rsidRPr="005554ED">
        <w:rPr>
          <w:color w:val="000000" w:themeColor="text1"/>
        </w:rPr>
        <w:t xml:space="preserve">, V., Lee, J., Stam, K. R., </w:t>
      </w:r>
      <w:proofErr w:type="spellStart"/>
      <w:r w:rsidRPr="005554ED">
        <w:rPr>
          <w:color w:val="000000" w:themeColor="text1"/>
        </w:rPr>
        <w:t>Batterbee</w:t>
      </w:r>
      <w:proofErr w:type="spellEnd"/>
      <w:r w:rsidRPr="005554ED">
        <w:rPr>
          <w:color w:val="000000" w:themeColor="text1"/>
        </w:rPr>
        <w:t xml:space="preserve">, C. N.-H., &amp; Yu, T. (2017). Family support as a moderator of the relationship between loneliness and suicide risk in college students. </w:t>
      </w:r>
      <w:r w:rsidRPr="005554ED">
        <w:rPr>
          <w:i/>
          <w:iCs/>
          <w:color w:val="000000" w:themeColor="text1"/>
        </w:rPr>
        <w:t>The Family Journal</w:t>
      </w:r>
      <w:r w:rsidRPr="005554ED">
        <w:rPr>
          <w:color w:val="000000" w:themeColor="text1"/>
        </w:rPr>
        <w:t xml:space="preserve">, </w:t>
      </w:r>
      <w:r w:rsidRPr="005554ED">
        <w:rPr>
          <w:i/>
          <w:iCs/>
          <w:color w:val="000000" w:themeColor="text1"/>
        </w:rPr>
        <w:t>25</w:t>
      </w:r>
      <w:r w:rsidRPr="005554ED">
        <w:rPr>
          <w:color w:val="000000" w:themeColor="text1"/>
        </w:rPr>
        <w:t xml:space="preserve">(3), 257–263. </w:t>
      </w:r>
      <w:hyperlink r:id="rId53" w:history="1">
        <w:r w:rsidRPr="005554ED">
          <w:rPr>
            <w:rStyle w:val="Hyperlink"/>
            <w:rFonts w:eastAsia="Arial"/>
            <w:color w:val="000000" w:themeColor="text1"/>
          </w:rPr>
          <w:t>https://doi.org/10.1177/1066480717711102</w:t>
        </w:r>
      </w:hyperlink>
    </w:p>
    <w:p w14:paraId="496EC87C" w14:textId="77777777" w:rsidR="00B76713" w:rsidRPr="005554ED" w:rsidRDefault="00B76713" w:rsidP="00B76713">
      <w:pPr>
        <w:pStyle w:val="Bibliography"/>
        <w:rPr>
          <w:color w:val="000000" w:themeColor="text1"/>
        </w:rPr>
      </w:pPr>
      <w:r w:rsidRPr="005554ED">
        <w:rPr>
          <w:color w:val="000000" w:themeColor="text1"/>
        </w:rPr>
        <w:t xml:space="preserve">Chang, E. C., Chang, O. D., </w:t>
      </w:r>
      <w:proofErr w:type="spellStart"/>
      <w:r w:rsidRPr="005554ED">
        <w:rPr>
          <w:color w:val="000000" w:themeColor="text1"/>
        </w:rPr>
        <w:t>Martos</w:t>
      </w:r>
      <w:proofErr w:type="spellEnd"/>
      <w:r w:rsidRPr="005554ED">
        <w:rPr>
          <w:color w:val="000000" w:themeColor="text1"/>
        </w:rPr>
        <w:t xml:space="preserve">, T., </w:t>
      </w:r>
      <w:proofErr w:type="spellStart"/>
      <w:r w:rsidRPr="005554ED">
        <w:rPr>
          <w:color w:val="000000" w:themeColor="text1"/>
        </w:rPr>
        <w:t>Sallay</w:t>
      </w:r>
      <w:proofErr w:type="spellEnd"/>
      <w:r w:rsidRPr="005554ED">
        <w:rPr>
          <w:color w:val="000000" w:themeColor="text1"/>
        </w:rPr>
        <w:t xml:space="preserve">, V., Li, X., Lucas, A. G., &amp; Lee, J. (2018). Does optimism weaken the negative effects of being lonely on suicide risk? </w:t>
      </w:r>
      <w:r w:rsidRPr="005554ED">
        <w:rPr>
          <w:i/>
          <w:iCs/>
          <w:color w:val="000000" w:themeColor="text1"/>
        </w:rPr>
        <w:t>Death Studies</w:t>
      </w:r>
      <w:r w:rsidRPr="005554ED">
        <w:rPr>
          <w:color w:val="000000" w:themeColor="text1"/>
        </w:rPr>
        <w:t xml:space="preserve">, </w:t>
      </w:r>
      <w:r w:rsidRPr="005554ED">
        <w:rPr>
          <w:i/>
          <w:iCs/>
          <w:color w:val="000000" w:themeColor="text1"/>
        </w:rPr>
        <w:t>42</w:t>
      </w:r>
      <w:r w:rsidRPr="005554ED">
        <w:rPr>
          <w:color w:val="000000" w:themeColor="text1"/>
        </w:rPr>
        <w:t xml:space="preserve">(1), 63–68. </w:t>
      </w:r>
      <w:hyperlink r:id="rId54" w:history="1">
        <w:r w:rsidRPr="005554ED">
          <w:rPr>
            <w:rStyle w:val="Hyperlink"/>
            <w:rFonts w:eastAsia="Arial"/>
            <w:color w:val="000000" w:themeColor="text1"/>
          </w:rPr>
          <w:t>https://doi.org/10.1080/07481187.2017.1332115</w:t>
        </w:r>
      </w:hyperlink>
    </w:p>
    <w:p w14:paraId="3A0E0B6C" w14:textId="77777777" w:rsidR="00B76713" w:rsidRPr="005554ED" w:rsidRDefault="00B76713" w:rsidP="00B76713">
      <w:pPr>
        <w:pStyle w:val="Bibliography"/>
        <w:rPr>
          <w:color w:val="000000" w:themeColor="text1"/>
        </w:rPr>
      </w:pPr>
      <w:r w:rsidRPr="005554ED">
        <w:rPr>
          <w:color w:val="000000" w:themeColor="text1"/>
        </w:rPr>
        <w:t xml:space="preserve">Chang, E. C., Díaz, L., Lucas, A. G., Lee, J., Powell, N. J., </w:t>
      </w:r>
      <w:proofErr w:type="spellStart"/>
      <w:r w:rsidRPr="005554ED">
        <w:rPr>
          <w:color w:val="000000" w:themeColor="text1"/>
        </w:rPr>
        <w:t>Kafelghazal</w:t>
      </w:r>
      <w:proofErr w:type="spellEnd"/>
      <w:r w:rsidRPr="005554ED">
        <w:rPr>
          <w:color w:val="000000" w:themeColor="text1"/>
        </w:rPr>
        <w:t xml:space="preserve">, S., </w:t>
      </w:r>
      <w:proofErr w:type="spellStart"/>
      <w:r w:rsidRPr="005554ED">
        <w:rPr>
          <w:color w:val="000000" w:themeColor="text1"/>
        </w:rPr>
        <w:t>Chartier</w:t>
      </w:r>
      <w:proofErr w:type="spellEnd"/>
      <w:r w:rsidRPr="005554ED">
        <w:rPr>
          <w:color w:val="000000" w:themeColor="text1"/>
        </w:rPr>
        <w:t xml:space="preserve">, S. J., Morris, L. E., Marshall-Broaden, T. M., Hirsch, J. K., &amp; </w:t>
      </w:r>
      <w:proofErr w:type="spellStart"/>
      <w:r w:rsidRPr="005554ED">
        <w:rPr>
          <w:color w:val="000000" w:themeColor="text1"/>
        </w:rPr>
        <w:t>Jeglic</w:t>
      </w:r>
      <w:proofErr w:type="spellEnd"/>
      <w:r w:rsidRPr="005554ED">
        <w:rPr>
          <w:color w:val="000000" w:themeColor="text1"/>
        </w:rPr>
        <w:t xml:space="preserve">, E. L. (2017). Ethnic identity and loneliness in predicting suicide risk in Latino college students. </w:t>
      </w:r>
      <w:r w:rsidRPr="005554ED">
        <w:rPr>
          <w:i/>
          <w:iCs/>
          <w:color w:val="000000" w:themeColor="text1"/>
        </w:rPr>
        <w:t>Hispanic Journal of Behavioral Sciences</w:t>
      </w:r>
      <w:r w:rsidRPr="005554ED">
        <w:rPr>
          <w:color w:val="000000" w:themeColor="text1"/>
        </w:rPr>
        <w:t xml:space="preserve">, </w:t>
      </w:r>
      <w:r w:rsidRPr="005554ED">
        <w:rPr>
          <w:i/>
          <w:iCs/>
          <w:color w:val="000000" w:themeColor="text1"/>
        </w:rPr>
        <w:t>39</w:t>
      </w:r>
      <w:r w:rsidRPr="005554ED">
        <w:rPr>
          <w:color w:val="000000" w:themeColor="text1"/>
        </w:rPr>
        <w:t xml:space="preserve">(4), 470–485. </w:t>
      </w:r>
      <w:hyperlink r:id="rId55" w:history="1">
        <w:r w:rsidRPr="005554ED">
          <w:rPr>
            <w:rStyle w:val="Hyperlink"/>
            <w:rFonts w:eastAsia="Arial"/>
            <w:color w:val="000000" w:themeColor="text1"/>
          </w:rPr>
          <w:t>https://doi.org/10.1177/0739986317738028</w:t>
        </w:r>
      </w:hyperlink>
    </w:p>
    <w:p w14:paraId="47D907EC" w14:textId="77777777" w:rsidR="00B76713" w:rsidRPr="005554ED" w:rsidRDefault="00B76713" w:rsidP="00B76713">
      <w:pPr>
        <w:pStyle w:val="Bibliography"/>
        <w:rPr>
          <w:color w:val="000000" w:themeColor="text1"/>
        </w:rPr>
      </w:pPr>
      <w:r w:rsidRPr="005554ED">
        <w:rPr>
          <w:color w:val="000000" w:themeColor="text1"/>
        </w:rPr>
        <w:t xml:space="preserve">Chang, E. C., Hirsch, J. K., </w:t>
      </w:r>
      <w:proofErr w:type="spellStart"/>
      <w:r w:rsidRPr="005554ED">
        <w:rPr>
          <w:color w:val="000000" w:themeColor="text1"/>
        </w:rPr>
        <w:t>Sanna</w:t>
      </w:r>
      <w:proofErr w:type="spellEnd"/>
      <w:r w:rsidRPr="005554ED">
        <w:rPr>
          <w:color w:val="000000" w:themeColor="text1"/>
        </w:rPr>
        <w:t xml:space="preserve">, L. J., </w:t>
      </w:r>
      <w:proofErr w:type="spellStart"/>
      <w:r w:rsidRPr="005554ED">
        <w:rPr>
          <w:color w:val="000000" w:themeColor="text1"/>
        </w:rPr>
        <w:t>Jeglic</w:t>
      </w:r>
      <w:proofErr w:type="spellEnd"/>
      <w:r w:rsidRPr="005554ED">
        <w:rPr>
          <w:color w:val="000000" w:themeColor="text1"/>
        </w:rPr>
        <w:t xml:space="preserve">, E. L., &amp; Fabian, C. G. (2011). A preliminary study of perfectionism and loneliness as predictors of depressive and anxious symptoms in Latinas: A top-down test of a model. </w:t>
      </w:r>
      <w:r w:rsidRPr="005554ED">
        <w:rPr>
          <w:i/>
          <w:iCs/>
          <w:color w:val="000000" w:themeColor="text1"/>
        </w:rPr>
        <w:t>Journal of Counseling Psychology</w:t>
      </w:r>
      <w:r w:rsidRPr="005554ED">
        <w:rPr>
          <w:color w:val="000000" w:themeColor="text1"/>
        </w:rPr>
        <w:t xml:space="preserve">, </w:t>
      </w:r>
      <w:r w:rsidRPr="005554ED">
        <w:rPr>
          <w:i/>
          <w:iCs/>
          <w:color w:val="000000" w:themeColor="text1"/>
        </w:rPr>
        <w:t>58</w:t>
      </w:r>
      <w:r w:rsidRPr="005554ED">
        <w:rPr>
          <w:color w:val="000000" w:themeColor="text1"/>
        </w:rPr>
        <w:t xml:space="preserve">(3), 441–448. </w:t>
      </w:r>
      <w:hyperlink r:id="rId56" w:history="1">
        <w:r w:rsidRPr="005554ED">
          <w:rPr>
            <w:rStyle w:val="Hyperlink"/>
            <w:rFonts w:eastAsia="Arial"/>
            <w:color w:val="000000" w:themeColor="text1"/>
          </w:rPr>
          <w:t>https://doi.org/10.1037/a0023255</w:t>
        </w:r>
      </w:hyperlink>
    </w:p>
    <w:p w14:paraId="6C11D2D5" w14:textId="77777777" w:rsidR="00B76713" w:rsidRPr="005554ED" w:rsidRDefault="00B76713" w:rsidP="00B76713">
      <w:pPr>
        <w:pStyle w:val="Bibliography"/>
        <w:rPr>
          <w:color w:val="000000" w:themeColor="text1"/>
        </w:rPr>
      </w:pPr>
      <w:r w:rsidRPr="005554ED">
        <w:rPr>
          <w:color w:val="000000" w:themeColor="text1"/>
        </w:rPr>
        <w:t xml:space="preserve">Chang, E. C., Lian, X., Yu, T., Qu, J., Zhang, B., Jia, W., Hu, Q., Li, J., Wu, J., &amp; Hirsch, J. K. (2015). Loneliness under assault: Understanding the impact of sexual assault on the relation between loneliness and suicidal risk in college students. </w:t>
      </w:r>
      <w:r w:rsidRPr="005554ED">
        <w:rPr>
          <w:i/>
          <w:iCs/>
          <w:color w:val="000000" w:themeColor="text1"/>
        </w:rPr>
        <w:t>Personality and Individual Differences</w:t>
      </w:r>
      <w:r w:rsidRPr="005554ED">
        <w:rPr>
          <w:color w:val="000000" w:themeColor="text1"/>
        </w:rPr>
        <w:t xml:space="preserve">, </w:t>
      </w:r>
      <w:r w:rsidRPr="005554ED">
        <w:rPr>
          <w:i/>
          <w:iCs/>
          <w:color w:val="000000" w:themeColor="text1"/>
        </w:rPr>
        <w:t>72</w:t>
      </w:r>
      <w:r w:rsidRPr="005554ED">
        <w:rPr>
          <w:color w:val="000000" w:themeColor="text1"/>
        </w:rPr>
        <w:t xml:space="preserve">, 155–159. </w:t>
      </w:r>
      <w:hyperlink r:id="rId57" w:history="1">
        <w:r w:rsidRPr="005554ED">
          <w:rPr>
            <w:rStyle w:val="Hyperlink"/>
            <w:rFonts w:eastAsia="Arial"/>
            <w:color w:val="000000" w:themeColor="text1"/>
          </w:rPr>
          <w:t>https://doi.org/10.1016/j.paid.2014.09.001</w:t>
        </w:r>
      </w:hyperlink>
    </w:p>
    <w:p w14:paraId="02D21704" w14:textId="77777777" w:rsidR="00B76713" w:rsidRPr="005554ED" w:rsidRDefault="00B76713" w:rsidP="00B76713">
      <w:pPr>
        <w:pStyle w:val="Bibliography"/>
        <w:rPr>
          <w:color w:val="000000" w:themeColor="text1"/>
        </w:rPr>
      </w:pPr>
      <w:r w:rsidRPr="005554ED">
        <w:rPr>
          <w:color w:val="000000" w:themeColor="text1"/>
        </w:rPr>
        <w:t xml:space="preserve">Chang, E. C., </w:t>
      </w:r>
      <w:proofErr w:type="spellStart"/>
      <w:r w:rsidRPr="005554ED">
        <w:rPr>
          <w:color w:val="000000" w:themeColor="text1"/>
        </w:rPr>
        <w:t>Muyan</w:t>
      </w:r>
      <w:proofErr w:type="spellEnd"/>
      <w:r w:rsidRPr="005554ED">
        <w:rPr>
          <w:color w:val="000000" w:themeColor="text1"/>
        </w:rPr>
        <w:t xml:space="preserve">, M., &amp; Hirsch, J. K. (2015). Loneliness, positive life events, and psychological maladjustment: When good things happen, even lonely people feel better! </w:t>
      </w:r>
      <w:r w:rsidRPr="005554ED">
        <w:rPr>
          <w:i/>
          <w:iCs/>
          <w:color w:val="000000" w:themeColor="text1"/>
        </w:rPr>
        <w:lastRenderedPageBreak/>
        <w:t>Personality and Individual Differences</w:t>
      </w:r>
      <w:r w:rsidRPr="005554ED">
        <w:rPr>
          <w:color w:val="000000" w:themeColor="text1"/>
        </w:rPr>
        <w:t xml:space="preserve">, </w:t>
      </w:r>
      <w:r w:rsidRPr="005554ED">
        <w:rPr>
          <w:i/>
          <w:iCs/>
          <w:color w:val="000000" w:themeColor="text1"/>
        </w:rPr>
        <w:t>86</w:t>
      </w:r>
      <w:r w:rsidRPr="005554ED">
        <w:rPr>
          <w:color w:val="000000" w:themeColor="text1"/>
        </w:rPr>
        <w:t xml:space="preserve">, 150–155. </w:t>
      </w:r>
      <w:hyperlink r:id="rId58" w:history="1">
        <w:r w:rsidRPr="005554ED">
          <w:rPr>
            <w:rStyle w:val="Hyperlink"/>
            <w:rFonts w:eastAsia="Arial"/>
            <w:color w:val="000000" w:themeColor="text1"/>
          </w:rPr>
          <w:t>https://doi.org/10.1016/j.paid.2015.06.016</w:t>
        </w:r>
      </w:hyperlink>
    </w:p>
    <w:p w14:paraId="50C99BA4" w14:textId="77777777" w:rsidR="00B76713" w:rsidRPr="005554ED" w:rsidRDefault="00B76713" w:rsidP="00B76713">
      <w:pPr>
        <w:pStyle w:val="Bibliography"/>
        <w:rPr>
          <w:color w:val="000000" w:themeColor="text1"/>
        </w:rPr>
      </w:pPr>
      <w:r w:rsidRPr="005554ED">
        <w:rPr>
          <w:color w:val="000000" w:themeColor="text1"/>
        </w:rPr>
        <w:t xml:space="preserve">Chang, E. C., </w:t>
      </w:r>
      <w:proofErr w:type="spellStart"/>
      <w:r w:rsidRPr="005554ED">
        <w:rPr>
          <w:color w:val="000000" w:themeColor="text1"/>
        </w:rPr>
        <w:t>Sanna</w:t>
      </w:r>
      <w:proofErr w:type="spellEnd"/>
      <w:r w:rsidRPr="005554ED">
        <w:rPr>
          <w:color w:val="000000" w:themeColor="text1"/>
        </w:rPr>
        <w:t xml:space="preserve">, L. J., Chang, R., &amp; </w:t>
      </w:r>
      <w:proofErr w:type="spellStart"/>
      <w:r w:rsidRPr="005554ED">
        <w:rPr>
          <w:color w:val="000000" w:themeColor="text1"/>
        </w:rPr>
        <w:t>Bodem</w:t>
      </w:r>
      <w:proofErr w:type="spellEnd"/>
      <w:r w:rsidRPr="005554ED">
        <w:rPr>
          <w:color w:val="000000" w:themeColor="text1"/>
        </w:rPr>
        <w:t xml:space="preserve">, M. R. (2008). A preliminary look at loneliness as a moderator of the link between perfectionism and depressive and anxious symptoms in college students: Does being lonely make perfectionistic strivings more distressing? </w:t>
      </w:r>
      <w:proofErr w:type="spellStart"/>
      <w:r w:rsidRPr="005554ED">
        <w:rPr>
          <w:i/>
          <w:iCs/>
          <w:color w:val="000000" w:themeColor="text1"/>
        </w:rPr>
        <w:t>Behaviour</w:t>
      </w:r>
      <w:proofErr w:type="spellEnd"/>
      <w:r w:rsidRPr="005554ED">
        <w:rPr>
          <w:i/>
          <w:iCs/>
          <w:color w:val="000000" w:themeColor="text1"/>
        </w:rPr>
        <w:t xml:space="preserve"> Research and Therapy</w:t>
      </w:r>
      <w:r w:rsidRPr="005554ED">
        <w:rPr>
          <w:color w:val="000000" w:themeColor="text1"/>
        </w:rPr>
        <w:t xml:space="preserve">, </w:t>
      </w:r>
      <w:r w:rsidRPr="005554ED">
        <w:rPr>
          <w:i/>
          <w:iCs/>
          <w:color w:val="000000" w:themeColor="text1"/>
        </w:rPr>
        <w:t>46</w:t>
      </w:r>
      <w:r w:rsidRPr="005554ED">
        <w:rPr>
          <w:color w:val="000000" w:themeColor="text1"/>
        </w:rPr>
        <w:t xml:space="preserve">(7), 877–886. </w:t>
      </w:r>
      <w:hyperlink r:id="rId59" w:history="1">
        <w:r w:rsidRPr="005554ED">
          <w:rPr>
            <w:rStyle w:val="Hyperlink"/>
            <w:rFonts w:eastAsia="Arial"/>
            <w:color w:val="000000" w:themeColor="text1"/>
          </w:rPr>
          <w:t>https://doi.org/10.1016/j.brat.2008.03.012</w:t>
        </w:r>
      </w:hyperlink>
    </w:p>
    <w:p w14:paraId="6164BC58" w14:textId="77777777" w:rsidR="00B76713" w:rsidRPr="005554ED" w:rsidRDefault="00B76713" w:rsidP="00B76713">
      <w:pPr>
        <w:pStyle w:val="Bibliography"/>
        <w:rPr>
          <w:color w:val="000000" w:themeColor="text1"/>
        </w:rPr>
      </w:pPr>
      <w:r w:rsidRPr="005554ED">
        <w:rPr>
          <w:color w:val="000000" w:themeColor="text1"/>
        </w:rPr>
        <w:t xml:space="preserve">Chang, E. C., </w:t>
      </w:r>
      <w:proofErr w:type="spellStart"/>
      <w:r w:rsidRPr="005554ED">
        <w:rPr>
          <w:color w:val="000000" w:themeColor="text1"/>
        </w:rPr>
        <w:t>Sanna</w:t>
      </w:r>
      <w:proofErr w:type="spellEnd"/>
      <w:r w:rsidRPr="005554ED">
        <w:rPr>
          <w:color w:val="000000" w:themeColor="text1"/>
        </w:rPr>
        <w:t xml:space="preserve">, L. J., Hirsch, J. K., &amp; </w:t>
      </w:r>
      <w:proofErr w:type="spellStart"/>
      <w:r w:rsidRPr="005554ED">
        <w:rPr>
          <w:color w:val="000000" w:themeColor="text1"/>
        </w:rPr>
        <w:t>Jeglic</w:t>
      </w:r>
      <w:proofErr w:type="spellEnd"/>
      <w:r w:rsidRPr="005554ED">
        <w:rPr>
          <w:color w:val="000000" w:themeColor="text1"/>
        </w:rPr>
        <w:t xml:space="preserve">, E. L. (2010). Loneliness and negative life events as predictors of hopelessness and suicidal behaviors in Hispanics: Evidence for a diathesis-stress model. </w:t>
      </w:r>
      <w:r w:rsidRPr="005554ED">
        <w:rPr>
          <w:i/>
          <w:iCs/>
          <w:color w:val="000000" w:themeColor="text1"/>
        </w:rPr>
        <w:t>Journal of Clinical Psychology</w:t>
      </w:r>
      <w:r w:rsidRPr="005554ED">
        <w:rPr>
          <w:color w:val="000000" w:themeColor="text1"/>
        </w:rPr>
        <w:t xml:space="preserve">, </w:t>
      </w:r>
      <w:r w:rsidRPr="005554ED">
        <w:rPr>
          <w:i/>
          <w:iCs/>
          <w:color w:val="000000" w:themeColor="text1"/>
        </w:rPr>
        <w:t>66</w:t>
      </w:r>
      <w:r w:rsidRPr="005554ED">
        <w:rPr>
          <w:color w:val="000000" w:themeColor="text1"/>
        </w:rPr>
        <w:t xml:space="preserve">(12), 1242–1253. </w:t>
      </w:r>
      <w:hyperlink r:id="rId60" w:history="1">
        <w:r w:rsidRPr="005554ED">
          <w:rPr>
            <w:rStyle w:val="Hyperlink"/>
            <w:rFonts w:eastAsia="Arial"/>
            <w:color w:val="000000" w:themeColor="text1"/>
          </w:rPr>
          <w:t>https://doi.org/10.1002/jclp.20721</w:t>
        </w:r>
      </w:hyperlink>
    </w:p>
    <w:p w14:paraId="709A5DAC" w14:textId="77777777" w:rsidR="00B76713" w:rsidRPr="005554ED" w:rsidRDefault="00B76713" w:rsidP="00B76713">
      <w:pPr>
        <w:pStyle w:val="Bibliography"/>
        <w:rPr>
          <w:color w:val="000000" w:themeColor="text1"/>
        </w:rPr>
      </w:pPr>
      <w:r w:rsidRPr="005554ED">
        <w:rPr>
          <w:color w:val="000000" w:themeColor="text1"/>
        </w:rPr>
        <w:t xml:space="preserve">Chang, E. C., Wan, L., Li, P., Guo, Y., He, J., Gu, Y., Wang, Y., Li, X., Zhang, Z., Sun, Y., </w:t>
      </w:r>
      <w:proofErr w:type="spellStart"/>
      <w:r w:rsidRPr="005554ED">
        <w:rPr>
          <w:color w:val="000000" w:themeColor="text1"/>
        </w:rPr>
        <w:t>Batterbee</w:t>
      </w:r>
      <w:proofErr w:type="spellEnd"/>
      <w:r w:rsidRPr="005554ED">
        <w:rPr>
          <w:color w:val="000000" w:themeColor="text1"/>
        </w:rPr>
        <w:t xml:space="preserve">, C. N.-H., Chang, O. D., Lucas, A. G., &amp; Hirsch, J. K. (2017). Loneliness and suicidal risk in young adults: </w:t>
      </w:r>
      <w:proofErr w:type="gramStart"/>
      <w:r w:rsidRPr="005554ED">
        <w:rPr>
          <w:color w:val="000000" w:themeColor="text1"/>
        </w:rPr>
        <w:t>Does</w:t>
      </w:r>
      <w:proofErr w:type="gramEnd"/>
      <w:r w:rsidRPr="005554ED">
        <w:rPr>
          <w:color w:val="000000" w:themeColor="text1"/>
        </w:rPr>
        <w:t xml:space="preserve"> believing in a changeable future help minimize suicidal risk among the lonely? </w:t>
      </w:r>
      <w:r w:rsidRPr="005554ED">
        <w:rPr>
          <w:i/>
          <w:iCs/>
          <w:color w:val="000000" w:themeColor="text1"/>
        </w:rPr>
        <w:t>The Journal of Psychology</w:t>
      </w:r>
      <w:r w:rsidRPr="005554ED">
        <w:rPr>
          <w:color w:val="000000" w:themeColor="text1"/>
        </w:rPr>
        <w:t xml:space="preserve">, </w:t>
      </w:r>
      <w:r w:rsidRPr="005554ED">
        <w:rPr>
          <w:i/>
          <w:iCs/>
          <w:color w:val="000000" w:themeColor="text1"/>
        </w:rPr>
        <w:t>151</w:t>
      </w:r>
      <w:r w:rsidRPr="005554ED">
        <w:rPr>
          <w:color w:val="000000" w:themeColor="text1"/>
        </w:rPr>
        <w:t xml:space="preserve">(5), 453–463. </w:t>
      </w:r>
      <w:hyperlink r:id="rId61" w:history="1">
        <w:r w:rsidRPr="005554ED">
          <w:rPr>
            <w:rStyle w:val="Hyperlink"/>
            <w:rFonts w:eastAsia="Arial"/>
            <w:color w:val="000000" w:themeColor="text1"/>
          </w:rPr>
          <w:t>https://doi.org/10.1080/00223980.2017.1314928</w:t>
        </w:r>
      </w:hyperlink>
    </w:p>
    <w:p w14:paraId="6D088A4A" w14:textId="77777777" w:rsidR="00B76713" w:rsidRPr="005554ED" w:rsidRDefault="00B76713" w:rsidP="00B76713">
      <w:pPr>
        <w:pStyle w:val="Bibliography"/>
        <w:rPr>
          <w:color w:val="000000" w:themeColor="text1"/>
          <w:lang w:val="de-DE"/>
        </w:rPr>
      </w:pPr>
      <w:r w:rsidRPr="00A04F18">
        <w:rPr>
          <w:color w:val="000000" w:themeColor="text1"/>
        </w:rPr>
        <w:t xml:space="preserve">Chen, L. H., Chen, M.-Y., &amp; Tsai, Y.-M. (2012). </w:t>
      </w:r>
      <w:r w:rsidRPr="005554ED">
        <w:rPr>
          <w:color w:val="000000" w:themeColor="text1"/>
        </w:rPr>
        <w:t xml:space="preserve">Does gratitude always work? Ambivalence over emotional expression inhibits the beneficial effect of gratitude on well-being. </w:t>
      </w:r>
      <w:r w:rsidRPr="005554ED">
        <w:rPr>
          <w:i/>
          <w:iCs/>
          <w:color w:val="000000" w:themeColor="text1"/>
          <w:lang w:val="de-DE"/>
        </w:rPr>
        <w:t>International Journal of Psychology : Journal International de Psychologie</w:t>
      </w:r>
      <w:r w:rsidRPr="005554ED">
        <w:rPr>
          <w:color w:val="000000" w:themeColor="text1"/>
          <w:lang w:val="de-DE"/>
        </w:rPr>
        <w:t xml:space="preserve">, </w:t>
      </w:r>
      <w:r w:rsidRPr="005554ED">
        <w:rPr>
          <w:i/>
          <w:iCs/>
          <w:color w:val="000000" w:themeColor="text1"/>
          <w:lang w:val="de-DE"/>
        </w:rPr>
        <w:t>47</w:t>
      </w:r>
      <w:r w:rsidRPr="005554ED">
        <w:rPr>
          <w:color w:val="000000" w:themeColor="text1"/>
          <w:lang w:val="de-DE"/>
        </w:rPr>
        <w:t xml:space="preserve">(5), 381–392. </w:t>
      </w:r>
      <w:r w:rsidR="00CA3B7C">
        <w:fldChar w:fldCharType="begin"/>
      </w:r>
      <w:r w:rsidR="00CA3B7C" w:rsidRPr="00A04F18">
        <w:rPr>
          <w:lang w:val="de-DE"/>
        </w:rPr>
        <w:instrText xml:space="preserve"> HYPERLINK "https://doi.org/10.1080/00207594.2011.632009" </w:instrText>
      </w:r>
      <w:r w:rsidR="00CA3B7C">
        <w:fldChar w:fldCharType="separate"/>
      </w:r>
      <w:r w:rsidRPr="005554ED">
        <w:rPr>
          <w:rStyle w:val="Hyperlink"/>
          <w:rFonts w:eastAsia="Arial"/>
          <w:color w:val="000000" w:themeColor="text1"/>
          <w:lang w:val="de-DE"/>
        </w:rPr>
        <w:t>https://doi.org/10.1080/00207594.2011.632009</w:t>
      </w:r>
      <w:r w:rsidR="00CA3B7C">
        <w:rPr>
          <w:rStyle w:val="Hyperlink"/>
          <w:rFonts w:eastAsia="Arial"/>
          <w:color w:val="000000" w:themeColor="text1"/>
          <w:lang w:val="de-DE"/>
        </w:rPr>
        <w:fldChar w:fldCharType="end"/>
      </w:r>
    </w:p>
    <w:p w14:paraId="7BAE2DFE" w14:textId="77777777" w:rsidR="00B76713" w:rsidRPr="005554ED" w:rsidRDefault="00B76713" w:rsidP="00B76713">
      <w:pPr>
        <w:pStyle w:val="Bibliography"/>
        <w:rPr>
          <w:color w:val="000000" w:themeColor="text1"/>
        </w:rPr>
      </w:pPr>
      <w:r w:rsidRPr="005554ED">
        <w:rPr>
          <w:color w:val="000000" w:themeColor="text1"/>
          <w:lang w:val="de-DE"/>
        </w:rPr>
        <w:t xml:space="preserve">Chen, L.-J., &amp; Chung, S.-K. (2007). </w:t>
      </w:r>
      <w:r w:rsidRPr="005554ED">
        <w:rPr>
          <w:color w:val="000000" w:themeColor="text1"/>
        </w:rPr>
        <w:t xml:space="preserve">Loneliness, social connectedness, and family income among undergraduate females and males in Taiwan. </w:t>
      </w:r>
      <w:r w:rsidRPr="005554ED">
        <w:rPr>
          <w:i/>
          <w:iCs/>
          <w:color w:val="000000" w:themeColor="text1"/>
        </w:rPr>
        <w:t>Social Behavior and Personality: An International Journal</w:t>
      </w:r>
      <w:r w:rsidRPr="005554ED">
        <w:rPr>
          <w:color w:val="000000" w:themeColor="text1"/>
        </w:rPr>
        <w:t xml:space="preserve">, </w:t>
      </w:r>
      <w:r w:rsidRPr="005554ED">
        <w:rPr>
          <w:i/>
          <w:iCs/>
          <w:color w:val="000000" w:themeColor="text1"/>
        </w:rPr>
        <w:t>35</w:t>
      </w:r>
      <w:r w:rsidRPr="005554ED">
        <w:rPr>
          <w:color w:val="000000" w:themeColor="text1"/>
        </w:rPr>
        <w:t>(10), 1353–1364.</w:t>
      </w:r>
    </w:p>
    <w:p w14:paraId="642765E1" w14:textId="77777777" w:rsidR="00B76713" w:rsidRPr="005554ED" w:rsidRDefault="00B76713" w:rsidP="00B76713">
      <w:pPr>
        <w:pStyle w:val="Bibliography"/>
        <w:rPr>
          <w:color w:val="000000" w:themeColor="text1"/>
        </w:rPr>
      </w:pPr>
      <w:r w:rsidRPr="005554ED">
        <w:rPr>
          <w:color w:val="000000" w:themeColor="text1"/>
        </w:rPr>
        <w:lastRenderedPageBreak/>
        <w:t xml:space="preserve">Chen, Y., &amp; Feeley, T. H. (2015). Predicting binge drinking in college students: Rational beliefs, stress, or loneliness? </w:t>
      </w:r>
      <w:r w:rsidRPr="005554ED">
        <w:rPr>
          <w:i/>
          <w:iCs/>
          <w:color w:val="000000" w:themeColor="text1"/>
        </w:rPr>
        <w:t>Journal of Drug Education</w:t>
      </w:r>
      <w:r w:rsidRPr="005554ED">
        <w:rPr>
          <w:color w:val="000000" w:themeColor="text1"/>
        </w:rPr>
        <w:t xml:space="preserve">, </w:t>
      </w:r>
      <w:r w:rsidRPr="005554ED">
        <w:rPr>
          <w:i/>
          <w:iCs/>
          <w:color w:val="000000" w:themeColor="text1"/>
        </w:rPr>
        <w:t>45</w:t>
      </w:r>
      <w:r w:rsidRPr="005554ED">
        <w:rPr>
          <w:color w:val="000000" w:themeColor="text1"/>
        </w:rPr>
        <w:t xml:space="preserve">(3–4), 133–155. </w:t>
      </w:r>
      <w:hyperlink r:id="rId62" w:history="1">
        <w:r w:rsidRPr="005554ED">
          <w:rPr>
            <w:rStyle w:val="Hyperlink"/>
            <w:rFonts w:eastAsia="Arial"/>
            <w:color w:val="000000" w:themeColor="text1"/>
          </w:rPr>
          <w:t>https://doi.org/10.1177/0047237916639812</w:t>
        </w:r>
      </w:hyperlink>
    </w:p>
    <w:p w14:paraId="567C4546" w14:textId="77777777" w:rsidR="00B76713" w:rsidRPr="005554ED" w:rsidRDefault="00B76713" w:rsidP="00B76713">
      <w:pPr>
        <w:pStyle w:val="Bibliography"/>
        <w:rPr>
          <w:color w:val="000000" w:themeColor="text1"/>
        </w:rPr>
      </w:pPr>
      <w:r w:rsidRPr="005554ED">
        <w:rPr>
          <w:color w:val="000000" w:themeColor="text1"/>
        </w:rPr>
        <w:t xml:space="preserve">Christensen, P. N., &amp; </w:t>
      </w:r>
      <w:proofErr w:type="spellStart"/>
      <w:r w:rsidRPr="005554ED">
        <w:rPr>
          <w:color w:val="000000" w:themeColor="text1"/>
        </w:rPr>
        <w:t>Kashy</w:t>
      </w:r>
      <w:proofErr w:type="spellEnd"/>
      <w:r w:rsidRPr="005554ED">
        <w:rPr>
          <w:color w:val="000000" w:themeColor="text1"/>
        </w:rPr>
        <w:t xml:space="preserve">, D. A. (1998). Perceptions of and by lonely people in initial social interaction. </w:t>
      </w:r>
      <w:r w:rsidRPr="005554ED">
        <w:rPr>
          <w:i/>
          <w:iCs/>
          <w:color w:val="000000" w:themeColor="text1"/>
        </w:rPr>
        <w:t>Personality and Social Psychology Bulletin</w:t>
      </w:r>
      <w:r w:rsidRPr="005554ED">
        <w:rPr>
          <w:color w:val="000000" w:themeColor="text1"/>
        </w:rPr>
        <w:t xml:space="preserve">, </w:t>
      </w:r>
      <w:r w:rsidRPr="005554ED">
        <w:rPr>
          <w:i/>
          <w:iCs/>
          <w:color w:val="000000" w:themeColor="text1"/>
        </w:rPr>
        <w:t>24</w:t>
      </w:r>
      <w:r w:rsidRPr="005554ED">
        <w:rPr>
          <w:color w:val="000000" w:themeColor="text1"/>
        </w:rPr>
        <w:t xml:space="preserve">(3), 322–329. </w:t>
      </w:r>
      <w:hyperlink r:id="rId63" w:history="1">
        <w:r w:rsidRPr="005554ED">
          <w:rPr>
            <w:rStyle w:val="Hyperlink"/>
            <w:rFonts w:eastAsia="Arial"/>
            <w:color w:val="000000" w:themeColor="text1"/>
          </w:rPr>
          <w:t>https://doi.org/10.1177/0146167298243009</w:t>
        </w:r>
      </w:hyperlink>
    </w:p>
    <w:p w14:paraId="787A74C7" w14:textId="77777777" w:rsidR="00B76713" w:rsidRPr="005554ED" w:rsidRDefault="00B76713" w:rsidP="00B76713">
      <w:pPr>
        <w:pStyle w:val="Bibliography"/>
        <w:rPr>
          <w:color w:val="000000" w:themeColor="text1"/>
        </w:rPr>
      </w:pPr>
      <w:r w:rsidRPr="005554ED">
        <w:rPr>
          <w:color w:val="000000" w:themeColor="text1"/>
        </w:rPr>
        <w:t xml:space="preserve">Christopherson, T. M., &amp; Conner, B. T. (2012). Mediation of late adolescent health-risk behaviors and gender influences. </w:t>
      </w:r>
      <w:r w:rsidRPr="005554ED">
        <w:rPr>
          <w:i/>
          <w:iCs/>
          <w:color w:val="000000" w:themeColor="text1"/>
        </w:rPr>
        <w:t>Public Health Nursing (Boston, Mass.)</w:t>
      </w:r>
      <w:r w:rsidRPr="005554ED">
        <w:rPr>
          <w:color w:val="000000" w:themeColor="text1"/>
        </w:rPr>
        <w:t xml:space="preserve">, </w:t>
      </w:r>
      <w:r w:rsidRPr="005554ED">
        <w:rPr>
          <w:i/>
          <w:iCs/>
          <w:color w:val="000000" w:themeColor="text1"/>
        </w:rPr>
        <w:t>29</w:t>
      </w:r>
      <w:r w:rsidRPr="005554ED">
        <w:rPr>
          <w:color w:val="000000" w:themeColor="text1"/>
        </w:rPr>
        <w:t xml:space="preserve">(6), 510–524. </w:t>
      </w:r>
      <w:hyperlink r:id="rId64" w:history="1">
        <w:r w:rsidRPr="005554ED">
          <w:rPr>
            <w:rStyle w:val="Hyperlink"/>
            <w:rFonts w:eastAsia="Arial"/>
            <w:color w:val="000000" w:themeColor="text1"/>
          </w:rPr>
          <w:t>https://doi.org/10.1111/j.1525-1446.2012.01007.x</w:t>
        </w:r>
      </w:hyperlink>
    </w:p>
    <w:p w14:paraId="0CDEFB25" w14:textId="77777777" w:rsidR="00B76713" w:rsidRPr="005554ED" w:rsidRDefault="00B76713" w:rsidP="00B76713">
      <w:pPr>
        <w:pStyle w:val="Bibliography"/>
        <w:rPr>
          <w:color w:val="000000" w:themeColor="text1"/>
        </w:rPr>
      </w:pPr>
      <w:proofErr w:type="spellStart"/>
      <w:r w:rsidRPr="005554ED">
        <w:rPr>
          <w:color w:val="000000" w:themeColor="text1"/>
        </w:rPr>
        <w:t>Ciyin</w:t>
      </w:r>
      <w:proofErr w:type="spellEnd"/>
      <w:r w:rsidRPr="005554ED">
        <w:rPr>
          <w:color w:val="000000" w:themeColor="text1"/>
        </w:rPr>
        <w:t xml:space="preserve">, G., &amp; </w:t>
      </w:r>
      <w:proofErr w:type="spellStart"/>
      <w:r w:rsidRPr="005554ED">
        <w:rPr>
          <w:color w:val="000000" w:themeColor="text1"/>
        </w:rPr>
        <w:t>Erturan</w:t>
      </w:r>
      <w:proofErr w:type="spellEnd"/>
      <w:r w:rsidRPr="005554ED">
        <w:rPr>
          <w:color w:val="000000" w:themeColor="text1"/>
        </w:rPr>
        <w:t>-</w:t>
      </w:r>
      <w:proofErr w:type="gramStart"/>
      <w:r w:rsidRPr="005554ED">
        <w:rPr>
          <w:color w:val="000000" w:themeColor="text1"/>
        </w:rPr>
        <w:t>\.</w:t>
      </w:r>
      <w:proofErr w:type="spellStart"/>
      <w:r w:rsidRPr="005554ED">
        <w:rPr>
          <w:color w:val="000000" w:themeColor="text1"/>
        </w:rPr>
        <w:t>Ilker</w:t>
      </w:r>
      <w:proofErr w:type="spellEnd"/>
      <w:proofErr w:type="gramEnd"/>
      <w:r w:rsidRPr="005554ED">
        <w:rPr>
          <w:color w:val="000000" w:themeColor="text1"/>
        </w:rPr>
        <w:t xml:space="preserve">, G. (2014). Student physical education teachers’ well-being: Contribution of basic psychological needs. </w:t>
      </w:r>
      <w:r w:rsidRPr="005554ED">
        <w:rPr>
          <w:i/>
          <w:iCs/>
          <w:color w:val="000000" w:themeColor="text1"/>
        </w:rPr>
        <w:t>Journal of Education and Training Studies</w:t>
      </w:r>
      <w:r w:rsidRPr="005554ED">
        <w:rPr>
          <w:color w:val="000000" w:themeColor="text1"/>
        </w:rPr>
        <w:t xml:space="preserve">, </w:t>
      </w:r>
      <w:r w:rsidRPr="005554ED">
        <w:rPr>
          <w:i/>
          <w:iCs/>
          <w:color w:val="000000" w:themeColor="text1"/>
        </w:rPr>
        <w:t>2</w:t>
      </w:r>
      <w:r w:rsidRPr="005554ED">
        <w:rPr>
          <w:color w:val="000000" w:themeColor="text1"/>
        </w:rPr>
        <w:t xml:space="preserve">(3). </w:t>
      </w:r>
      <w:hyperlink r:id="rId65" w:history="1">
        <w:r w:rsidRPr="005554ED">
          <w:rPr>
            <w:rStyle w:val="Hyperlink"/>
            <w:rFonts w:eastAsia="Arial"/>
            <w:color w:val="000000" w:themeColor="text1"/>
          </w:rPr>
          <w:t>https://doi.org/10.11114/jets.v2i3.408</w:t>
        </w:r>
      </w:hyperlink>
    </w:p>
    <w:p w14:paraId="61556FDD" w14:textId="77777777" w:rsidR="00B76713" w:rsidRPr="005554ED" w:rsidRDefault="00B76713" w:rsidP="00B76713">
      <w:pPr>
        <w:pStyle w:val="Bibliography"/>
        <w:rPr>
          <w:color w:val="000000" w:themeColor="text1"/>
        </w:rPr>
      </w:pPr>
      <w:r w:rsidRPr="005554ED">
        <w:rPr>
          <w:color w:val="000000" w:themeColor="text1"/>
        </w:rPr>
        <w:t xml:space="preserve">Clark, M. H., &amp; Cundiff, N. L. (2011). Assessing the effectiveness of a college freshman seminar using propensity score adjustments. </w:t>
      </w:r>
      <w:r w:rsidRPr="005554ED">
        <w:rPr>
          <w:i/>
          <w:iCs/>
          <w:color w:val="000000" w:themeColor="text1"/>
        </w:rPr>
        <w:t>Research in Higher Education</w:t>
      </w:r>
      <w:r w:rsidRPr="005554ED">
        <w:rPr>
          <w:color w:val="000000" w:themeColor="text1"/>
        </w:rPr>
        <w:t xml:space="preserve">, </w:t>
      </w:r>
      <w:r w:rsidRPr="005554ED">
        <w:rPr>
          <w:i/>
          <w:iCs/>
          <w:color w:val="000000" w:themeColor="text1"/>
        </w:rPr>
        <w:t>52</w:t>
      </w:r>
      <w:r w:rsidRPr="005554ED">
        <w:rPr>
          <w:color w:val="000000" w:themeColor="text1"/>
        </w:rPr>
        <w:t xml:space="preserve">(6), 616–639. </w:t>
      </w:r>
      <w:hyperlink r:id="rId66" w:history="1">
        <w:r w:rsidRPr="005554ED">
          <w:rPr>
            <w:rStyle w:val="Hyperlink"/>
            <w:rFonts w:eastAsia="Arial"/>
            <w:color w:val="000000" w:themeColor="text1"/>
          </w:rPr>
          <w:t>https://doi.org/10.1007/s11162-010-9208-x</w:t>
        </w:r>
      </w:hyperlink>
    </w:p>
    <w:p w14:paraId="25B15EAF" w14:textId="77777777" w:rsidR="00B76713" w:rsidRPr="005554ED" w:rsidRDefault="00B76713" w:rsidP="00B76713">
      <w:pPr>
        <w:pStyle w:val="Bibliography"/>
        <w:rPr>
          <w:color w:val="000000" w:themeColor="text1"/>
        </w:rPr>
      </w:pPr>
      <w:r w:rsidRPr="005554ED">
        <w:rPr>
          <w:color w:val="000000" w:themeColor="text1"/>
        </w:rPr>
        <w:t xml:space="preserve">Clayton, R. B., Osborne, R. E., Miller, B. K., &amp; Oberle, C. D. (2013). Loneliness, anxiousness, and substance use as predictors of Facebook use. </w:t>
      </w:r>
      <w:r w:rsidRPr="005554ED">
        <w:rPr>
          <w:i/>
          <w:iCs/>
          <w:color w:val="000000" w:themeColor="text1"/>
        </w:rPr>
        <w:t>Computers in Human Behavior</w:t>
      </w:r>
      <w:r w:rsidRPr="005554ED">
        <w:rPr>
          <w:color w:val="000000" w:themeColor="text1"/>
        </w:rPr>
        <w:t xml:space="preserve">, </w:t>
      </w:r>
      <w:r w:rsidRPr="005554ED">
        <w:rPr>
          <w:i/>
          <w:iCs/>
          <w:color w:val="000000" w:themeColor="text1"/>
        </w:rPr>
        <w:t>29</w:t>
      </w:r>
      <w:r w:rsidRPr="005554ED">
        <w:rPr>
          <w:color w:val="000000" w:themeColor="text1"/>
        </w:rPr>
        <w:t xml:space="preserve">(3), 687–693. </w:t>
      </w:r>
      <w:hyperlink r:id="rId67" w:history="1">
        <w:r w:rsidRPr="005554ED">
          <w:rPr>
            <w:rStyle w:val="Hyperlink"/>
            <w:rFonts w:eastAsia="Arial"/>
            <w:color w:val="000000" w:themeColor="text1"/>
          </w:rPr>
          <w:t>https://doi.org/10.1016/j.chb.2012.12.002</w:t>
        </w:r>
      </w:hyperlink>
    </w:p>
    <w:p w14:paraId="208A1A8C" w14:textId="77777777" w:rsidR="00B76713" w:rsidRPr="005554ED" w:rsidRDefault="00B76713" w:rsidP="00B76713">
      <w:pPr>
        <w:pStyle w:val="Bibliography"/>
        <w:rPr>
          <w:color w:val="000000" w:themeColor="text1"/>
        </w:rPr>
      </w:pPr>
      <w:r w:rsidRPr="005554ED">
        <w:rPr>
          <w:color w:val="000000" w:themeColor="text1"/>
        </w:rPr>
        <w:t xml:space="preserve">Cooper, S. (2016). </w:t>
      </w:r>
      <w:r w:rsidRPr="005554ED">
        <w:rPr>
          <w:i/>
          <w:iCs/>
          <w:color w:val="000000" w:themeColor="text1"/>
        </w:rPr>
        <w:t>Internet, social media, and television use</w:t>
      </w:r>
      <w:r w:rsidRPr="005554ED">
        <w:rPr>
          <w:color w:val="000000" w:themeColor="text1"/>
        </w:rPr>
        <w:t xml:space="preserve">. No Publisher Supplied. </w:t>
      </w:r>
      <w:hyperlink r:id="rId68" w:history="1">
        <w:r w:rsidRPr="005554ED">
          <w:rPr>
            <w:rStyle w:val="Hyperlink"/>
            <w:rFonts w:eastAsia="Arial"/>
            <w:color w:val="000000" w:themeColor="text1"/>
          </w:rPr>
          <w:t>https://doi.org/10.7282/T33B62DZ</w:t>
        </w:r>
      </w:hyperlink>
    </w:p>
    <w:p w14:paraId="6D291E76" w14:textId="77777777" w:rsidR="00B76713" w:rsidRPr="005554ED" w:rsidRDefault="00B76713" w:rsidP="00B76713">
      <w:pPr>
        <w:pStyle w:val="Bibliography"/>
        <w:rPr>
          <w:color w:val="000000" w:themeColor="text1"/>
        </w:rPr>
      </w:pPr>
      <w:proofErr w:type="spellStart"/>
      <w:r w:rsidRPr="005554ED">
        <w:rPr>
          <w:color w:val="000000" w:themeColor="text1"/>
        </w:rPr>
        <w:t>Coric</w:t>
      </w:r>
      <w:proofErr w:type="spellEnd"/>
      <w:r w:rsidRPr="005554ED">
        <w:rPr>
          <w:color w:val="000000" w:themeColor="text1"/>
        </w:rPr>
        <w:t xml:space="preserve">, D., &amp; </w:t>
      </w:r>
      <w:proofErr w:type="spellStart"/>
      <w:r w:rsidRPr="005554ED">
        <w:rPr>
          <w:color w:val="000000" w:themeColor="text1"/>
        </w:rPr>
        <w:t>Murstein</w:t>
      </w:r>
      <w:proofErr w:type="spellEnd"/>
      <w:r w:rsidRPr="005554ED">
        <w:rPr>
          <w:color w:val="000000" w:themeColor="text1"/>
        </w:rPr>
        <w:t xml:space="preserve">, B. I. (1993). Bulimia nervosa: Prevalence and psychological correlates in a college community. </w:t>
      </w:r>
      <w:r w:rsidRPr="005554ED">
        <w:rPr>
          <w:i/>
          <w:iCs/>
          <w:color w:val="000000" w:themeColor="text1"/>
        </w:rPr>
        <w:t>Eating Disorders</w:t>
      </w:r>
      <w:r w:rsidRPr="005554ED">
        <w:rPr>
          <w:color w:val="000000" w:themeColor="text1"/>
        </w:rPr>
        <w:t xml:space="preserve">, </w:t>
      </w:r>
      <w:r w:rsidRPr="005554ED">
        <w:rPr>
          <w:i/>
          <w:iCs/>
          <w:color w:val="000000" w:themeColor="text1"/>
        </w:rPr>
        <w:t>1</w:t>
      </w:r>
      <w:r w:rsidRPr="005554ED">
        <w:rPr>
          <w:color w:val="000000" w:themeColor="text1"/>
        </w:rPr>
        <w:t xml:space="preserve">(1), 39–51. </w:t>
      </w:r>
      <w:hyperlink r:id="rId69" w:history="1">
        <w:r w:rsidRPr="005554ED">
          <w:rPr>
            <w:rStyle w:val="Hyperlink"/>
            <w:rFonts w:eastAsia="Arial"/>
            <w:color w:val="000000" w:themeColor="text1"/>
          </w:rPr>
          <w:t>https://doi.org/10.1080/10640269308248265</w:t>
        </w:r>
      </w:hyperlink>
    </w:p>
    <w:p w14:paraId="5D827825" w14:textId="77777777" w:rsidR="00B76713" w:rsidRPr="005554ED" w:rsidRDefault="00B76713" w:rsidP="00B76713">
      <w:pPr>
        <w:pStyle w:val="Bibliography"/>
        <w:rPr>
          <w:color w:val="000000" w:themeColor="text1"/>
        </w:rPr>
      </w:pPr>
      <w:r w:rsidRPr="005554ED">
        <w:rPr>
          <w:color w:val="000000" w:themeColor="text1"/>
        </w:rPr>
        <w:lastRenderedPageBreak/>
        <w:t xml:space="preserve">Corona, K., </w:t>
      </w:r>
      <w:proofErr w:type="spellStart"/>
      <w:r w:rsidRPr="005554ED">
        <w:rPr>
          <w:color w:val="000000" w:themeColor="text1"/>
        </w:rPr>
        <w:t>Senft</w:t>
      </w:r>
      <w:proofErr w:type="spellEnd"/>
      <w:r w:rsidRPr="005554ED">
        <w:rPr>
          <w:color w:val="000000" w:themeColor="text1"/>
        </w:rPr>
        <w:t xml:space="preserve">, N., Campos, B., Chen, C., Shiota, M., &amp; </w:t>
      </w:r>
      <w:proofErr w:type="spellStart"/>
      <w:r w:rsidRPr="005554ED">
        <w:rPr>
          <w:color w:val="000000" w:themeColor="text1"/>
        </w:rPr>
        <w:t>Chentsova</w:t>
      </w:r>
      <w:proofErr w:type="spellEnd"/>
      <w:r w:rsidRPr="005554ED">
        <w:rPr>
          <w:color w:val="000000" w:themeColor="text1"/>
        </w:rPr>
        <w:t xml:space="preserve">-Dutton, Y. E. (2020). Ethnic variation in gratitude and well-being. </w:t>
      </w:r>
      <w:r w:rsidRPr="005554ED">
        <w:rPr>
          <w:i/>
          <w:iCs/>
          <w:color w:val="000000" w:themeColor="text1"/>
        </w:rPr>
        <w:t>Emotion (Washington, D.C.)</w:t>
      </w:r>
      <w:r w:rsidRPr="005554ED">
        <w:rPr>
          <w:color w:val="000000" w:themeColor="text1"/>
        </w:rPr>
        <w:t xml:space="preserve">, </w:t>
      </w:r>
      <w:r w:rsidRPr="005554ED">
        <w:rPr>
          <w:i/>
          <w:iCs/>
          <w:color w:val="000000" w:themeColor="text1"/>
        </w:rPr>
        <w:t>20</w:t>
      </w:r>
      <w:r w:rsidRPr="005554ED">
        <w:rPr>
          <w:color w:val="000000" w:themeColor="text1"/>
        </w:rPr>
        <w:t xml:space="preserve">(3), 518–524. </w:t>
      </w:r>
      <w:hyperlink r:id="rId70" w:history="1">
        <w:r w:rsidRPr="005554ED">
          <w:rPr>
            <w:rStyle w:val="Hyperlink"/>
            <w:rFonts w:eastAsia="Arial"/>
            <w:color w:val="000000" w:themeColor="text1"/>
          </w:rPr>
          <w:t>https://doi.org/10.1037/emo0000582</w:t>
        </w:r>
      </w:hyperlink>
    </w:p>
    <w:p w14:paraId="71481734" w14:textId="77777777" w:rsidR="00B76713" w:rsidRPr="005554ED" w:rsidRDefault="00B76713" w:rsidP="00B76713">
      <w:pPr>
        <w:pStyle w:val="Bibliography"/>
        <w:rPr>
          <w:color w:val="000000" w:themeColor="text1"/>
        </w:rPr>
      </w:pPr>
      <w:proofErr w:type="spellStart"/>
      <w:r w:rsidRPr="005554ED">
        <w:rPr>
          <w:color w:val="000000" w:themeColor="text1"/>
        </w:rPr>
        <w:t>Cosme</w:t>
      </w:r>
      <w:proofErr w:type="spellEnd"/>
      <w:r w:rsidRPr="005554ED">
        <w:rPr>
          <w:color w:val="000000" w:themeColor="text1"/>
        </w:rPr>
        <w:t xml:space="preserve">, D., Hughes, B. T., &amp; Pfeifer, J. H. (2020). </w:t>
      </w:r>
      <w:r w:rsidRPr="005554ED">
        <w:rPr>
          <w:i/>
          <w:iCs/>
          <w:color w:val="000000" w:themeColor="text1"/>
        </w:rPr>
        <w:t>University of Oregon Survey of Health and Well-being (</w:t>
      </w:r>
      <w:proofErr w:type="spellStart"/>
      <w:r w:rsidRPr="005554ED">
        <w:rPr>
          <w:i/>
          <w:iCs/>
          <w:color w:val="000000" w:themeColor="text1"/>
        </w:rPr>
        <w:t>SHWell</w:t>
      </w:r>
      <w:proofErr w:type="spellEnd"/>
      <w:r w:rsidRPr="005554ED">
        <w:rPr>
          <w:i/>
          <w:iCs/>
          <w:color w:val="000000" w:themeColor="text1"/>
        </w:rPr>
        <w:t>)</w:t>
      </w:r>
      <w:r w:rsidRPr="005554ED">
        <w:rPr>
          <w:color w:val="000000" w:themeColor="text1"/>
        </w:rPr>
        <w:t xml:space="preserve"> [Unpublished raw data]. </w:t>
      </w:r>
      <w:hyperlink r:id="rId71" w:history="1">
        <w:r w:rsidRPr="005554ED">
          <w:rPr>
            <w:rStyle w:val="Hyperlink"/>
            <w:rFonts w:eastAsia="Arial"/>
            <w:color w:val="000000" w:themeColor="text1"/>
          </w:rPr>
          <w:t>https://github.com/dsnlab/shwell</w:t>
        </w:r>
      </w:hyperlink>
    </w:p>
    <w:p w14:paraId="75AF1814" w14:textId="77777777" w:rsidR="00B76713" w:rsidRPr="005554ED" w:rsidRDefault="00B76713" w:rsidP="00B76713">
      <w:pPr>
        <w:pStyle w:val="Bibliography"/>
        <w:rPr>
          <w:color w:val="000000" w:themeColor="text1"/>
        </w:rPr>
      </w:pPr>
      <w:proofErr w:type="spellStart"/>
      <w:r w:rsidRPr="005554ED">
        <w:rPr>
          <w:color w:val="000000" w:themeColor="text1"/>
        </w:rPr>
        <w:t>Cosme</w:t>
      </w:r>
      <w:proofErr w:type="spellEnd"/>
      <w:r w:rsidRPr="005554ED">
        <w:rPr>
          <w:color w:val="000000" w:themeColor="text1"/>
        </w:rPr>
        <w:t xml:space="preserve">, D., </w:t>
      </w:r>
      <w:proofErr w:type="spellStart"/>
      <w:r w:rsidRPr="005554ED">
        <w:rPr>
          <w:color w:val="000000" w:themeColor="text1"/>
        </w:rPr>
        <w:t>Mobasser</w:t>
      </w:r>
      <w:proofErr w:type="spellEnd"/>
      <w:r w:rsidRPr="005554ED">
        <w:rPr>
          <w:color w:val="000000" w:themeColor="text1"/>
        </w:rPr>
        <w:t xml:space="preserve">, A., Ross, G., Davis, B., &amp; Pfeifer, J. H. (2020). </w:t>
      </w:r>
      <w:r w:rsidRPr="005554ED">
        <w:rPr>
          <w:i/>
          <w:iCs/>
          <w:color w:val="000000" w:themeColor="text1"/>
        </w:rPr>
        <w:t>University of Oregon Freshman Project</w:t>
      </w:r>
      <w:r w:rsidRPr="005554ED">
        <w:rPr>
          <w:color w:val="000000" w:themeColor="text1"/>
        </w:rPr>
        <w:t xml:space="preserve"> [Unpublished raw data].</w:t>
      </w:r>
    </w:p>
    <w:p w14:paraId="593BB093" w14:textId="77777777" w:rsidR="00B76713" w:rsidRPr="005554ED" w:rsidRDefault="00B76713" w:rsidP="00B76713">
      <w:pPr>
        <w:pStyle w:val="Bibliography"/>
        <w:rPr>
          <w:color w:val="000000" w:themeColor="text1"/>
        </w:rPr>
      </w:pPr>
      <w:r w:rsidRPr="005554ED">
        <w:rPr>
          <w:color w:val="000000" w:themeColor="text1"/>
        </w:rPr>
        <w:t xml:space="preserve">Counts, C. J., &amp; John-Henderson, N. A. (2020). Risk in childhood family environments and loneliness in college students: Implications for health. </w:t>
      </w:r>
      <w:r w:rsidRPr="005554ED">
        <w:rPr>
          <w:i/>
          <w:iCs/>
          <w:color w:val="000000" w:themeColor="text1"/>
        </w:rPr>
        <w:t xml:space="preserve">Journal of American College </w:t>
      </w:r>
      <w:proofErr w:type="gramStart"/>
      <w:r w:rsidRPr="005554ED">
        <w:rPr>
          <w:i/>
          <w:iCs/>
          <w:color w:val="000000" w:themeColor="text1"/>
        </w:rPr>
        <w:t>Health :</w:t>
      </w:r>
      <w:proofErr w:type="gramEnd"/>
      <w:r w:rsidRPr="005554ED">
        <w:rPr>
          <w:i/>
          <w:iCs/>
          <w:color w:val="000000" w:themeColor="text1"/>
        </w:rPr>
        <w:t xml:space="preserve"> J of ACH</w:t>
      </w:r>
      <w:r w:rsidRPr="005554ED">
        <w:rPr>
          <w:color w:val="000000" w:themeColor="text1"/>
        </w:rPr>
        <w:t xml:space="preserve">, </w:t>
      </w:r>
      <w:r w:rsidRPr="005554ED">
        <w:rPr>
          <w:i/>
          <w:iCs/>
          <w:color w:val="000000" w:themeColor="text1"/>
        </w:rPr>
        <w:t>68</w:t>
      </w:r>
      <w:r w:rsidRPr="005554ED">
        <w:rPr>
          <w:color w:val="000000" w:themeColor="text1"/>
        </w:rPr>
        <w:t xml:space="preserve">(4), 381–386. </w:t>
      </w:r>
      <w:hyperlink r:id="rId72" w:history="1">
        <w:r w:rsidRPr="005554ED">
          <w:rPr>
            <w:rStyle w:val="Hyperlink"/>
            <w:rFonts w:eastAsia="Arial"/>
            <w:color w:val="000000" w:themeColor="text1"/>
          </w:rPr>
          <w:t>https://doi.org/10.1080/07448481.2018.1557198</w:t>
        </w:r>
      </w:hyperlink>
    </w:p>
    <w:p w14:paraId="61F1D43D" w14:textId="77777777" w:rsidR="00B76713" w:rsidRPr="005554ED" w:rsidRDefault="00B76713" w:rsidP="00B76713">
      <w:pPr>
        <w:pStyle w:val="Bibliography"/>
        <w:rPr>
          <w:color w:val="000000" w:themeColor="text1"/>
        </w:rPr>
      </w:pPr>
      <w:r w:rsidRPr="005554ED">
        <w:rPr>
          <w:color w:val="000000" w:themeColor="text1"/>
        </w:rPr>
        <w:t xml:space="preserve">Cramer, K. M., &amp; Barry, J. E. (1999). Conceptualizations and measures of loneliness: A comparison of subscales. </w:t>
      </w:r>
      <w:r w:rsidRPr="005554ED">
        <w:rPr>
          <w:i/>
          <w:iCs/>
          <w:color w:val="000000" w:themeColor="text1"/>
        </w:rPr>
        <w:t>Personality and Individual Differences</w:t>
      </w:r>
      <w:r w:rsidRPr="005554ED">
        <w:rPr>
          <w:color w:val="000000" w:themeColor="text1"/>
        </w:rPr>
        <w:t xml:space="preserve">, </w:t>
      </w:r>
      <w:r w:rsidRPr="005554ED">
        <w:rPr>
          <w:i/>
          <w:iCs/>
          <w:color w:val="000000" w:themeColor="text1"/>
        </w:rPr>
        <w:t>27</w:t>
      </w:r>
      <w:r w:rsidRPr="005554ED">
        <w:rPr>
          <w:color w:val="000000" w:themeColor="text1"/>
        </w:rPr>
        <w:t xml:space="preserve">(3), 491–502. </w:t>
      </w:r>
      <w:hyperlink r:id="rId73" w:history="1">
        <w:r w:rsidRPr="005554ED">
          <w:rPr>
            <w:rStyle w:val="Hyperlink"/>
            <w:rFonts w:eastAsia="Arial"/>
            <w:color w:val="000000" w:themeColor="text1"/>
          </w:rPr>
          <w:t>https://doi.org/10.1016/S0191-8869(98)00257-8</w:t>
        </w:r>
      </w:hyperlink>
    </w:p>
    <w:p w14:paraId="15680406" w14:textId="77777777" w:rsidR="00B76713" w:rsidRPr="005554ED" w:rsidRDefault="00B76713" w:rsidP="00B76713">
      <w:pPr>
        <w:pStyle w:val="Bibliography"/>
        <w:rPr>
          <w:color w:val="000000" w:themeColor="text1"/>
        </w:rPr>
      </w:pPr>
      <w:r w:rsidRPr="005554ED">
        <w:rPr>
          <w:color w:val="000000" w:themeColor="text1"/>
        </w:rPr>
        <w:t xml:space="preserve">Cramer, K. M., &amp; </w:t>
      </w:r>
      <w:proofErr w:type="spellStart"/>
      <w:r w:rsidRPr="005554ED">
        <w:rPr>
          <w:color w:val="000000" w:themeColor="text1"/>
        </w:rPr>
        <w:t>Neyedley</w:t>
      </w:r>
      <w:proofErr w:type="spellEnd"/>
      <w:r w:rsidRPr="005554ED">
        <w:rPr>
          <w:color w:val="000000" w:themeColor="text1"/>
        </w:rPr>
        <w:t xml:space="preserve">, K. A. (1998). Sex differences in loneliness: The role of masculinity and femininity. </w:t>
      </w:r>
      <w:r w:rsidRPr="005554ED">
        <w:rPr>
          <w:i/>
          <w:iCs/>
          <w:color w:val="000000" w:themeColor="text1"/>
        </w:rPr>
        <w:t>Sex Roles</w:t>
      </w:r>
      <w:r w:rsidRPr="005554ED">
        <w:rPr>
          <w:color w:val="000000" w:themeColor="text1"/>
        </w:rPr>
        <w:t xml:space="preserve">, </w:t>
      </w:r>
      <w:r w:rsidRPr="005554ED">
        <w:rPr>
          <w:i/>
          <w:iCs/>
          <w:color w:val="000000" w:themeColor="text1"/>
        </w:rPr>
        <w:t>38</w:t>
      </w:r>
      <w:r w:rsidRPr="005554ED">
        <w:rPr>
          <w:color w:val="000000" w:themeColor="text1"/>
        </w:rPr>
        <w:t xml:space="preserve">(7/8), 645–653. </w:t>
      </w:r>
      <w:hyperlink r:id="rId74" w:history="1">
        <w:r w:rsidRPr="005554ED">
          <w:rPr>
            <w:rStyle w:val="Hyperlink"/>
            <w:rFonts w:eastAsia="Arial"/>
            <w:color w:val="000000" w:themeColor="text1"/>
          </w:rPr>
          <w:t>https://doi.org/10.1023/A:1018850711372</w:t>
        </w:r>
      </w:hyperlink>
    </w:p>
    <w:p w14:paraId="526F282E" w14:textId="77777777" w:rsidR="00B76713" w:rsidRPr="005554ED" w:rsidRDefault="00B76713" w:rsidP="00B76713">
      <w:pPr>
        <w:pStyle w:val="Bibliography"/>
        <w:rPr>
          <w:color w:val="000000" w:themeColor="text1"/>
        </w:rPr>
      </w:pPr>
      <w:r w:rsidRPr="005554ED">
        <w:rPr>
          <w:color w:val="000000" w:themeColor="text1"/>
        </w:rPr>
        <w:t xml:space="preserve">Crandall, C. S., &amp; Cohen, C. (1994). The personality of the </w:t>
      </w:r>
      <w:proofErr w:type="spellStart"/>
      <w:r w:rsidRPr="005554ED">
        <w:rPr>
          <w:color w:val="000000" w:themeColor="text1"/>
        </w:rPr>
        <w:t>stigmatizer</w:t>
      </w:r>
      <w:proofErr w:type="spellEnd"/>
      <w:r w:rsidRPr="005554ED">
        <w:rPr>
          <w:color w:val="000000" w:themeColor="text1"/>
        </w:rPr>
        <w:t xml:space="preserve">: Cultural world view, conventionalism, and self-esteem. </w:t>
      </w:r>
      <w:r w:rsidRPr="005554ED">
        <w:rPr>
          <w:i/>
          <w:iCs/>
          <w:color w:val="000000" w:themeColor="text1"/>
        </w:rPr>
        <w:t>Journal of Research in Personality</w:t>
      </w:r>
      <w:r w:rsidRPr="005554ED">
        <w:rPr>
          <w:color w:val="000000" w:themeColor="text1"/>
        </w:rPr>
        <w:t xml:space="preserve">, </w:t>
      </w:r>
      <w:r w:rsidRPr="005554ED">
        <w:rPr>
          <w:i/>
          <w:iCs/>
          <w:color w:val="000000" w:themeColor="text1"/>
        </w:rPr>
        <w:t>28</w:t>
      </w:r>
      <w:r w:rsidRPr="005554ED">
        <w:rPr>
          <w:color w:val="000000" w:themeColor="text1"/>
        </w:rPr>
        <w:t xml:space="preserve">(4), 461–480. </w:t>
      </w:r>
      <w:hyperlink r:id="rId75" w:history="1">
        <w:r w:rsidRPr="005554ED">
          <w:rPr>
            <w:rStyle w:val="Hyperlink"/>
            <w:rFonts w:eastAsia="Arial"/>
            <w:color w:val="000000" w:themeColor="text1"/>
          </w:rPr>
          <w:t>https://doi.org/10.1006/jrpe.1994.1033</w:t>
        </w:r>
      </w:hyperlink>
    </w:p>
    <w:p w14:paraId="0D6549ED" w14:textId="77777777" w:rsidR="00B76713" w:rsidRPr="005554ED" w:rsidRDefault="00B76713" w:rsidP="00B76713">
      <w:pPr>
        <w:pStyle w:val="Bibliography"/>
        <w:rPr>
          <w:color w:val="000000" w:themeColor="text1"/>
        </w:rPr>
      </w:pPr>
      <w:r w:rsidRPr="005554ED">
        <w:rPr>
          <w:color w:val="000000" w:themeColor="text1"/>
        </w:rPr>
        <w:t xml:space="preserve">Dahlen, E. R., Czar, K. A., Prather, E., &amp; Dyess, C. (2013). Relational aggression and victimization in college students. </w:t>
      </w:r>
      <w:r w:rsidRPr="005554ED">
        <w:rPr>
          <w:i/>
          <w:iCs/>
          <w:color w:val="000000" w:themeColor="text1"/>
        </w:rPr>
        <w:t>Journal of College Student Development</w:t>
      </w:r>
      <w:r w:rsidRPr="005554ED">
        <w:rPr>
          <w:color w:val="000000" w:themeColor="text1"/>
        </w:rPr>
        <w:t xml:space="preserve">, </w:t>
      </w:r>
      <w:r w:rsidRPr="005554ED">
        <w:rPr>
          <w:i/>
          <w:iCs/>
          <w:color w:val="000000" w:themeColor="text1"/>
        </w:rPr>
        <w:t>54</w:t>
      </w:r>
      <w:r w:rsidRPr="005554ED">
        <w:rPr>
          <w:color w:val="000000" w:themeColor="text1"/>
        </w:rPr>
        <w:t xml:space="preserve">(2), 140–154. </w:t>
      </w:r>
      <w:hyperlink r:id="rId76" w:history="1">
        <w:r w:rsidRPr="005554ED">
          <w:rPr>
            <w:rStyle w:val="Hyperlink"/>
            <w:rFonts w:eastAsia="Arial"/>
            <w:color w:val="000000" w:themeColor="text1"/>
          </w:rPr>
          <w:t>https://doi.org/10.1353/csd.2013.0021</w:t>
        </w:r>
      </w:hyperlink>
    </w:p>
    <w:p w14:paraId="01D1BB14" w14:textId="77777777" w:rsidR="00B76713" w:rsidRPr="005554ED" w:rsidRDefault="00B76713" w:rsidP="00B76713">
      <w:pPr>
        <w:pStyle w:val="Bibliography"/>
        <w:rPr>
          <w:color w:val="000000" w:themeColor="text1"/>
          <w:lang w:val="de-DE"/>
        </w:rPr>
      </w:pPr>
      <w:r w:rsidRPr="005554ED">
        <w:rPr>
          <w:color w:val="000000" w:themeColor="text1"/>
        </w:rPr>
        <w:lastRenderedPageBreak/>
        <w:t xml:space="preserve">Deters, F. G., &amp; </w:t>
      </w:r>
      <w:proofErr w:type="spellStart"/>
      <w:r w:rsidRPr="005554ED">
        <w:rPr>
          <w:color w:val="000000" w:themeColor="text1"/>
        </w:rPr>
        <w:t>Mehl</w:t>
      </w:r>
      <w:proofErr w:type="spellEnd"/>
      <w:r w:rsidRPr="005554ED">
        <w:rPr>
          <w:color w:val="000000" w:themeColor="text1"/>
        </w:rPr>
        <w:t xml:space="preserve">, M. R. (2013). Does posting Facebook status updates increase or decrease loneliness? An online social networking experiment. </w:t>
      </w:r>
      <w:r w:rsidRPr="005554ED">
        <w:rPr>
          <w:i/>
          <w:iCs/>
          <w:color w:val="000000" w:themeColor="text1"/>
        </w:rPr>
        <w:t>Social Psychological and Personality Science</w:t>
      </w:r>
      <w:r w:rsidRPr="005554ED">
        <w:rPr>
          <w:color w:val="000000" w:themeColor="text1"/>
        </w:rPr>
        <w:t xml:space="preserve">, </w:t>
      </w:r>
      <w:r w:rsidRPr="005554ED">
        <w:rPr>
          <w:i/>
          <w:iCs/>
          <w:color w:val="000000" w:themeColor="text1"/>
        </w:rPr>
        <w:t>4</w:t>
      </w:r>
      <w:r w:rsidRPr="005554ED">
        <w:rPr>
          <w:color w:val="000000" w:themeColor="text1"/>
        </w:rPr>
        <w:t xml:space="preserve">(5). </w:t>
      </w:r>
      <w:hyperlink r:id="rId77" w:history="1">
        <w:r w:rsidRPr="005554ED">
          <w:rPr>
            <w:rStyle w:val="Hyperlink"/>
            <w:rFonts w:eastAsia="Arial"/>
            <w:color w:val="000000" w:themeColor="text1"/>
            <w:lang w:val="de-DE"/>
          </w:rPr>
          <w:t>https://doi.org/10.1177/1948550612469233</w:t>
        </w:r>
      </w:hyperlink>
    </w:p>
    <w:p w14:paraId="6602A7A9" w14:textId="77777777" w:rsidR="00B76713" w:rsidRPr="005554ED" w:rsidRDefault="00B76713" w:rsidP="00B76713">
      <w:pPr>
        <w:pStyle w:val="Bibliography"/>
        <w:rPr>
          <w:color w:val="000000" w:themeColor="text1"/>
        </w:rPr>
      </w:pPr>
      <w:r w:rsidRPr="005554ED">
        <w:rPr>
          <w:color w:val="000000" w:themeColor="text1"/>
          <w:lang w:val="de-DE"/>
        </w:rPr>
        <w:t xml:space="preserve">Diener, E., Wirtz, D., Tov, W., Kim-Prieto, C., Choi, D., Oishi, S., &amp; Biswas-Diener, R. (2010). </w:t>
      </w:r>
      <w:r w:rsidRPr="005554ED">
        <w:rPr>
          <w:color w:val="000000" w:themeColor="text1"/>
        </w:rPr>
        <w:t xml:space="preserve">New well-being measures: Short scales to assess flourishing and positive and negative feelings. </w:t>
      </w:r>
      <w:r w:rsidRPr="005554ED">
        <w:rPr>
          <w:i/>
          <w:iCs/>
          <w:color w:val="000000" w:themeColor="text1"/>
        </w:rPr>
        <w:t>Social Indicators Research</w:t>
      </w:r>
      <w:r w:rsidRPr="005554ED">
        <w:rPr>
          <w:color w:val="000000" w:themeColor="text1"/>
        </w:rPr>
        <w:t xml:space="preserve">, </w:t>
      </w:r>
      <w:r w:rsidRPr="005554ED">
        <w:rPr>
          <w:i/>
          <w:iCs/>
          <w:color w:val="000000" w:themeColor="text1"/>
        </w:rPr>
        <w:t>97</w:t>
      </w:r>
      <w:r w:rsidRPr="005554ED">
        <w:rPr>
          <w:color w:val="000000" w:themeColor="text1"/>
        </w:rPr>
        <w:t xml:space="preserve">(2), 143–156. </w:t>
      </w:r>
      <w:hyperlink r:id="rId78" w:history="1">
        <w:r w:rsidRPr="005554ED">
          <w:rPr>
            <w:rStyle w:val="Hyperlink"/>
            <w:rFonts w:eastAsia="Arial"/>
            <w:color w:val="000000" w:themeColor="text1"/>
          </w:rPr>
          <w:t>https://doi.org/10.1007/s11205-009-9493-y</w:t>
        </w:r>
      </w:hyperlink>
    </w:p>
    <w:p w14:paraId="0EE6DD7C" w14:textId="77777777" w:rsidR="00B76713" w:rsidRPr="005554ED" w:rsidRDefault="00B76713" w:rsidP="00B76713">
      <w:pPr>
        <w:pStyle w:val="Bibliography"/>
        <w:rPr>
          <w:color w:val="000000" w:themeColor="text1"/>
        </w:rPr>
      </w:pPr>
      <w:r w:rsidRPr="005554ED">
        <w:rPr>
          <w:color w:val="000000" w:themeColor="text1"/>
        </w:rPr>
        <w:t xml:space="preserve">Dieter, P. E. (2016). </w:t>
      </w:r>
      <w:r w:rsidRPr="005554ED">
        <w:rPr>
          <w:i/>
          <w:iCs/>
          <w:color w:val="000000" w:themeColor="text1"/>
        </w:rPr>
        <w:t xml:space="preserve">The role of electronic communication processes across the college transition: Relations to the maintenance and formation of friendships, </w:t>
      </w:r>
      <w:proofErr w:type="spellStart"/>
      <w:r w:rsidRPr="005554ED">
        <w:rPr>
          <w:i/>
          <w:iCs/>
          <w:color w:val="000000" w:themeColor="text1"/>
        </w:rPr>
        <w:t>psycholgical</w:t>
      </w:r>
      <w:proofErr w:type="spellEnd"/>
      <w:r w:rsidRPr="005554ED">
        <w:rPr>
          <w:i/>
          <w:iCs/>
          <w:color w:val="000000" w:themeColor="text1"/>
        </w:rPr>
        <w:t xml:space="preserve"> well-being, and college adjustment</w:t>
      </w:r>
      <w:r w:rsidRPr="005554ED">
        <w:rPr>
          <w:color w:val="000000" w:themeColor="text1"/>
        </w:rPr>
        <w:t>. The University of Maine.</w:t>
      </w:r>
    </w:p>
    <w:p w14:paraId="49CB956B" w14:textId="77777777" w:rsidR="00B76713" w:rsidRPr="005554ED" w:rsidRDefault="00B76713" w:rsidP="00B76713">
      <w:pPr>
        <w:pStyle w:val="Bibliography"/>
        <w:rPr>
          <w:color w:val="000000" w:themeColor="text1"/>
        </w:rPr>
      </w:pPr>
      <w:proofErr w:type="spellStart"/>
      <w:r w:rsidRPr="005554ED">
        <w:rPr>
          <w:color w:val="000000" w:themeColor="text1"/>
        </w:rPr>
        <w:t>Dinçyurek</w:t>
      </w:r>
      <w:proofErr w:type="spellEnd"/>
      <w:r w:rsidRPr="005554ED">
        <w:rPr>
          <w:color w:val="000000" w:themeColor="text1"/>
        </w:rPr>
        <w:t xml:space="preserve">, H., </w:t>
      </w:r>
      <w:proofErr w:type="spellStart"/>
      <w:r w:rsidRPr="005554ED">
        <w:rPr>
          <w:color w:val="000000" w:themeColor="text1"/>
        </w:rPr>
        <w:t>Alasya</w:t>
      </w:r>
      <w:proofErr w:type="spellEnd"/>
      <w:r w:rsidRPr="005554ED">
        <w:rPr>
          <w:color w:val="000000" w:themeColor="text1"/>
        </w:rPr>
        <w:t xml:space="preserve">, M., &amp; </w:t>
      </w:r>
      <w:proofErr w:type="spellStart"/>
      <w:r w:rsidRPr="005554ED">
        <w:rPr>
          <w:color w:val="000000" w:themeColor="text1"/>
        </w:rPr>
        <w:t>Kağan</w:t>
      </w:r>
      <w:proofErr w:type="spellEnd"/>
      <w:r w:rsidRPr="005554ED">
        <w:rPr>
          <w:color w:val="000000" w:themeColor="text1"/>
        </w:rPr>
        <w:t xml:space="preserve">, S. (2018). Identifying the relationship of food addiction, impulsiveness and loneliness with different variables in university students. </w:t>
      </w:r>
      <w:r w:rsidRPr="005554ED">
        <w:rPr>
          <w:i/>
          <w:iCs/>
          <w:color w:val="000000" w:themeColor="text1"/>
        </w:rPr>
        <w:t>EURASIA Journal of Mathematics, Science and Technology Education</w:t>
      </w:r>
      <w:r w:rsidRPr="005554ED">
        <w:rPr>
          <w:color w:val="000000" w:themeColor="text1"/>
        </w:rPr>
        <w:t xml:space="preserve">, </w:t>
      </w:r>
      <w:r w:rsidRPr="005554ED">
        <w:rPr>
          <w:i/>
          <w:iCs/>
          <w:color w:val="000000" w:themeColor="text1"/>
        </w:rPr>
        <w:t>14</w:t>
      </w:r>
      <w:r w:rsidRPr="005554ED">
        <w:rPr>
          <w:color w:val="000000" w:themeColor="text1"/>
        </w:rPr>
        <w:t xml:space="preserve">(5). </w:t>
      </w:r>
      <w:hyperlink r:id="rId79" w:history="1">
        <w:r w:rsidRPr="005554ED">
          <w:rPr>
            <w:rStyle w:val="Hyperlink"/>
            <w:rFonts w:eastAsia="Arial"/>
            <w:color w:val="000000" w:themeColor="text1"/>
          </w:rPr>
          <w:t>https://doi.org/10.29333/ejmste/85637</w:t>
        </w:r>
      </w:hyperlink>
    </w:p>
    <w:p w14:paraId="22300CA1" w14:textId="77777777" w:rsidR="00B76713" w:rsidRPr="005554ED" w:rsidRDefault="00B76713" w:rsidP="00B76713">
      <w:pPr>
        <w:pStyle w:val="Bibliography"/>
        <w:rPr>
          <w:color w:val="000000" w:themeColor="text1"/>
        </w:rPr>
      </w:pPr>
      <w:proofErr w:type="spellStart"/>
      <w:r w:rsidRPr="005554ED">
        <w:rPr>
          <w:color w:val="000000" w:themeColor="text1"/>
        </w:rPr>
        <w:t>Ditcheva</w:t>
      </w:r>
      <w:proofErr w:type="spellEnd"/>
      <w:r w:rsidRPr="005554ED">
        <w:rPr>
          <w:color w:val="000000" w:themeColor="text1"/>
        </w:rPr>
        <w:t xml:space="preserve">, M., </w:t>
      </w:r>
      <w:proofErr w:type="spellStart"/>
      <w:r w:rsidRPr="005554ED">
        <w:rPr>
          <w:color w:val="000000" w:themeColor="text1"/>
        </w:rPr>
        <w:t>Vrshek-Schallhorn</w:t>
      </w:r>
      <w:proofErr w:type="spellEnd"/>
      <w:r w:rsidRPr="005554ED">
        <w:rPr>
          <w:color w:val="000000" w:themeColor="text1"/>
        </w:rPr>
        <w:t xml:space="preserve">, S., &amp; Batista, A. (2018). People who need people: Trait loneliness influences positive affect as a function of interpersonal context. </w:t>
      </w:r>
      <w:r w:rsidRPr="005554ED">
        <w:rPr>
          <w:i/>
          <w:iCs/>
          <w:color w:val="000000" w:themeColor="text1"/>
        </w:rPr>
        <w:t>Biological Psychology</w:t>
      </w:r>
      <w:r w:rsidRPr="005554ED">
        <w:rPr>
          <w:color w:val="000000" w:themeColor="text1"/>
        </w:rPr>
        <w:t xml:space="preserve">, </w:t>
      </w:r>
      <w:r w:rsidRPr="005554ED">
        <w:rPr>
          <w:i/>
          <w:iCs/>
          <w:color w:val="000000" w:themeColor="text1"/>
        </w:rPr>
        <w:t>136</w:t>
      </w:r>
      <w:r w:rsidRPr="005554ED">
        <w:rPr>
          <w:color w:val="000000" w:themeColor="text1"/>
        </w:rPr>
        <w:t xml:space="preserve">, 181–188. </w:t>
      </w:r>
      <w:hyperlink r:id="rId80" w:history="1">
        <w:r w:rsidRPr="005554ED">
          <w:rPr>
            <w:rStyle w:val="Hyperlink"/>
            <w:rFonts w:eastAsia="Arial"/>
            <w:color w:val="000000" w:themeColor="text1"/>
          </w:rPr>
          <w:t>https://doi.org/10.1016/j.biopsycho.2018.05.014</w:t>
        </w:r>
      </w:hyperlink>
    </w:p>
    <w:p w14:paraId="28613F67" w14:textId="77777777" w:rsidR="00B76713" w:rsidRPr="005554ED" w:rsidRDefault="00B76713" w:rsidP="00B76713">
      <w:pPr>
        <w:pStyle w:val="Bibliography"/>
        <w:rPr>
          <w:color w:val="000000" w:themeColor="text1"/>
        </w:rPr>
      </w:pPr>
      <w:proofErr w:type="spellStart"/>
      <w:r w:rsidRPr="005554ED">
        <w:rPr>
          <w:color w:val="000000" w:themeColor="text1"/>
        </w:rPr>
        <w:t>Dittmann</w:t>
      </w:r>
      <w:proofErr w:type="spellEnd"/>
      <w:r w:rsidRPr="005554ED">
        <w:rPr>
          <w:color w:val="000000" w:themeColor="text1"/>
        </w:rPr>
        <w:t xml:space="preserve">, K. L. (2003). </w:t>
      </w:r>
      <w:r w:rsidRPr="005554ED">
        <w:rPr>
          <w:i/>
          <w:iCs/>
          <w:color w:val="000000" w:themeColor="text1"/>
        </w:rPr>
        <w:t>A study of the relationship between loneliness and Internet use among university students</w:t>
      </w:r>
      <w:r w:rsidRPr="005554ED">
        <w:rPr>
          <w:color w:val="000000" w:themeColor="text1"/>
        </w:rPr>
        <w:t>. Andrews University, School of Education.</w:t>
      </w:r>
    </w:p>
    <w:p w14:paraId="35CA0DC3" w14:textId="77777777" w:rsidR="00B76713" w:rsidRPr="005554ED" w:rsidRDefault="00B76713" w:rsidP="00B76713">
      <w:pPr>
        <w:pStyle w:val="Bibliography"/>
        <w:rPr>
          <w:color w:val="000000" w:themeColor="text1"/>
        </w:rPr>
      </w:pPr>
      <w:proofErr w:type="spellStart"/>
      <w:r w:rsidRPr="005554ED">
        <w:rPr>
          <w:color w:val="000000" w:themeColor="text1"/>
        </w:rPr>
        <w:t>Dodeen</w:t>
      </w:r>
      <w:proofErr w:type="spellEnd"/>
      <w:r w:rsidRPr="005554ED">
        <w:rPr>
          <w:color w:val="000000" w:themeColor="text1"/>
        </w:rPr>
        <w:t xml:space="preserve">, H. (2015). The effects of positively and negatively worded items on the factor structure of the UCLA Loneliness Scale. </w:t>
      </w:r>
      <w:r w:rsidRPr="005554ED">
        <w:rPr>
          <w:i/>
          <w:iCs/>
          <w:color w:val="000000" w:themeColor="text1"/>
        </w:rPr>
        <w:t>Journal of Psychoeducational Assessment</w:t>
      </w:r>
      <w:r w:rsidRPr="005554ED">
        <w:rPr>
          <w:color w:val="000000" w:themeColor="text1"/>
        </w:rPr>
        <w:t xml:space="preserve">, </w:t>
      </w:r>
      <w:r w:rsidRPr="005554ED">
        <w:rPr>
          <w:i/>
          <w:iCs/>
          <w:color w:val="000000" w:themeColor="text1"/>
        </w:rPr>
        <w:t>33</w:t>
      </w:r>
      <w:r w:rsidRPr="005554ED">
        <w:rPr>
          <w:color w:val="000000" w:themeColor="text1"/>
        </w:rPr>
        <w:t xml:space="preserve">(3), 259–267. </w:t>
      </w:r>
      <w:hyperlink r:id="rId81" w:history="1">
        <w:r w:rsidRPr="005554ED">
          <w:rPr>
            <w:rStyle w:val="Hyperlink"/>
            <w:rFonts w:eastAsia="Arial"/>
            <w:color w:val="000000" w:themeColor="text1"/>
          </w:rPr>
          <w:t>https://doi.org/10.1177/0734282914548325</w:t>
        </w:r>
      </w:hyperlink>
    </w:p>
    <w:p w14:paraId="237EC649" w14:textId="77777777" w:rsidR="00B76713" w:rsidRPr="005554ED" w:rsidRDefault="00B76713" w:rsidP="00B76713">
      <w:pPr>
        <w:pStyle w:val="Bibliography"/>
        <w:rPr>
          <w:color w:val="000000" w:themeColor="text1"/>
        </w:rPr>
      </w:pPr>
      <w:r w:rsidRPr="005554ED">
        <w:rPr>
          <w:color w:val="000000" w:themeColor="text1"/>
        </w:rPr>
        <w:lastRenderedPageBreak/>
        <w:t xml:space="preserve">Dorrance Hall, E., </w:t>
      </w:r>
      <w:proofErr w:type="spellStart"/>
      <w:r w:rsidRPr="005554ED">
        <w:rPr>
          <w:color w:val="000000" w:themeColor="text1"/>
        </w:rPr>
        <w:t>McNallie</w:t>
      </w:r>
      <w:proofErr w:type="spellEnd"/>
      <w:r w:rsidRPr="005554ED">
        <w:rPr>
          <w:color w:val="000000" w:themeColor="text1"/>
        </w:rPr>
        <w:t xml:space="preserve">, J., </w:t>
      </w:r>
      <w:proofErr w:type="spellStart"/>
      <w:r w:rsidRPr="005554ED">
        <w:rPr>
          <w:color w:val="000000" w:themeColor="text1"/>
        </w:rPr>
        <w:t>Custers</w:t>
      </w:r>
      <w:proofErr w:type="spellEnd"/>
      <w:r w:rsidRPr="005554ED">
        <w:rPr>
          <w:color w:val="000000" w:themeColor="text1"/>
        </w:rPr>
        <w:t xml:space="preserve">, K., Timmermans, E., Wilson, S. R., &amp; van den </w:t>
      </w:r>
      <w:proofErr w:type="spellStart"/>
      <w:r w:rsidRPr="005554ED">
        <w:rPr>
          <w:color w:val="000000" w:themeColor="text1"/>
        </w:rPr>
        <w:t>Bulck</w:t>
      </w:r>
      <w:proofErr w:type="spellEnd"/>
      <w:r w:rsidRPr="005554ED">
        <w:rPr>
          <w:color w:val="000000" w:themeColor="text1"/>
        </w:rPr>
        <w:t xml:space="preserve">, J. (2017). A cross-cultural examination of the mediating role of family support and parental advice quality on the relationship between family communication patterns and first-year college student adjustment in the United States and Belgium. </w:t>
      </w:r>
      <w:r w:rsidRPr="005554ED">
        <w:rPr>
          <w:i/>
          <w:iCs/>
          <w:color w:val="000000" w:themeColor="text1"/>
        </w:rPr>
        <w:t>Communication Research</w:t>
      </w:r>
      <w:r w:rsidRPr="005554ED">
        <w:rPr>
          <w:color w:val="000000" w:themeColor="text1"/>
        </w:rPr>
        <w:t xml:space="preserve">, </w:t>
      </w:r>
      <w:r w:rsidRPr="005554ED">
        <w:rPr>
          <w:i/>
          <w:iCs/>
          <w:color w:val="000000" w:themeColor="text1"/>
        </w:rPr>
        <w:t>44</w:t>
      </w:r>
      <w:r w:rsidRPr="005554ED">
        <w:rPr>
          <w:color w:val="000000" w:themeColor="text1"/>
        </w:rPr>
        <w:t xml:space="preserve">(5), 638–667. </w:t>
      </w:r>
      <w:hyperlink r:id="rId82" w:history="1">
        <w:r w:rsidRPr="005554ED">
          <w:rPr>
            <w:rStyle w:val="Hyperlink"/>
            <w:rFonts w:eastAsia="Arial"/>
            <w:color w:val="000000" w:themeColor="text1"/>
          </w:rPr>
          <w:t>https://doi.org/10.1177/0093650216657755</w:t>
        </w:r>
      </w:hyperlink>
    </w:p>
    <w:p w14:paraId="5189AD32" w14:textId="77777777" w:rsidR="00B76713" w:rsidRPr="005554ED" w:rsidRDefault="00B76713" w:rsidP="00B76713">
      <w:pPr>
        <w:pStyle w:val="Bibliography"/>
        <w:rPr>
          <w:color w:val="000000" w:themeColor="text1"/>
        </w:rPr>
      </w:pPr>
      <w:r w:rsidRPr="005554ED">
        <w:rPr>
          <w:color w:val="000000" w:themeColor="text1"/>
        </w:rPr>
        <w:t xml:space="preserve">Dowling, N. A., &amp; Quirk, K. L. (2009). Screening for Internet dependence: Do the proposed diagnostic criteria differentiate normal from dependent Internet use? </w:t>
      </w:r>
      <w:r w:rsidRPr="005554ED">
        <w:rPr>
          <w:i/>
          <w:iCs/>
          <w:color w:val="000000" w:themeColor="text1"/>
        </w:rPr>
        <w:t xml:space="preserve">Cyberpsychology &amp; </w:t>
      </w:r>
      <w:proofErr w:type="gramStart"/>
      <w:r w:rsidRPr="005554ED">
        <w:rPr>
          <w:i/>
          <w:iCs/>
          <w:color w:val="000000" w:themeColor="text1"/>
        </w:rPr>
        <w:t>Behavior :</w:t>
      </w:r>
      <w:proofErr w:type="gramEnd"/>
      <w:r w:rsidRPr="005554ED">
        <w:rPr>
          <w:i/>
          <w:iCs/>
          <w:color w:val="000000" w:themeColor="text1"/>
        </w:rPr>
        <w:t xml:space="preserve"> The Impact of the Internet, Multimedia and Virtual Reality on Behavior and Society</w:t>
      </w:r>
      <w:r w:rsidRPr="005554ED">
        <w:rPr>
          <w:color w:val="000000" w:themeColor="text1"/>
        </w:rPr>
        <w:t xml:space="preserve">, </w:t>
      </w:r>
      <w:r w:rsidRPr="005554ED">
        <w:rPr>
          <w:i/>
          <w:iCs/>
          <w:color w:val="000000" w:themeColor="text1"/>
        </w:rPr>
        <w:t>12</w:t>
      </w:r>
      <w:r w:rsidRPr="005554ED">
        <w:rPr>
          <w:color w:val="000000" w:themeColor="text1"/>
        </w:rPr>
        <w:t xml:space="preserve">(1), 21–27. </w:t>
      </w:r>
      <w:hyperlink r:id="rId83" w:history="1">
        <w:r w:rsidRPr="005554ED">
          <w:rPr>
            <w:rStyle w:val="Hyperlink"/>
            <w:rFonts w:eastAsia="Arial"/>
            <w:color w:val="000000" w:themeColor="text1"/>
          </w:rPr>
          <w:t>https://doi.org/10.1089/cpb.2008.0162</w:t>
        </w:r>
      </w:hyperlink>
    </w:p>
    <w:p w14:paraId="29C6265D" w14:textId="77777777" w:rsidR="00B76713" w:rsidRPr="005554ED" w:rsidRDefault="00B76713" w:rsidP="00B76713">
      <w:pPr>
        <w:pStyle w:val="Bibliography"/>
        <w:rPr>
          <w:color w:val="000000" w:themeColor="text1"/>
        </w:rPr>
      </w:pPr>
      <w:r w:rsidRPr="005554ED">
        <w:rPr>
          <w:color w:val="000000" w:themeColor="text1"/>
        </w:rPr>
        <w:t xml:space="preserve">Drake, E. C., </w:t>
      </w:r>
      <w:proofErr w:type="spellStart"/>
      <w:r w:rsidRPr="005554ED">
        <w:rPr>
          <w:color w:val="000000" w:themeColor="text1"/>
        </w:rPr>
        <w:t>Sladek</w:t>
      </w:r>
      <w:proofErr w:type="spellEnd"/>
      <w:r w:rsidRPr="005554ED">
        <w:rPr>
          <w:color w:val="000000" w:themeColor="text1"/>
        </w:rPr>
        <w:t xml:space="preserve">, M. R., &amp; </w:t>
      </w:r>
      <w:proofErr w:type="spellStart"/>
      <w:r w:rsidRPr="005554ED">
        <w:rPr>
          <w:color w:val="000000" w:themeColor="text1"/>
        </w:rPr>
        <w:t>Doane</w:t>
      </w:r>
      <w:proofErr w:type="spellEnd"/>
      <w:r w:rsidRPr="005554ED">
        <w:rPr>
          <w:color w:val="000000" w:themeColor="text1"/>
        </w:rPr>
        <w:t xml:space="preserve">, L. D. (2016). Daily cortisol activity, loneliness, and coping efficacy in late adolescence: A longitudinal study of the transition to college. </w:t>
      </w:r>
      <w:r w:rsidRPr="005554ED">
        <w:rPr>
          <w:i/>
          <w:iCs/>
          <w:color w:val="000000" w:themeColor="text1"/>
        </w:rPr>
        <w:t>International Journal of Behavioral Development</w:t>
      </w:r>
      <w:r w:rsidRPr="005554ED">
        <w:rPr>
          <w:color w:val="000000" w:themeColor="text1"/>
        </w:rPr>
        <w:t xml:space="preserve">, </w:t>
      </w:r>
      <w:r w:rsidRPr="005554ED">
        <w:rPr>
          <w:i/>
          <w:iCs/>
          <w:color w:val="000000" w:themeColor="text1"/>
        </w:rPr>
        <w:t>40</w:t>
      </w:r>
      <w:r w:rsidRPr="005554ED">
        <w:rPr>
          <w:color w:val="000000" w:themeColor="text1"/>
        </w:rPr>
        <w:t xml:space="preserve">(4), 334–345. </w:t>
      </w:r>
      <w:hyperlink r:id="rId84" w:history="1">
        <w:r w:rsidRPr="005554ED">
          <w:rPr>
            <w:rStyle w:val="Hyperlink"/>
            <w:rFonts w:eastAsia="Arial"/>
            <w:color w:val="000000" w:themeColor="text1"/>
          </w:rPr>
          <w:t>https://doi.org/10.1177/0165025415581914</w:t>
        </w:r>
      </w:hyperlink>
    </w:p>
    <w:p w14:paraId="31BA9767" w14:textId="77777777" w:rsidR="00B76713" w:rsidRPr="005554ED" w:rsidRDefault="00B76713" w:rsidP="00B76713">
      <w:pPr>
        <w:pStyle w:val="Bibliography"/>
        <w:rPr>
          <w:color w:val="000000" w:themeColor="text1"/>
        </w:rPr>
      </w:pPr>
      <w:r w:rsidRPr="005554ED">
        <w:rPr>
          <w:color w:val="000000" w:themeColor="text1"/>
        </w:rPr>
        <w:t xml:space="preserve">Dumas, T. M., Maxwell-Smith, M., Davis, J. P., &amp; </w:t>
      </w:r>
      <w:proofErr w:type="spellStart"/>
      <w:r w:rsidRPr="005554ED">
        <w:rPr>
          <w:color w:val="000000" w:themeColor="text1"/>
        </w:rPr>
        <w:t>Giulietti</w:t>
      </w:r>
      <w:proofErr w:type="spellEnd"/>
      <w:r w:rsidRPr="005554ED">
        <w:rPr>
          <w:color w:val="000000" w:themeColor="text1"/>
        </w:rPr>
        <w:t xml:space="preserve">, P. A. (2017). Lying or longing for likes? Narcissism, peer belonging, loneliness and normative versus deceptive like-seeking on Instagram in emerging adulthood. </w:t>
      </w:r>
      <w:r w:rsidRPr="005554ED">
        <w:rPr>
          <w:i/>
          <w:iCs/>
          <w:color w:val="000000" w:themeColor="text1"/>
        </w:rPr>
        <w:t>Computers in Human Behavior</w:t>
      </w:r>
      <w:r w:rsidRPr="005554ED">
        <w:rPr>
          <w:color w:val="000000" w:themeColor="text1"/>
        </w:rPr>
        <w:t xml:space="preserve">, </w:t>
      </w:r>
      <w:r w:rsidRPr="005554ED">
        <w:rPr>
          <w:i/>
          <w:iCs/>
          <w:color w:val="000000" w:themeColor="text1"/>
        </w:rPr>
        <w:t>71</w:t>
      </w:r>
      <w:r w:rsidRPr="005554ED">
        <w:rPr>
          <w:color w:val="000000" w:themeColor="text1"/>
        </w:rPr>
        <w:t xml:space="preserve">, 1–10. </w:t>
      </w:r>
      <w:hyperlink r:id="rId85" w:history="1">
        <w:r w:rsidRPr="005554ED">
          <w:rPr>
            <w:rStyle w:val="Hyperlink"/>
            <w:rFonts w:eastAsia="Arial"/>
            <w:color w:val="000000" w:themeColor="text1"/>
          </w:rPr>
          <w:t>https://doi.org/10.1016/j.chb.2017.01.037</w:t>
        </w:r>
      </w:hyperlink>
    </w:p>
    <w:p w14:paraId="5E4F072F" w14:textId="77777777" w:rsidR="00B76713" w:rsidRPr="005554ED" w:rsidRDefault="00B76713" w:rsidP="00B76713">
      <w:pPr>
        <w:pStyle w:val="Bibliography"/>
        <w:rPr>
          <w:color w:val="000000" w:themeColor="text1"/>
        </w:rPr>
      </w:pPr>
      <w:proofErr w:type="spellStart"/>
      <w:r w:rsidRPr="005554ED">
        <w:rPr>
          <w:color w:val="000000" w:themeColor="text1"/>
        </w:rPr>
        <w:t>Durak</w:t>
      </w:r>
      <w:proofErr w:type="spellEnd"/>
      <w:r w:rsidRPr="005554ED">
        <w:rPr>
          <w:color w:val="000000" w:themeColor="text1"/>
        </w:rPr>
        <w:t xml:space="preserve">, M., &amp; </w:t>
      </w:r>
      <w:proofErr w:type="spellStart"/>
      <w:r w:rsidRPr="005554ED">
        <w:rPr>
          <w:color w:val="000000" w:themeColor="text1"/>
        </w:rPr>
        <w:t>Senol-Durak</w:t>
      </w:r>
      <w:proofErr w:type="spellEnd"/>
      <w:r w:rsidRPr="005554ED">
        <w:rPr>
          <w:color w:val="000000" w:themeColor="text1"/>
        </w:rPr>
        <w:t xml:space="preserve">, E. (2010). Psychometric qualities of the UCLA Loneliness Scale-Version 3 as applied in a Turkish culture. </w:t>
      </w:r>
      <w:r w:rsidRPr="005554ED">
        <w:rPr>
          <w:i/>
          <w:iCs/>
          <w:color w:val="000000" w:themeColor="text1"/>
        </w:rPr>
        <w:t>Educational Gerontology</w:t>
      </w:r>
      <w:r w:rsidRPr="005554ED">
        <w:rPr>
          <w:color w:val="000000" w:themeColor="text1"/>
        </w:rPr>
        <w:t xml:space="preserve">, </w:t>
      </w:r>
      <w:r w:rsidRPr="005554ED">
        <w:rPr>
          <w:i/>
          <w:iCs/>
          <w:color w:val="000000" w:themeColor="text1"/>
        </w:rPr>
        <w:t>36</w:t>
      </w:r>
      <w:r w:rsidRPr="005554ED">
        <w:rPr>
          <w:color w:val="000000" w:themeColor="text1"/>
        </w:rPr>
        <w:t xml:space="preserve">(10–11), 988–1007. </w:t>
      </w:r>
      <w:hyperlink r:id="rId86" w:history="1">
        <w:r w:rsidRPr="005554ED">
          <w:rPr>
            <w:rStyle w:val="Hyperlink"/>
            <w:rFonts w:eastAsia="Arial"/>
            <w:color w:val="000000" w:themeColor="text1"/>
          </w:rPr>
          <w:t>https://doi.org/10.1080/03601271003756628</w:t>
        </w:r>
      </w:hyperlink>
    </w:p>
    <w:p w14:paraId="18D37BD4" w14:textId="77777777" w:rsidR="00B76713" w:rsidRPr="005554ED" w:rsidRDefault="00B76713" w:rsidP="00B76713">
      <w:pPr>
        <w:pStyle w:val="Bibliography"/>
        <w:rPr>
          <w:color w:val="000000" w:themeColor="text1"/>
        </w:rPr>
      </w:pPr>
      <w:r w:rsidRPr="005554ED">
        <w:rPr>
          <w:color w:val="000000" w:themeColor="text1"/>
        </w:rPr>
        <w:t xml:space="preserve">Elliot, A. J., Gable, S. L., &amp; Mapes, R. R. (2006). Approach and avoidance motivation in the social domain. </w:t>
      </w:r>
      <w:r w:rsidRPr="005554ED">
        <w:rPr>
          <w:i/>
          <w:iCs/>
          <w:color w:val="000000" w:themeColor="text1"/>
        </w:rPr>
        <w:t>Personality &amp; Social Psychology Bulletin</w:t>
      </w:r>
      <w:r w:rsidRPr="005554ED">
        <w:rPr>
          <w:color w:val="000000" w:themeColor="text1"/>
        </w:rPr>
        <w:t xml:space="preserve">, </w:t>
      </w:r>
      <w:r w:rsidRPr="005554ED">
        <w:rPr>
          <w:i/>
          <w:iCs/>
          <w:color w:val="000000" w:themeColor="text1"/>
        </w:rPr>
        <w:t>32</w:t>
      </w:r>
      <w:r w:rsidRPr="005554ED">
        <w:rPr>
          <w:color w:val="000000" w:themeColor="text1"/>
        </w:rPr>
        <w:t xml:space="preserve">(3), 378–391. </w:t>
      </w:r>
      <w:hyperlink r:id="rId87" w:history="1">
        <w:r w:rsidRPr="005554ED">
          <w:rPr>
            <w:rStyle w:val="Hyperlink"/>
            <w:rFonts w:eastAsia="Arial"/>
            <w:color w:val="000000" w:themeColor="text1"/>
          </w:rPr>
          <w:t>https://doi.org/10.1177/0146167205282153</w:t>
        </w:r>
      </w:hyperlink>
    </w:p>
    <w:p w14:paraId="0442411F" w14:textId="77777777" w:rsidR="00B76713" w:rsidRPr="005554ED" w:rsidRDefault="00B76713" w:rsidP="00B76713">
      <w:pPr>
        <w:pStyle w:val="Bibliography"/>
        <w:rPr>
          <w:color w:val="000000" w:themeColor="text1"/>
        </w:rPr>
      </w:pPr>
      <w:proofErr w:type="spellStart"/>
      <w:r w:rsidRPr="005554ED">
        <w:rPr>
          <w:color w:val="000000" w:themeColor="text1"/>
        </w:rPr>
        <w:lastRenderedPageBreak/>
        <w:t>Elmi</w:t>
      </w:r>
      <w:proofErr w:type="spellEnd"/>
      <w:r w:rsidRPr="005554ED">
        <w:rPr>
          <w:color w:val="000000" w:themeColor="text1"/>
        </w:rPr>
        <w:t xml:space="preserve">, C. M. (2018). </w:t>
      </w:r>
      <w:r w:rsidRPr="005554ED">
        <w:rPr>
          <w:i/>
          <w:iCs/>
          <w:color w:val="000000" w:themeColor="text1"/>
        </w:rPr>
        <w:t>Does place attachment always link to higher quality of life in international students? The psychological mechanisms of loneliness</w:t>
      </w:r>
      <w:r w:rsidRPr="005554ED">
        <w:rPr>
          <w:color w:val="000000" w:themeColor="text1"/>
        </w:rPr>
        <w:t xml:space="preserve"> [Master thesis supervised by Sonia </w:t>
      </w:r>
      <w:proofErr w:type="spellStart"/>
      <w:r w:rsidRPr="005554ED">
        <w:rPr>
          <w:color w:val="000000" w:themeColor="text1"/>
        </w:rPr>
        <w:t>Lippke</w:t>
      </w:r>
      <w:proofErr w:type="spellEnd"/>
      <w:r w:rsidRPr="005554ED">
        <w:rPr>
          <w:color w:val="000000" w:themeColor="text1"/>
        </w:rPr>
        <w:t>].</w:t>
      </w:r>
    </w:p>
    <w:p w14:paraId="7CC8F236" w14:textId="77777777" w:rsidR="00B76713" w:rsidRPr="005554ED" w:rsidRDefault="00B76713" w:rsidP="00B76713">
      <w:pPr>
        <w:pStyle w:val="Bibliography"/>
        <w:rPr>
          <w:color w:val="000000" w:themeColor="text1"/>
          <w:lang w:val="de-DE"/>
        </w:rPr>
      </w:pPr>
      <w:r w:rsidRPr="005554ED">
        <w:rPr>
          <w:color w:val="000000" w:themeColor="text1"/>
        </w:rPr>
        <w:t xml:space="preserve">Elphinstone, B. (2018). Identification of a suitable short-form of the UCLA-Loneliness Scale. </w:t>
      </w:r>
      <w:r w:rsidRPr="005554ED">
        <w:rPr>
          <w:i/>
          <w:iCs/>
          <w:color w:val="000000" w:themeColor="text1"/>
          <w:lang w:val="de-DE"/>
        </w:rPr>
        <w:t>Australian Psychologist</w:t>
      </w:r>
      <w:r w:rsidRPr="005554ED">
        <w:rPr>
          <w:color w:val="000000" w:themeColor="text1"/>
          <w:lang w:val="de-DE"/>
        </w:rPr>
        <w:t xml:space="preserve">, </w:t>
      </w:r>
      <w:r w:rsidRPr="005554ED">
        <w:rPr>
          <w:i/>
          <w:iCs/>
          <w:color w:val="000000" w:themeColor="text1"/>
          <w:lang w:val="de-DE"/>
        </w:rPr>
        <w:t>53</w:t>
      </w:r>
      <w:r w:rsidRPr="005554ED">
        <w:rPr>
          <w:color w:val="000000" w:themeColor="text1"/>
          <w:lang w:val="de-DE"/>
        </w:rPr>
        <w:t xml:space="preserve">(2), 107–115. </w:t>
      </w:r>
      <w:hyperlink r:id="rId88" w:history="1">
        <w:r w:rsidRPr="005554ED">
          <w:rPr>
            <w:rStyle w:val="Hyperlink"/>
            <w:rFonts w:eastAsia="Arial"/>
            <w:color w:val="000000" w:themeColor="text1"/>
            <w:lang w:val="de-DE"/>
          </w:rPr>
          <w:t>https://doi.org/10.1111/ap.12285</w:t>
        </w:r>
      </w:hyperlink>
    </w:p>
    <w:p w14:paraId="44010B69" w14:textId="77777777" w:rsidR="00B76713" w:rsidRPr="005554ED" w:rsidRDefault="00B76713" w:rsidP="00B76713">
      <w:pPr>
        <w:pStyle w:val="Bibliography"/>
        <w:rPr>
          <w:color w:val="000000" w:themeColor="text1"/>
        </w:rPr>
      </w:pPr>
      <w:r w:rsidRPr="005554ED">
        <w:rPr>
          <w:color w:val="000000" w:themeColor="text1"/>
          <w:lang w:val="de-DE"/>
        </w:rPr>
        <w:t xml:space="preserve">Enez Darcin, A., Kose, S., Noyan, C. O., Nurmedov, S., Yılmaz, O., &amp; Dilbaz, N. (2016). </w:t>
      </w:r>
      <w:r w:rsidRPr="005554ED">
        <w:rPr>
          <w:color w:val="000000" w:themeColor="text1"/>
        </w:rPr>
        <w:t xml:space="preserve">Smartphone addiction and its relationship with social anxiety and loneliness. </w:t>
      </w:r>
      <w:proofErr w:type="spellStart"/>
      <w:r w:rsidRPr="005554ED">
        <w:rPr>
          <w:i/>
          <w:iCs/>
          <w:color w:val="000000" w:themeColor="text1"/>
        </w:rPr>
        <w:t>Behaviour</w:t>
      </w:r>
      <w:proofErr w:type="spellEnd"/>
      <w:r w:rsidRPr="005554ED">
        <w:rPr>
          <w:i/>
          <w:iCs/>
          <w:color w:val="000000" w:themeColor="text1"/>
        </w:rPr>
        <w:t xml:space="preserve"> &amp; Information Technology</w:t>
      </w:r>
      <w:r w:rsidRPr="005554ED">
        <w:rPr>
          <w:color w:val="000000" w:themeColor="text1"/>
        </w:rPr>
        <w:t xml:space="preserve">, </w:t>
      </w:r>
      <w:r w:rsidRPr="005554ED">
        <w:rPr>
          <w:i/>
          <w:iCs/>
          <w:color w:val="000000" w:themeColor="text1"/>
        </w:rPr>
        <w:t>35</w:t>
      </w:r>
      <w:r w:rsidRPr="005554ED">
        <w:rPr>
          <w:color w:val="000000" w:themeColor="text1"/>
        </w:rPr>
        <w:t xml:space="preserve">(7), 520–525. </w:t>
      </w:r>
      <w:hyperlink r:id="rId89" w:history="1">
        <w:r w:rsidRPr="005554ED">
          <w:rPr>
            <w:rStyle w:val="Hyperlink"/>
            <w:rFonts w:eastAsia="Arial"/>
            <w:color w:val="000000" w:themeColor="text1"/>
          </w:rPr>
          <w:t>https://doi.org/10.1080/0144929X.2016.1158319</w:t>
        </w:r>
      </w:hyperlink>
    </w:p>
    <w:p w14:paraId="771F967B" w14:textId="77777777" w:rsidR="00B76713" w:rsidRPr="005554ED" w:rsidRDefault="00B76713" w:rsidP="00B76713">
      <w:pPr>
        <w:pStyle w:val="Bibliography"/>
        <w:rPr>
          <w:color w:val="000000" w:themeColor="text1"/>
        </w:rPr>
      </w:pPr>
      <w:proofErr w:type="spellStart"/>
      <w:r w:rsidRPr="006A16A9">
        <w:rPr>
          <w:color w:val="000000" w:themeColor="text1"/>
        </w:rPr>
        <w:t>Eronen</w:t>
      </w:r>
      <w:proofErr w:type="spellEnd"/>
      <w:r w:rsidRPr="006A16A9">
        <w:rPr>
          <w:color w:val="000000" w:themeColor="text1"/>
        </w:rPr>
        <w:t xml:space="preserve">, S., &amp; Nurmi, J.-E. (1999). </w:t>
      </w:r>
      <w:r w:rsidRPr="005554ED">
        <w:rPr>
          <w:color w:val="000000" w:themeColor="text1"/>
        </w:rPr>
        <w:t xml:space="preserve">Social reaction styles, interpersonal </w:t>
      </w:r>
      <w:proofErr w:type="spellStart"/>
      <w:r w:rsidRPr="005554ED">
        <w:rPr>
          <w:color w:val="000000" w:themeColor="text1"/>
        </w:rPr>
        <w:t>behaviours</w:t>
      </w:r>
      <w:proofErr w:type="spellEnd"/>
      <w:r w:rsidRPr="005554ED">
        <w:rPr>
          <w:color w:val="000000" w:themeColor="text1"/>
        </w:rPr>
        <w:t xml:space="preserve"> and person perception: A multi-informant approach. </w:t>
      </w:r>
      <w:r w:rsidRPr="005554ED">
        <w:rPr>
          <w:i/>
          <w:iCs/>
          <w:color w:val="000000" w:themeColor="text1"/>
        </w:rPr>
        <w:t>Journal of Social and Personal Relationships</w:t>
      </w:r>
      <w:r w:rsidRPr="005554ED">
        <w:rPr>
          <w:color w:val="000000" w:themeColor="text1"/>
        </w:rPr>
        <w:t xml:space="preserve">, </w:t>
      </w:r>
      <w:r w:rsidRPr="005554ED">
        <w:rPr>
          <w:i/>
          <w:iCs/>
          <w:color w:val="000000" w:themeColor="text1"/>
        </w:rPr>
        <w:t>16</w:t>
      </w:r>
      <w:r w:rsidRPr="005554ED">
        <w:rPr>
          <w:color w:val="000000" w:themeColor="text1"/>
        </w:rPr>
        <w:t>(3), 315–333.</w:t>
      </w:r>
    </w:p>
    <w:p w14:paraId="11DCD6A3" w14:textId="77777777" w:rsidR="00B76713" w:rsidRPr="005554ED" w:rsidRDefault="00B76713" w:rsidP="00B76713">
      <w:pPr>
        <w:pStyle w:val="Bibliography"/>
        <w:rPr>
          <w:color w:val="000000" w:themeColor="text1"/>
        </w:rPr>
      </w:pPr>
      <w:proofErr w:type="spellStart"/>
      <w:r w:rsidRPr="005554ED">
        <w:rPr>
          <w:color w:val="000000" w:themeColor="text1"/>
        </w:rPr>
        <w:t>Etkin</w:t>
      </w:r>
      <w:proofErr w:type="spellEnd"/>
      <w:r w:rsidRPr="005554ED">
        <w:rPr>
          <w:color w:val="000000" w:themeColor="text1"/>
        </w:rPr>
        <w:t xml:space="preserve">, R. G., Bowker, J. C., &amp; </w:t>
      </w:r>
      <w:proofErr w:type="spellStart"/>
      <w:r w:rsidRPr="005554ED">
        <w:rPr>
          <w:color w:val="000000" w:themeColor="text1"/>
        </w:rPr>
        <w:t>Scalco</w:t>
      </w:r>
      <w:proofErr w:type="spellEnd"/>
      <w:r w:rsidRPr="005554ED">
        <w:rPr>
          <w:color w:val="000000" w:themeColor="text1"/>
        </w:rPr>
        <w:t xml:space="preserve">, M. D. (2016). Associations between subtypes of social withdrawal and emotional eating during emerging adulthood. </w:t>
      </w:r>
      <w:r w:rsidRPr="005554ED">
        <w:rPr>
          <w:i/>
          <w:iCs/>
          <w:color w:val="000000" w:themeColor="text1"/>
        </w:rPr>
        <w:t>Personality and Individual Differences</w:t>
      </w:r>
      <w:r w:rsidRPr="005554ED">
        <w:rPr>
          <w:color w:val="000000" w:themeColor="text1"/>
        </w:rPr>
        <w:t xml:space="preserve">, </w:t>
      </w:r>
      <w:r w:rsidRPr="005554ED">
        <w:rPr>
          <w:i/>
          <w:iCs/>
          <w:color w:val="000000" w:themeColor="text1"/>
        </w:rPr>
        <w:t>97</w:t>
      </w:r>
      <w:r w:rsidRPr="005554ED">
        <w:rPr>
          <w:color w:val="000000" w:themeColor="text1"/>
        </w:rPr>
        <w:t xml:space="preserve">, 239–244. </w:t>
      </w:r>
      <w:hyperlink r:id="rId90" w:history="1">
        <w:r w:rsidRPr="005554ED">
          <w:rPr>
            <w:rStyle w:val="Hyperlink"/>
            <w:rFonts w:eastAsia="Arial"/>
            <w:color w:val="000000" w:themeColor="text1"/>
          </w:rPr>
          <w:t>https://doi.org/10.1016/j.paid.2016.03.059</w:t>
        </w:r>
      </w:hyperlink>
    </w:p>
    <w:p w14:paraId="6022D8B2" w14:textId="77777777" w:rsidR="00B76713" w:rsidRPr="005554ED" w:rsidRDefault="00B76713" w:rsidP="00B76713">
      <w:pPr>
        <w:pStyle w:val="Bibliography"/>
        <w:rPr>
          <w:color w:val="000000" w:themeColor="text1"/>
        </w:rPr>
      </w:pPr>
      <w:r w:rsidRPr="005554ED">
        <w:rPr>
          <w:color w:val="000000" w:themeColor="text1"/>
        </w:rPr>
        <w:t xml:space="preserve">Fallon, M. A., </w:t>
      </w:r>
      <w:proofErr w:type="spellStart"/>
      <w:r w:rsidRPr="005554ED">
        <w:rPr>
          <w:color w:val="000000" w:themeColor="text1"/>
        </w:rPr>
        <w:t>Careaga</w:t>
      </w:r>
      <w:proofErr w:type="spellEnd"/>
      <w:r w:rsidRPr="005554ED">
        <w:rPr>
          <w:color w:val="000000" w:themeColor="text1"/>
        </w:rPr>
        <w:t xml:space="preserve">, J. S., </w:t>
      </w:r>
      <w:proofErr w:type="spellStart"/>
      <w:r w:rsidRPr="005554ED">
        <w:rPr>
          <w:color w:val="000000" w:themeColor="text1"/>
        </w:rPr>
        <w:t>Sbarra</w:t>
      </w:r>
      <w:proofErr w:type="spellEnd"/>
      <w:r w:rsidRPr="005554ED">
        <w:rPr>
          <w:color w:val="000000" w:themeColor="text1"/>
        </w:rPr>
        <w:t xml:space="preserve">, D. A., &amp; </w:t>
      </w:r>
      <w:proofErr w:type="spellStart"/>
      <w:r w:rsidRPr="005554ED">
        <w:rPr>
          <w:color w:val="000000" w:themeColor="text1"/>
        </w:rPr>
        <w:t>OʼConnor</w:t>
      </w:r>
      <w:proofErr w:type="spellEnd"/>
      <w:r w:rsidRPr="005554ED">
        <w:rPr>
          <w:color w:val="000000" w:themeColor="text1"/>
        </w:rPr>
        <w:t xml:space="preserve">, M.-F. (2016). Utility of a virtual Trier Social Stress Test: Initial findings and benchmarking comparisons. </w:t>
      </w:r>
      <w:r w:rsidRPr="005554ED">
        <w:rPr>
          <w:i/>
          <w:iCs/>
          <w:color w:val="000000" w:themeColor="text1"/>
        </w:rPr>
        <w:t>Psychosomatic Medicine</w:t>
      </w:r>
      <w:r w:rsidRPr="005554ED">
        <w:rPr>
          <w:color w:val="000000" w:themeColor="text1"/>
        </w:rPr>
        <w:t xml:space="preserve">, </w:t>
      </w:r>
      <w:r w:rsidRPr="005554ED">
        <w:rPr>
          <w:i/>
          <w:iCs/>
          <w:color w:val="000000" w:themeColor="text1"/>
        </w:rPr>
        <w:t>78</w:t>
      </w:r>
      <w:r w:rsidRPr="005554ED">
        <w:rPr>
          <w:color w:val="000000" w:themeColor="text1"/>
        </w:rPr>
        <w:t xml:space="preserve">(7), 835–840. </w:t>
      </w:r>
      <w:hyperlink r:id="rId91" w:history="1">
        <w:r w:rsidRPr="005554ED">
          <w:rPr>
            <w:rStyle w:val="Hyperlink"/>
            <w:rFonts w:eastAsia="Arial"/>
            <w:color w:val="000000" w:themeColor="text1"/>
          </w:rPr>
          <w:t>https://doi.org/10.1097/PSY.0000000000000338</w:t>
        </w:r>
      </w:hyperlink>
    </w:p>
    <w:p w14:paraId="33E00852" w14:textId="77777777" w:rsidR="00B76713" w:rsidRPr="005554ED" w:rsidRDefault="00B76713" w:rsidP="00B76713">
      <w:pPr>
        <w:pStyle w:val="Bibliography"/>
        <w:rPr>
          <w:color w:val="000000" w:themeColor="text1"/>
        </w:rPr>
      </w:pPr>
      <w:r w:rsidRPr="00A04F18">
        <w:rPr>
          <w:color w:val="000000" w:themeColor="text1"/>
        </w:rPr>
        <w:t xml:space="preserve">Fergus, T. A., </w:t>
      </w:r>
      <w:proofErr w:type="spellStart"/>
      <w:r w:rsidRPr="00A04F18">
        <w:rPr>
          <w:color w:val="000000" w:themeColor="text1"/>
        </w:rPr>
        <w:t>Valentiner</w:t>
      </w:r>
      <w:proofErr w:type="spellEnd"/>
      <w:r w:rsidRPr="00A04F18">
        <w:rPr>
          <w:color w:val="000000" w:themeColor="text1"/>
        </w:rPr>
        <w:t xml:space="preserve">, D. P., Kim, H.-S., &amp; Stephenson, K. (2009). </w:t>
      </w:r>
      <w:r w:rsidRPr="005554ED">
        <w:rPr>
          <w:color w:val="000000" w:themeColor="text1"/>
        </w:rPr>
        <w:t xml:space="preserve">The Social Thoughts and Beliefs Scale: Psychometric properties and its relation with interpersonal functioning in a non-clinical sample. </w:t>
      </w:r>
      <w:r w:rsidRPr="005554ED">
        <w:rPr>
          <w:i/>
          <w:iCs/>
          <w:color w:val="000000" w:themeColor="text1"/>
        </w:rPr>
        <w:t>Cognitive Therapy and Research</w:t>
      </w:r>
      <w:r w:rsidRPr="005554ED">
        <w:rPr>
          <w:color w:val="000000" w:themeColor="text1"/>
        </w:rPr>
        <w:t xml:space="preserve">, </w:t>
      </w:r>
      <w:r w:rsidRPr="005554ED">
        <w:rPr>
          <w:i/>
          <w:iCs/>
          <w:color w:val="000000" w:themeColor="text1"/>
        </w:rPr>
        <w:t>33</w:t>
      </w:r>
      <w:r w:rsidRPr="005554ED">
        <w:rPr>
          <w:color w:val="000000" w:themeColor="text1"/>
        </w:rPr>
        <w:t xml:space="preserve">(4), 425–431. </w:t>
      </w:r>
      <w:hyperlink r:id="rId92" w:history="1">
        <w:r w:rsidRPr="005554ED">
          <w:rPr>
            <w:rStyle w:val="Hyperlink"/>
            <w:rFonts w:eastAsia="Arial"/>
            <w:color w:val="000000" w:themeColor="text1"/>
          </w:rPr>
          <w:t>https://doi.org/10.1007/s10608-008-9214-x</w:t>
        </w:r>
      </w:hyperlink>
    </w:p>
    <w:p w14:paraId="34ABFB98" w14:textId="77777777" w:rsidR="00B76713" w:rsidRPr="005554ED" w:rsidRDefault="00B76713" w:rsidP="00B76713">
      <w:pPr>
        <w:pStyle w:val="Bibliography"/>
        <w:rPr>
          <w:color w:val="000000" w:themeColor="text1"/>
        </w:rPr>
      </w:pPr>
      <w:r w:rsidRPr="005554ED">
        <w:rPr>
          <w:color w:val="000000" w:themeColor="text1"/>
        </w:rPr>
        <w:lastRenderedPageBreak/>
        <w:t xml:space="preserve">Finn, S., &amp; </w:t>
      </w:r>
      <w:proofErr w:type="spellStart"/>
      <w:r w:rsidRPr="005554ED">
        <w:rPr>
          <w:color w:val="000000" w:themeColor="text1"/>
        </w:rPr>
        <w:t>Gorr</w:t>
      </w:r>
      <w:proofErr w:type="spellEnd"/>
      <w:r w:rsidRPr="005554ED">
        <w:rPr>
          <w:color w:val="000000" w:themeColor="text1"/>
        </w:rPr>
        <w:t xml:space="preserve">, M. B. (1988). Social isolation and social support as correlates of television viewing motivations. </w:t>
      </w:r>
      <w:r w:rsidRPr="005554ED">
        <w:rPr>
          <w:i/>
          <w:iCs/>
          <w:color w:val="000000" w:themeColor="text1"/>
        </w:rPr>
        <w:t>Communication Research</w:t>
      </w:r>
      <w:r w:rsidRPr="005554ED">
        <w:rPr>
          <w:color w:val="000000" w:themeColor="text1"/>
        </w:rPr>
        <w:t xml:space="preserve">, </w:t>
      </w:r>
      <w:r w:rsidRPr="005554ED">
        <w:rPr>
          <w:i/>
          <w:iCs/>
          <w:color w:val="000000" w:themeColor="text1"/>
        </w:rPr>
        <w:t>15</w:t>
      </w:r>
      <w:r w:rsidRPr="005554ED">
        <w:rPr>
          <w:color w:val="000000" w:themeColor="text1"/>
        </w:rPr>
        <w:t xml:space="preserve">(2), 135–158. </w:t>
      </w:r>
      <w:hyperlink r:id="rId93" w:history="1">
        <w:r w:rsidRPr="005554ED">
          <w:rPr>
            <w:rStyle w:val="Hyperlink"/>
            <w:rFonts w:eastAsia="Arial"/>
            <w:color w:val="000000" w:themeColor="text1"/>
          </w:rPr>
          <w:t>https://doi.org/10.1177/009365088015002002</w:t>
        </w:r>
      </w:hyperlink>
    </w:p>
    <w:p w14:paraId="44DFCCD6" w14:textId="77777777" w:rsidR="00B76713" w:rsidRPr="005554ED" w:rsidRDefault="00B76713" w:rsidP="00B76713">
      <w:pPr>
        <w:pStyle w:val="Bibliography"/>
        <w:rPr>
          <w:color w:val="000000" w:themeColor="text1"/>
        </w:rPr>
      </w:pPr>
      <w:r w:rsidRPr="005554ED">
        <w:rPr>
          <w:color w:val="000000" w:themeColor="text1"/>
        </w:rPr>
        <w:t xml:space="preserve">Fiori, K. L., &amp; </w:t>
      </w:r>
      <w:proofErr w:type="spellStart"/>
      <w:r w:rsidRPr="005554ED">
        <w:rPr>
          <w:color w:val="000000" w:themeColor="text1"/>
        </w:rPr>
        <w:t>Consedine</w:t>
      </w:r>
      <w:proofErr w:type="spellEnd"/>
      <w:r w:rsidRPr="005554ED">
        <w:rPr>
          <w:color w:val="000000" w:themeColor="text1"/>
        </w:rPr>
        <w:t xml:space="preserve">, N. S. (2013). Positive and negative social exchanges and mental health across the transition to college. </w:t>
      </w:r>
      <w:r w:rsidRPr="005554ED">
        <w:rPr>
          <w:i/>
          <w:iCs/>
          <w:color w:val="000000" w:themeColor="text1"/>
        </w:rPr>
        <w:t>Journal of Social and Personal Relationships</w:t>
      </w:r>
      <w:r w:rsidRPr="005554ED">
        <w:rPr>
          <w:color w:val="000000" w:themeColor="text1"/>
        </w:rPr>
        <w:t xml:space="preserve">, </w:t>
      </w:r>
      <w:r w:rsidRPr="005554ED">
        <w:rPr>
          <w:i/>
          <w:iCs/>
          <w:color w:val="000000" w:themeColor="text1"/>
        </w:rPr>
        <w:t>30</w:t>
      </w:r>
      <w:r w:rsidRPr="005554ED">
        <w:rPr>
          <w:color w:val="000000" w:themeColor="text1"/>
        </w:rPr>
        <w:t xml:space="preserve">(7), 920–941. </w:t>
      </w:r>
      <w:hyperlink r:id="rId94" w:history="1">
        <w:r w:rsidRPr="005554ED">
          <w:rPr>
            <w:rStyle w:val="Hyperlink"/>
            <w:rFonts w:eastAsia="Arial"/>
            <w:color w:val="000000" w:themeColor="text1"/>
          </w:rPr>
          <w:t>https://doi.org/10.1177/0265407512473863</w:t>
        </w:r>
      </w:hyperlink>
    </w:p>
    <w:p w14:paraId="58C206AE" w14:textId="2CBF8069" w:rsidR="00B76713" w:rsidRPr="005554ED" w:rsidRDefault="00B76713" w:rsidP="00B76713">
      <w:pPr>
        <w:pStyle w:val="Bibliography"/>
        <w:rPr>
          <w:color w:val="000000" w:themeColor="text1"/>
        </w:rPr>
      </w:pPr>
      <w:proofErr w:type="spellStart"/>
      <w:r w:rsidRPr="005554ED">
        <w:rPr>
          <w:color w:val="000000" w:themeColor="text1"/>
        </w:rPr>
        <w:t>Froidevaux</w:t>
      </w:r>
      <w:proofErr w:type="spellEnd"/>
      <w:r w:rsidRPr="005554ED">
        <w:rPr>
          <w:color w:val="000000" w:themeColor="text1"/>
        </w:rPr>
        <w:t xml:space="preserve">, N. M., Campos, B., &amp; </w:t>
      </w:r>
      <w:proofErr w:type="spellStart"/>
      <w:r w:rsidRPr="005554ED">
        <w:rPr>
          <w:color w:val="000000" w:themeColor="text1"/>
        </w:rPr>
        <w:t>Debrot</w:t>
      </w:r>
      <w:proofErr w:type="spellEnd"/>
      <w:r w:rsidRPr="005554ED">
        <w:rPr>
          <w:color w:val="000000" w:themeColor="text1"/>
        </w:rPr>
        <w:t xml:space="preserve">, A. (2020). </w:t>
      </w:r>
      <w:r w:rsidRPr="005554ED">
        <w:rPr>
          <w:i/>
          <w:iCs/>
          <w:color w:val="000000" w:themeColor="text1"/>
        </w:rPr>
        <w:t>Close relationship interactions in an ethnically diverse US-student sample</w:t>
      </w:r>
      <w:r w:rsidRPr="005554ED">
        <w:rPr>
          <w:color w:val="000000" w:themeColor="text1"/>
        </w:rPr>
        <w:t xml:space="preserve"> [Unpublished raw data].</w:t>
      </w:r>
    </w:p>
    <w:p w14:paraId="49AE0845" w14:textId="15F52EDD" w:rsidR="00953BF7" w:rsidRPr="005554ED" w:rsidRDefault="00953BF7" w:rsidP="00953BF7">
      <w:pPr>
        <w:ind w:left="720" w:hanging="720"/>
        <w:rPr>
          <w:color w:val="000000" w:themeColor="text1"/>
        </w:rPr>
      </w:pPr>
      <w:r w:rsidRPr="005554ED">
        <w:rPr>
          <w:color w:val="000000" w:themeColor="text1"/>
          <w:lang w:val="de-DE"/>
        </w:rPr>
        <w:t xml:space="preserve">Gan, G., Ma, R., Reichert, M., Giurgiu, M., Berhe, O., Braun, U., Schwarz, K., Reinhard, I., Mößnang, C., Ebalu, T., Akdeniz, C., Hoell, A., Ebner-Priemer, U., Tost, H., &amp; Meyer-Lindenberg, A. (2021). </w:t>
      </w:r>
      <w:r w:rsidRPr="005554ED">
        <w:rPr>
          <w:i/>
          <w:iCs/>
          <w:color w:val="000000" w:themeColor="text1"/>
        </w:rPr>
        <w:t>Neural structural correlates of affective benefit from real-life social contact</w:t>
      </w:r>
      <w:r w:rsidRPr="005554ED">
        <w:rPr>
          <w:color w:val="000000" w:themeColor="text1"/>
        </w:rPr>
        <w:t xml:space="preserve"> [unpublished raw data].</w:t>
      </w:r>
    </w:p>
    <w:p w14:paraId="2687325B" w14:textId="77777777" w:rsidR="00B76713" w:rsidRPr="005554ED" w:rsidRDefault="00B76713" w:rsidP="00B76713">
      <w:pPr>
        <w:pStyle w:val="Bibliography"/>
        <w:rPr>
          <w:color w:val="000000" w:themeColor="text1"/>
        </w:rPr>
      </w:pPr>
      <w:r w:rsidRPr="005554ED">
        <w:rPr>
          <w:color w:val="000000" w:themeColor="text1"/>
        </w:rPr>
        <w:t xml:space="preserve">García-Montes, J. M., </w:t>
      </w:r>
      <w:proofErr w:type="spellStart"/>
      <w:r w:rsidRPr="005554ED">
        <w:rPr>
          <w:color w:val="000000" w:themeColor="text1"/>
        </w:rPr>
        <w:t>Zaldívar-Basurto</w:t>
      </w:r>
      <w:proofErr w:type="spellEnd"/>
      <w:r w:rsidRPr="005554ED">
        <w:rPr>
          <w:color w:val="000000" w:themeColor="text1"/>
        </w:rPr>
        <w:t xml:space="preserve">, F., López-Ríos, F., &amp; Molina-Moreno, A. (2009). The role of personality variables in drug abuse in a Spanish university population. </w:t>
      </w:r>
      <w:r w:rsidRPr="005554ED">
        <w:rPr>
          <w:i/>
          <w:iCs/>
          <w:color w:val="000000" w:themeColor="text1"/>
        </w:rPr>
        <w:t>International Journal of Mental Health and Addiction</w:t>
      </w:r>
      <w:r w:rsidRPr="005554ED">
        <w:rPr>
          <w:color w:val="000000" w:themeColor="text1"/>
        </w:rPr>
        <w:t xml:space="preserve">, </w:t>
      </w:r>
      <w:r w:rsidRPr="005554ED">
        <w:rPr>
          <w:i/>
          <w:iCs/>
          <w:color w:val="000000" w:themeColor="text1"/>
        </w:rPr>
        <w:t>7</w:t>
      </w:r>
      <w:r w:rsidRPr="005554ED">
        <w:rPr>
          <w:color w:val="000000" w:themeColor="text1"/>
        </w:rPr>
        <w:t xml:space="preserve">(3), 475–487. </w:t>
      </w:r>
      <w:hyperlink r:id="rId95" w:history="1">
        <w:r w:rsidRPr="005554ED">
          <w:rPr>
            <w:rStyle w:val="Hyperlink"/>
            <w:rFonts w:eastAsia="Arial"/>
            <w:color w:val="000000" w:themeColor="text1"/>
          </w:rPr>
          <w:t>https://doi.org/10.1007/s11469-007-9144-y</w:t>
        </w:r>
      </w:hyperlink>
    </w:p>
    <w:p w14:paraId="2BA38B2D" w14:textId="77777777" w:rsidR="00B76713" w:rsidRPr="005554ED" w:rsidRDefault="00B76713" w:rsidP="00B76713">
      <w:pPr>
        <w:pStyle w:val="Bibliography"/>
        <w:rPr>
          <w:color w:val="000000" w:themeColor="text1"/>
        </w:rPr>
      </w:pPr>
      <w:r w:rsidRPr="005554ED">
        <w:rPr>
          <w:color w:val="000000" w:themeColor="text1"/>
          <w:lang w:val="de-DE"/>
        </w:rPr>
        <w:t xml:space="preserve">Gevonden, M., Booij, J., van den Brink, W., Heijtel, D., van Os, J., &amp; Selten, J.-P. (2014). </w:t>
      </w:r>
      <w:r w:rsidRPr="005554ED">
        <w:rPr>
          <w:color w:val="000000" w:themeColor="text1"/>
        </w:rPr>
        <w:t xml:space="preserve">Increased release of dopamine in the striata of young adults with hearing impairment and its relevance for the social defeat hypothesis of schizophrenia. </w:t>
      </w:r>
      <w:r w:rsidRPr="005554ED">
        <w:rPr>
          <w:i/>
          <w:iCs/>
          <w:color w:val="000000" w:themeColor="text1"/>
        </w:rPr>
        <w:t>JAMA Psychiatry</w:t>
      </w:r>
      <w:r w:rsidRPr="005554ED">
        <w:rPr>
          <w:color w:val="000000" w:themeColor="text1"/>
        </w:rPr>
        <w:t xml:space="preserve">, </w:t>
      </w:r>
      <w:r w:rsidRPr="005554ED">
        <w:rPr>
          <w:i/>
          <w:iCs/>
          <w:color w:val="000000" w:themeColor="text1"/>
        </w:rPr>
        <w:t>71</w:t>
      </w:r>
      <w:r w:rsidRPr="005554ED">
        <w:rPr>
          <w:color w:val="000000" w:themeColor="text1"/>
        </w:rPr>
        <w:t xml:space="preserve">(12), 1364–1372. </w:t>
      </w:r>
      <w:hyperlink r:id="rId96" w:history="1">
        <w:r w:rsidRPr="005554ED">
          <w:rPr>
            <w:rStyle w:val="Hyperlink"/>
            <w:rFonts w:eastAsia="Arial"/>
            <w:color w:val="000000" w:themeColor="text1"/>
          </w:rPr>
          <w:t>https://doi.org/10.1001/jamapsychiatry.2014.1325</w:t>
        </w:r>
      </w:hyperlink>
    </w:p>
    <w:p w14:paraId="3C1F0714" w14:textId="77777777" w:rsidR="00B76713" w:rsidRPr="005554ED" w:rsidRDefault="00B76713" w:rsidP="00B76713">
      <w:pPr>
        <w:pStyle w:val="Bibliography"/>
        <w:rPr>
          <w:color w:val="000000" w:themeColor="text1"/>
        </w:rPr>
      </w:pPr>
      <w:r w:rsidRPr="005554ED">
        <w:rPr>
          <w:color w:val="000000" w:themeColor="text1"/>
        </w:rPr>
        <w:t xml:space="preserve">Gibson, R. L., &amp; Hartshorne, T. S. (1996). Childhood sexual abuse and adult loneliness and network orientation. </w:t>
      </w:r>
      <w:r w:rsidRPr="005554ED">
        <w:rPr>
          <w:i/>
          <w:iCs/>
          <w:color w:val="000000" w:themeColor="text1"/>
        </w:rPr>
        <w:t>Child Abuse &amp; Neglect</w:t>
      </w:r>
      <w:r w:rsidRPr="005554ED">
        <w:rPr>
          <w:color w:val="000000" w:themeColor="text1"/>
        </w:rPr>
        <w:t xml:space="preserve">, </w:t>
      </w:r>
      <w:r w:rsidRPr="005554ED">
        <w:rPr>
          <w:i/>
          <w:iCs/>
          <w:color w:val="000000" w:themeColor="text1"/>
        </w:rPr>
        <w:t>20</w:t>
      </w:r>
      <w:r w:rsidRPr="005554ED">
        <w:rPr>
          <w:color w:val="000000" w:themeColor="text1"/>
        </w:rPr>
        <w:t xml:space="preserve">(11), 1087–1093. </w:t>
      </w:r>
      <w:hyperlink r:id="rId97" w:history="1">
        <w:r w:rsidRPr="005554ED">
          <w:rPr>
            <w:rStyle w:val="Hyperlink"/>
            <w:rFonts w:eastAsia="Arial"/>
            <w:color w:val="000000" w:themeColor="text1"/>
          </w:rPr>
          <w:t>https://doi.org/10.1016/0145-2134(96)00097-X</w:t>
        </w:r>
      </w:hyperlink>
    </w:p>
    <w:p w14:paraId="0D5F59EB" w14:textId="77777777" w:rsidR="00B76713" w:rsidRPr="005554ED" w:rsidRDefault="00B76713" w:rsidP="00B76713">
      <w:pPr>
        <w:pStyle w:val="Bibliography"/>
        <w:rPr>
          <w:color w:val="000000" w:themeColor="text1"/>
        </w:rPr>
      </w:pPr>
      <w:proofErr w:type="spellStart"/>
      <w:r w:rsidRPr="005554ED">
        <w:rPr>
          <w:color w:val="000000" w:themeColor="text1"/>
        </w:rPr>
        <w:lastRenderedPageBreak/>
        <w:t>Girgin</w:t>
      </w:r>
      <w:proofErr w:type="spellEnd"/>
      <w:r w:rsidRPr="005554ED">
        <w:rPr>
          <w:color w:val="000000" w:themeColor="text1"/>
        </w:rPr>
        <w:t xml:space="preserve">, G. (2009). Evaluation of the factors affecting loneliness and hopelessness among university students in Turkey. </w:t>
      </w:r>
      <w:r w:rsidRPr="005554ED">
        <w:rPr>
          <w:i/>
          <w:iCs/>
          <w:color w:val="000000" w:themeColor="text1"/>
        </w:rPr>
        <w:t>Social Behavior and Personality: An International Journal</w:t>
      </w:r>
      <w:r w:rsidRPr="005554ED">
        <w:rPr>
          <w:color w:val="000000" w:themeColor="text1"/>
        </w:rPr>
        <w:t xml:space="preserve">, </w:t>
      </w:r>
      <w:r w:rsidRPr="005554ED">
        <w:rPr>
          <w:i/>
          <w:iCs/>
          <w:color w:val="000000" w:themeColor="text1"/>
        </w:rPr>
        <w:t>37</w:t>
      </w:r>
      <w:r w:rsidRPr="005554ED">
        <w:rPr>
          <w:color w:val="000000" w:themeColor="text1"/>
        </w:rPr>
        <w:t xml:space="preserve">(6), 811–817. </w:t>
      </w:r>
      <w:hyperlink r:id="rId98" w:history="1">
        <w:r w:rsidRPr="005554ED">
          <w:rPr>
            <w:rStyle w:val="Hyperlink"/>
            <w:rFonts w:eastAsia="Arial"/>
            <w:color w:val="000000" w:themeColor="text1"/>
          </w:rPr>
          <w:t>https://doi.org/10.2224/sbp.2009.37.6.811</w:t>
        </w:r>
      </w:hyperlink>
    </w:p>
    <w:p w14:paraId="1E094312" w14:textId="77777777" w:rsidR="00B76713" w:rsidRPr="005554ED" w:rsidRDefault="00B76713" w:rsidP="00B76713">
      <w:pPr>
        <w:pStyle w:val="Bibliography"/>
        <w:rPr>
          <w:color w:val="000000" w:themeColor="text1"/>
        </w:rPr>
      </w:pPr>
      <w:r w:rsidRPr="005554ED">
        <w:rPr>
          <w:color w:val="000000" w:themeColor="text1"/>
          <w:lang w:val="de-DE"/>
        </w:rPr>
        <w:t xml:space="preserve">Gonzalez, V. M., &amp; Skewes, M. C. (2013). </w:t>
      </w:r>
      <w:r w:rsidRPr="005554ED">
        <w:rPr>
          <w:color w:val="000000" w:themeColor="text1"/>
        </w:rPr>
        <w:t xml:space="preserve">Solitary heavy drinking, social relationships, and negative mood regulation in college drinkers. </w:t>
      </w:r>
      <w:r w:rsidRPr="005554ED">
        <w:rPr>
          <w:i/>
          <w:iCs/>
          <w:color w:val="000000" w:themeColor="text1"/>
        </w:rPr>
        <w:t>Addiction Research &amp; Theory</w:t>
      </w:r>
      <w:r w:rsidRPr="005554ED">
        <w:rPr>
          <w:color w:val="000000" w:themeColor="text1"/>
        </w:rPr>
        <w:t xml:space="preserve">, </w:t>
      </w:r>
      <w:r w:rsidRPr="005554ED">
        <w:rPr>
          <w:i/>
          <w:iCs/>
          <w:color w:val="000000" w:themeColor="text1"/>
        </w:rPr>
        <w:t>21</w:t>
      </w:r>
      <w:r w:rsidRPr="005554ED">
        <w:rPr>
          <w:color w:val="000000" w:themeColor="text1"/>
        </w:rPr>
        <w:t xml:space="preserve">(4), 285–294. </w:t>
      </w:r>
      <w:hyperlink r:id="rId99" w:history="1">
        <w:r w:rsidRPr="005554ED">
          <w:rPr>
            <w:rStyle w:val="Hyperlink"/>
            <w:rFonts w:eastAsia="Arial"/>
            <w:color w:val="000000" w:themeColor="text1"/>
          </w:rPr>
          <w:t>https://doi.org/10.3109/16066359.2012.714429</w:t>
        </w:r>
      </w:hyperlink>
    </w:p>
    <w:p w14:paraId="645ED3F1" w14:textId="77777777" w:rsidR="00B76713" w:rsidRPr="005554ED" w:rsidRDefault="00B76713" w:rsidP="00B76713">
      <w:pPr>
        <w:pStyle w:val="Bibliography"/>
        <w:rPr>
          <w:color w:val="000000" w:themeColor="text1"/>
        </w:rPr>
      </w:pPr>
      <w:r w:rsidRPr="005554ED">
        <w:rPr>
          <w:color w:val="000000" w:themeColor="text1"/>
        </w:rPr>
        <w:t xml:space="preserve">Green, V. A., &amp; Wildermuth, N. L. (1993). Self-focus, other-focus, and interpersonal needs as correlates of loneliness. </w:t>
      </w:r>
      <w:r w:rsidRPr="005554ED">
        <w:rPr>
          <w:i/>
          <w:iCs/>
          <w:color w:val="000000" w:themeColor="text1"/>
        </w:rPr>
        <w:t>Psychological Reports</w:t>
      </w:r>
      <w:r w:rsidRPr="005554ED">
        <w:rPr>
          <w:color w:val="000000" w:themeColor="text1"/>
        </w:rPr>
        <w:t xml:space="preserve">, </w:t>
      </w:r>
      <w:r w:rsidRPr="005554ED">
        <w:rPr>
          <w:i/>
          <w:iCs/>
          <w:color w:val="000000" w:themeColor="text1"/>
        </w:rPr>
        <w:t>73</w:t>
      </w:r>
      <w:r w:rsidRPr="005554ED">
        <w:rPr>
          <w:color w:val="000000" w:themeColor="text1"/>
        </w:rPr>
        <w:t xml:space="preserve">(3 Pt 1), 843–850. </w:t>
      </w:r>
      <w:hyperlink r:id="rId100" w:history="1">
        <w:r w:rsidRPr="005554ED">
          <w:rPr>
            <w:rStyle w:val="Hyperlink"/>
            <w:rFonts w:eastAsia="Arial"/>
            <w:color w:val="000000" w:themeColor="text1"/>
          </w:rPr>
          <w:t>https://doi.org/10.2466/pr0.1993.73.3.843</w:t>
        </w:r>
      </w:hyperlink>
    </w:p>
    <w:p w14:paraId="24F5AC8E" w14:textId="77777777" w:rsidR="00B76713" w:rsidRPr="005554ED" w:rsidRDefault="00B76713" w:rsidP="00B76713">
      <w:pPr>
        <w:pStyle w:val="Bibliography"/>
        <w:rPr>
          <w:color w:val="000000" w:themeColor="text1"/>
        </w:rPr>
      </w:pPr>
      <w:r w:rsidRPr="005554ED">
        <w:rPr>
          <w:color w:val="000000" w:themeColor="text1"/>
        </w:rPr>
        <w:t xml:space="preserve">Greitemeyer, T., </w:t>
      </w:r>
      <w:proofErr w:type="spellStart"/>
      <w:r w:rsidRPr="005554ED">
        <w:rPr>
          <w:color w:val="000000" w:themeColor="text1"/>
        </w:rPr>
        <w:t>Mügge</w:t>
      </w:r>
      <w:proofErr w:type="spellEnd"/>
      <w:r w:rsidRPr="005554ED">
        <w:rPr>
          <w:color w:val="000000" w:themeColor="text1"/>
        </w:rPr>
        <w:t xml:space="preserve">, D. O., &amp; </w:t>
      </w:r>
      <w:proofErr w:type="spellStart"/>
      <w:r w:rsidRPr="005554ED">
        <w:rPr>
          <w:color w:val="000000" w:themeColor="text1"/>
        </w:rPr>
        <w:t>Bollermann</w:t>
      </w:r>
      <w:proofErr w:type="spellEnd"/>
      <w:r w:rsidRPr="005554ED">
        <w:rPr>
          <w:color w:val="000000" w:themeColor="text1"/>
        </w:rPr>
        <w:t xml:space="preserve">, I. (2014). Having responsive Facebook friends affects the satisfaction of psychological needs more than having many Facebook friends. </w:t>
      </w:r>
      <w:r w:rsidRPr="005554ED">
        <w:rPr>
          <w:i/>
          <w:iCs/>
          <w:color w:val="000000" w:themeColor="text1"/>
        </w:rPr>
        <w:t>Basic and Applied Social Psychology</w:t>
      </w:r>
      <w:r w:rsidRPr="005554ED">
        <w:rPr>
          <w:color w:val="000000" w:themeColor="text1"/>
        </w:rPr>
        <w:t xml:space="preserve">, </w:t>
      </w:r>
      <w:r w:rsidRPr="005554ED">
        <w:rPr>
          <w:i/>
          <w:iCs/>
          <w:color w:val="000000" w:themeColor="text1"/>
        </w:rPr>
        <w:t>36</w:t>
      </w:r>
      <w:r w:rsidRPr="005554ED">
        <w:rPr>
          <w:color w:val="000000" w:themeColor="text1"/>
        </w:rPr>
        <w:t xml:space="preserve">(3), 252–258. </w:t>
      </w:r>
      <w:hyperlink r:id="rId101" w:history="1">
        <w:r w:rsidRPr="005554ED">
          <w:rPr>
            <w:rStyle w:val="Hyperlink"/>
            <w:rFonts w:eastAsia="Arial"/>
            <w:color w:val="000000" w:themeColor="text1"/>
          </w:rPr>
          <w:t>https://doi.org/10.1080/01973533.2014.900619</w:t>
        </w:r>
      </w:hyperlink>
    </w:p>
    <w:p w14:paraId="7FE97B8E" w14:textId="77777777" w:rsidR="00B76713" w:rsidRPr="005554ED" w:rsidRDefault="00B76713" w:rsidP="00B76713">
      <w:pPr>
        <w:pStyle w:val="Bibliography"/>
        <w:rPr>
          <w:color w:val="000000" w:themeColor="text1"/>
        </w:rPr>
      </w:pPr>
      <w:proofErr w:type="spellStart"/>
      <w:r w:rsidRPr="005554ED">
        <w:rPr>
          <w:color w:val="000000" w:themeColor="text1"/>
        </w:rPr>
        <w:t>Gurtman</w:t>
      </w:r>
      <w:proofErr w:type="spellEnd"/>
      <w:r w:rsidRPr="005554ED">
        <w:rPr>
          <w:color w:val="000000" w:themeColor="text1"/>
        </w:rPr>
        <w:t xml:space="preserve">, M. B. (1993). Constructing personality tests to meet a structural criterion: Application of the Interpersonal Circumplex. </w:t>
      </w:r>
      <w:r w:rsidRPr="005554ED">
        <w:rPr>
          <w:i/>
          <w:iCs/>
          <w:color w:val="000000" w:themeColor="text1"/>
        </w:rPr>
        <w:t>Journal of Personality</w:t>
      </w:r>
      <w:r w:rsidRPr="005554ED">
        <w:rPr>
          <w:color w:val="000000" w:themeColor="text1"/>
        </w:rPr>
        <w:t xml:space="preserve">, </w:t>
      </w:r>
      <w:r w:rsidRPr="005554ED">
        <w:rPr>
          <w:i/>
          <w:iCs/>
          <w:color w:val="000000" w:themeColor="text1"/>
        </w:rPr>
        <w:t>61</w:t>
      </w:r>
      <w:r w:rsidRPr="005554ED">
        <w:rPr>
          <w:color w:val="000000" w:themeColor="text1"/>
        </w:rPr>
        <w:t xml:space="preserve">(2), 237–263. </w:t>
      </w:r>
      <w:hyperlink r:id="rId102" w:history="1">
        <w:r w:rsidRPr="005554ED">
          <w:rPr>
            <w:rStyle w:val="Hyperlink"/>
            <w:rFonts w:eastAsia="Arial"/>
            <w:color w:val="000000" w:themeColor="text1"/>
          </w:rPr>
          <w:t>https://doi.org/10.1111/j.1467-6494.1993.tb01033.x</w:t>
        </w:r>
      </w:hyperlink>
    </w:p>
    <w:p w14:paraId="3B35EABA" w14:textId="77777777" w:rsidR="00B76713" w:rsidRPr="005554ED" w:rsidRDefault="00B76713" w:rsidP="00B76713">
      <w:pPr>
        <w:pStyle w:val="Bibliography"/>
        <w:rPr>
          <w:color w:val="000000" w:themeColor="text1"/>
        </w:rPr>
      </w:pPr>
      <w:proofErr w:type="spellStart"/>
      <w:r w:rsidRPr="005554ED">
        <w:rPr>
          <w:color w:val="000000" w:themeColor="text1"/>
        </w:rPr>
        <w:t>Hagemeyer</w:t>
      </w:r>
      <w:proofErr w:type="spellEnd"/>
      <w:r w:rsidRPr="005554ED">
        <w:rPr>
          <w:color w:val="000000" w:themeColor="text1"/>
        </w:rPr>
        <w:t xml:space="preserve">, B., </w:t>
      </w:r>
      <w:proofErr w:type="spellStart"/>
      <w:r w:rsidRPr="005554ED">
        <w:rPr>
          <w:color w:val="000000" w:themeColor="text1"/>
        </w:rPr>
        <w:t>Neyer</w:t>
      </w:r>
      <w:proofErr w:type="spellEnd"/>
      <w:r w:rsidRPr="005554ED">
        <w:rPr>
          <w:color w:val="000000" w:themeColor="text1"/>
        </w:rPr>
        <w:t xml:space="preserve">, F. J., </w:t>
      </w:r>
      <w:proofErr w:type="spellStart"/>
      <w:r w:rsidRPr="005554ED">
        <w:rPr>
          <w:color w:val="000000" w:themeColor="text1"/>
        </w:rPr>
        <w:t>Neberich</w:t>
      </w:r>
      <w:proofErr w:type="spellEnd"/>
      <w:r w:rsidRPr="005554ED">
        <w:rPr>
          <w:color w:val="000000" w:themeColor="text1"/>
        </w:rPr>
        <w:t xml:space="preserve">, W., &amp; </w:t>
      </w:r>
      <w:proofErr w:type="spellStart"/>
      <w:r w:rsidRPr="005554ED">
        <w:rPr>
          <w:color w:val="000000" w:themeColor="text1"/>
        </w:rPr>
        <w:t>Asendorpf</w:t>
      </w:r>
      <w:proofErr w:type="spellEnd"/>
      <w:r w:rsidRPr="005554ED">
        <w:rPr>
          <w:color w:val="000000" w:themeColor="text1"/>
        </w:rPr>
        <w:t xml:space="preserve">, J. B. (2013). The ABC of social desires: Affiliation, being alone, and closeness to partner. </w:t>
      </w:r>
      <w:r w:rsidRPr="005554ED">
        <w:rPr>
          <w:i/>
          <w:iCs/>
          <w:color w:val="000000" w:themeColor="text1"/>
        </w:rPr>
        <w:t>European Journal of Personality</w:t>
      </w:r>
      <w:r w:rsidRPr="005554ED">
        <w:rPr>
          <w:color w:val="000000" w:themeColor="text1"/>
        </w:rPr>
        <w:t xml:space="preserve">, </w:t>
      </w:r>
      <w:r w:rsidRPr="005554ED">
        <w:rPr>
          <w:i/>
          <w:iCs/>
          <w:color w:val="000000" w:themeColor="text1"/>
        </w:rPr>
        <w:t>27</w:t>
      </w:r>
      <w:r w:rsidRPr="005554ED">
        <w:rPr>
          <w:color w:val="000000" w:themeColor="text1"/>
        </w:rPr>
        <w:t xml:space="preserve">(5), 442–457. </w:t>
      </w:r>
      <w:hyperlink r:id="rId103" w:history="1">
        <w:r w:rsidRPr="005554ED">
          <w:rPr>
            <w:rStyle w:val="Hyperlink"/>
            <w:rFonts w:eastAsia="Arial"/>
            <w:color w:val="000000" w:themeColor="text1"/>
          </w:rPr>
          <w:t>https://doi.org/10.1002/per.1857</w:t>
        </w:r>
      </w:hyperlink>
    </w:p>
    <w:p w14:paraId="1E7AAA07" w14:textId="77777777" w:rsidR="00B76713" w:rsidRPr="005554ED" w:rsidRDefault="00B76713" w:rsidP="00B76713">
      <w:pPr>
        <w:pStyle w:val="Bibliography"/>
        <w:rPr>
          <w:color w:val="000000" w:themeColor="text1"/>
        </w:rPr>
      </w:pPr>
      <w:proofErr w:type="spellStart"/>
      <w:r w:rsidRPr="005554ED">
        <w:rPr>
          <w:color w:val="000000" w:themeColor="text1"/>
        </w:rPr>
        <w:t>Halkitis</w:t>
      </w:r>
      <w:proofErr w:type="spellEnd"/>
      <w:r w:rsidRPr="005554ED">
        <w:rPr>
          <w:color w:val="000000" w:themeColor="text1"/>
        </w:rPr>
        <w:t xml:space="preserve">, P. N., Kapadia, F., Bub, K. L., Barton, S., Moreira, A. D., &amp; Stults, C. B. (2015). A longitudinal investigation of </w:t>
      </w:r>
      <w:proofErr w:type="spellStart"/>
      <w:r w:rsidRPr="005554ED">
        <w:rPr>
          <w:color w:val="000000" w:themeColor="text1"/>
        </w:rPr>
        <w:t>syndemic</w:t>
      </w:r>
      <w:proofErr w:type="spellEnd"/>
      <w:r w:rsidRPr="005554ED">
        <w:rPr>
          <w:color w:val="000000" w:themeColor="text1"/>
        </w:rPr>
        <w:t xml:space="preserve"> conditions among young gay, bisexual, and other MSM: The P18 cohort study. </w:t>
      </w:r>
      <w:r w:rsidRPr="005554ED">
        <w:rPr>
          <w:i/>
          <w:iCs/>
          <w:color w:val="000000" w:themeColor="text1"/>
        </w:rPr>
        <w:t>AIDS and Behavior</w:t>
      </w:r>
      <w:r w:rsidRPr="005554ED">
        <w:rPr>
          <w:color w:val="000000" w:themeColor="text1"/>
        </w:rPr>
        <w:t xml:space="preserve">, </w:t>
      </w:r>
      <w:r w:rsidRPr="005554ED">
        <w:rPr>
          <w:i/>
          <w:iCs/>
          <w:color w:val="000000" w:themeColor="text1"/>
        </w:rPr>
        <w:t>19</w:t>
      </w:r>
      <w:r w:rsidRPr="005554ED">
        <w:rPr>
          <w:color w:val="000000" w:themeColor="text1"/>
        </w:rPr>
        <w:t xml:space="preserve">(6), 970–980. </w:t>
      </w:r>
      <w:hyperlink r:id="rId104" w:history="1">
        <w:r w:rsidRPr="005554ED">
          <w:rPr>
            <w:rStyle w:val="Hyperlink"/>
            <w:rFonts w:eastAsia="Arial"/>
            <w:color w:val="000000" w:themeColor="text1"/>
          </w:rPr>
          <w:t>https://doi.org/10.1007/s10461-014-0892-y</w:t>
        </w:r>
      </w:hyperlink>
    </w:p>
    <w:p w14:paraId="62D99AD1" w14:textId="77777777" w:rsidR="00B76713" w:rsidRPr="005554ED" w:rsidRDefault="00B76713" w:rsidP="00B76713">
      <w:pPr>
        <w:pStyle w:val="Bibliography"/>
        <w:rPr>
          <w:color w:val="000000" w:themeColor="text1"/>
        </w:rPr>
      </w:pPr>
      <w:proofErr w:type="spellStart"/>
      <w:r w:rsidRPr="005554ED">
        <w:rPr>
          <w:color w:val="000000" w:themeColor="text1"/>
        </w:rPr>
        <w:lastRenderedPageBreak/>
        <w:t>Halkitis</w:t>
      </w:r>
      <w:proofErr w:type="spellEnd"/>
      <w:r w:rsidRPr="005554ED">
        <w:rPr>
          <w:color w:val="000000" w:themeColor="text1"/>
        </w:rPr>
        <w:t xml:space="preserve">, P. N., Moeller, R. W., </w:t>
      </w:r>
      <w:proofErr w:type="spellStart"/>
      <w:r w:rsidRPr="005554ED">
        <w:rPr>
          <w:color w:val="000000" w:themeColor="text1"/>
        </w:rPr>
        <w:t>Siconolfi</w:t>
      </w:r>
      <w:proofErr w:type="spellEnd"/>
      <w:r w:rsidRPr="005554ED">
        <w:rPr>
          <w:color w:val="000000" w:themeColor="text1"/>
        </w:rPr>
        <w:t xml:space="preserve">, D. E., </w:t>
      </w:r>
      <w:proofErr w:type="spellStart"/>
      <w:r w:rsidRPr="005554ED">
        <w:rPr>
          <w:color w:val="000000" w:themeColor="text1"/>
        </w:rPr>
        <w:t>Storholm</w:t>
      </w:r>
      <w:proofErr w:type="spellEnd"/>
      <w:r w:rsidRPr="005554ED">
        <w:rPr>
          <w:color w:val="000000" w:themeColor="text1"/>
        </w:rPr>
        <w:t xml:space="preserve">, E. D., Solomon, T. M., &amp; Bub, K. L. (2013). Measurement model exploring a </w:t>
      </w:r>
      <w:proofErr w:type="spellStart"/>
      <w:r w:rsidRPr="005554ED">
        <w:rPr>
          <w:color w:val="000000" w:themeColor="text1"/>
        </w:rPr>
        <w:t>syndemic</w:t>
      </w:r>
      <w:proofErr w:type="spellEnd"/>
      <w:r w:rsidRPr="005554ED">
        <w:rPr>
          <w:color w:val="000000" w:themeColor="text1"/>
        </w:rPr>
        <w:t xml:space="preserve"> in emerging adult gay and bisexual men. </w:t>
      </w:r>
      <w:r w:rsidRPr="005554ED">
        <w:rPr>
          <w:i/>
          <w:iCs/>
          <w:color w:val="000000" w:themeColor="text1"/>
        </w:rPr>
        <w:t>AIDS and Behavior</w:t>
      </w:r>
      <w:r w:rsidRPr="005554ED">
        <w:rPr>
          <w:color w:val="000000" w:themeColor="text1"/>
        </w:rPr>
        <w:t xml:space="preserve">, </w:t>
      </w:r>
      <w:r w:rsidRPr="005554ED">
        <w:rPr>
          <w:i/>
          <w:iCs/>
          <w:color w:val="000000" w:themeColor="text1"/>
        </w:rPr>
        <w:t>17</w:t>
      </w:r>
      <w:r w:rsidRPr="005554ED">
        <w:rPr>
          <w:color w:val="000000" w:themeColor="text1"/>
        </w:rPr>
        <w:t xml:space="preserve">(2), 662–673. </w:t>
      </w:r>
      <w:hyperlink r:id="rId105" w:history="1">
        <w:r w:rsidRPr="005554ED">
          <w:rPr>
            <w:rStyle w:val="Hyperlink"/>
            <w:rFonts w:eastAsia="Arial"/>
            <w:color w:val="000000" w:themeColor="text1"/>
          </w:rPr>
          <w:t>https://doi.org/10.1007/s10461-012-0273-3.</w:t>
        </w:r>
      </w:hyperlink>
    </w:p>
    <w:p w14:paraId="511540AE" w14:textId="77777777" w:rsidR="00B76713" w:rsidRPr="005554ED" w:rsidRDefault="00B76713" w:rsidP="00B76713">
      <w:pPr>
        <w:pStyle w:val="Bibliography"/>
        <w:rPr>
          <w:color w:val="000000" w:themeColor="text1"/>
        </w:rPr>
      </w:pPr>
      <w:r w:rsidRPr="005554ED">
        <w:rPr>
          <w:color w:val="000000" w:themeColor="text1"/>
        </w:rPr>
        <w:t xml:space="preserve">Harnish, R. J., Bridges, K. R., Gump, J. T., &amp; Carson, A. E. (2019). The maladaptive pursuit of consumption: The impact of materialism, pain of paying, social anxiety, social support, and loneliness on compulsive buying. </w:t>
      </w:r>
      <w:r w:rsidRPr="005554ED">
        <w:rPr>
          <w:i/>
          <w:iCs/>
          <w:color w:val="000000" w:themeColor="text1"/>
        </w:rPr>
        <w:t>International Journal of Mental Health and Addiction</w:t>
      </w:r>
      <w:r w:rsidRPr="005554ED">
        <w:rPr>
          <w:color w:val="000000" w:themeColor="text1"/>
        </w:rPr>
        <w:t xml:space="preserve">, </w:t>
      </w:r>
      <w:r w:rsidRPr="005554ED">
        <w:rPr>
          <w:i/>
          <w:iCs/>
          <w:color w:val="000000" w:themeColor="text1"/>
        </w:rPr>
        <w:t>17</w:t>
      </w:r>
      <w:r w:rsidRPr="005554ED">
        <w:rPr>
          <w:color w:val="000000" w:themeColor="text1"/>
        </w:rPr>
        <w:t xml:space="preserve">(6), 1401–1416. </w:t>
      </w:r>
      <w:hyperlink r:id="rId106" w:history="1">
        <w:r w:rsidRPr="005554ED">
          <w:rPr>
            <w:rStyle w:val="Hyperlink"/>
            <w:rFonts w:eastAsia="Arial"/>
            <w:color w:val="000000" w:themeColor="text1"/>
          </w:rPr>
          <w:t>https://doi.org/10.1007/s11469-018-9883-y</w:t>
        </w:r>
      </w:hyperlink>
    </w:p>
    <w:p w14:paraId="375F3D9C" w14:textId="77777777" w:rsidR="00B76713" w:rsidRPr="005554ED" w:rsidRDefault="00B76713" w:rsidP="00B76713">
      <w:pPr>
        <w:pStyle w:val="Bibliography"/>
        <w:rPr>
          <w:color w:val="000000" w:themeColor="text1"/>
        </w:rPr>
      </w:pPr>
      <w:r w:rsidRPr="005554ED">
        <w:rPr>
          <w:color w:val="000000" w:themeColor="text1"/>
        </w:rPr>
        <w:t xml:space="preserve">Hartshorne, T. S. (1993). Psychometric properties and confirmatory factor analysis of the UCLA loneliness scale. </w:t>
      </w:r>
      <w:r w:rsidRPr="005554ED">
        <w:rPr>
          <w:i/>
          <w:iCs/>
          <w:color w:val="000000" w:themeColor="text1"/>
        </w:rPr>
        <w:t>Journal of Personality Assessment</w:t>
      </w:r>
      <w:r w:rsidRPr="005554ED">
        <w:rPr>
          <w:color w:val="000000" w:themeColor="text1"/>
        </w:rPr>
        <w:t xml:space="preserve">, </w:t>
      </w:r>
      <w:r w:rsidRPr="005554ED">
        <w:rPr>
          <w:i/>
          <w:iCs/>
          <w:color w:val="000000" w:themeColor="text1"/>
        </w:rPr>
        <w:t>61</w:t>
      </w:r>
      <w:r w:rsidRPr="005554ED">
        <w:rPr>
          <w:color w:val="000000" w:themeColor="text1"/>
        </w:rPr>
        <w:t xml:space="preserve">(1), 182–195. </w:t>
      </w:r>
      <w:hyperlink r:id="rId107" w:history="1">
        <w:r w:rsidRPr="005554ED">
          <w:rPr>
            <w:rStyle w:val="Hyperlink"/>
            <w:rFonts w:eastAsia="Arial"/>
            <w:color w:val="000000" w:themeColor="text1"/>
          </w:rPr>
          <w:t>https://doi.org/10.1207/s15327752jpa6101‗ 14</w:t>
        </w:r>
      </w:hyperlink>
    </w:p>
    <w:p w14:paraId="5BCB60D0" w14:textId="77777777" w:rsidR="00B76713" w:rsidRPr="005554ED" w:rsidRDefault="00B76713" w:rsidP="00B76713">
      <w:pPr>
        <w:pStyle w:val="Bibliography"/>
        <w:rPr>
          <w:color w:val="000000" w:themeColor="text1"/>
          <w:lang w:val="de-DE"/>
        </w:rPr>
      </w:pPr>
      <w:r w:rsidRPr="005554ED">
        <w:rPr>
          <w:color w:val="000000" w:themeColor="text1"/>
        </w:rPr>
        <w:t xml:space="preserve">Hartung, F.-M., &amp; Renner, B. (2014). The need to belong and the relationship between loneliness and health. </w:t>
      </w:r>
      <w:r w:rsidRPr="005554ED">
        <w:rPr>
          <w:i/>
          <w:iCs/>
          <w:color w:val="000000" w:themeColor="text1"/>
          <w:lang w:val="de-DE"/>
        </w:rPr>
        <w:t>Zeitschrift Für Gesundheitspsychologie</w:t>
      </w:r>
      <w:r w:rsidRPr="005554ED">
        <w:rPr>
          <w:color w:val="000000" w:themeColor="text1"/>
          <w:lang w:val="de-DE"/>
        </w:rPr>
        <w:t xml:space="preserve">, </w:t>
      </w:r>
      <w:r w:rsidRPr="005554ED">
        <w:rPr>
          <w:i/>
          <w:iCs/>
          <w:color w:val="000000" w:themeColor="text1"/>
          <w:lang w:val="de-DE"/>
        </w:rPr>
        <w:t>22</w:t>
      </w:r>
      <w:r w:rsidRPr="005554ED">
        <w:rPr>
          <w:color w:val="000000" w:themeColor="text1"/>
          <w:lang w:val="de-DE"/>
        </w:rPr>
        <w:t xml:space="preserve">(4), 194–201. </w:t>
      </w:r>
      <w:hyperlink r:id="rId108" w:history="1">
        <w:r w:rsidRPr="005554ED">
          <w:rPr>
            <w:rStyle w:val="Hyperlink"/>
            <w:rFonts w:eastAsia="Arial"/>
            <w:color w:val="000000" w:themeColor="text1"/>
            <w:lang w:val="de-DE"/>
          </w:rPr>
          <w:t>https://doi.org/10.1026/0943-8149/a000129</w:t>
        </w:r>
      </w:hyperlink>
    </w:p>
    <w:p w14:paraId="244DEEEB" w14:textId="77777777" w:rsidR="00B76713" w:rsidRPr="005554ED" w:rsidRDefault="00B76713" w:rsidP="00B76713">
      <w:pPr>
        <w:pStyle w:val="Bibliography"/>
        <w:rPr>
          <w:color w:val="000000" w:themeColor="text1"/>
        </w:rPr>
      </w:pPr>
      <w:r w:rsidRPr="005554ED">
        <w:rPr>
          <w:color w:val="000000" w:themeColor="text1"/>
          <w:lang w:val="de-DE"/>
        </w:rPr>
        <w:t xml:space="preserve">Hasan, M., &amp; Clark, E. M. (2017). </w:t>
      </w:r>
      <w:r w:rsidRPr="005554ED">
        <w:rPr>
          <w:color w:val="000000" w:themeColor="text1"/>
        </w:rPr>
        <w:t xml:space="preserve">I get so lonely, baby: The effects of loneliness and social isolation on romantic dependency. </w:t>
      </w:r>
      <w:r w:rsidRPr="005554ED">
        <w:rPr>
          <w:i/>
          <w:iCs/>
          <w:color w:val="000000" w:themeColor="text1"/>
        </w:rPr>
        <w:t>The Journal of Social Psychology</w:t>
      </w:r>
      <w:r w:rsidRPr="005554ED">
        <w:rPr>
          <w:color w:val="000000" w:themeColor="text1"/>
        </w:rPr>
        <w:t xml:space="preserve">, </w:t>
      </w:r>
      <w:r w:rsidRPr="005554ED">
        <w:rPr>
          <w:i/>
          <w:iCs/>
          <w:color w:val="000000" w:themeColor="text1"/>
        </w:rPr>
        <w:t>157</w:t>
      </w:r>
      <w:r w:rsidRPr="005554ED">
        <w:rPr>
          <w:color w:val="000000" w:themeColor="text1"/>
        </w:rPr>
        <w:t xml:space="preserve">(4), 429–444. </w:t>
      </w:r>
      <w:hyperlink r:id="rId109" w:history="1">
        <w:r w:rsidRPr="005554ED">
          <w:rPr>
            <w:rStyle w:val="Hyperlink"/>
            <w:rFonts w:eastAsia="Arial"/>
            <w:color w:val="000000" w:themeColor="text1"/>
          </w:rPr>
          <w:t>https://doi.org/10.1080/00224545.2016.1229251</w:t>
        </w:r>
      </w:hyperlink>
    </w:p>
    <w:p w14:paraId="5CD381AA" w14:textId="77777777" w:rsidR="00B76713" w:rsidRPr="005554ED" w:rsidRDefault="00B76713" w:rsidP="00B76713">
      <w:pPr>
        <w:pStyle w:val="Bibliography"/>
        <w:rPr>
          <w:color w:val="000000" w:themeColor="text1"/>
        </w:rPr>
      </w:pPr>
      <w:r w:rsidRPr="005554ED">
        <w:rPr>
          <w:color w:val="000000" w:themeColor="text1"/>
        </w:rPr>
        <w:t xml:space="preserve">Hashim, I. H. M., &amp; </w:t>
      </w:r>
      <w:proofErr w:type="spellStart"/>
      <w:r w:rsidRPr="005554ED">
        <w:rPr>
          <w:color w:val="000000" w:themeColor="text1"/>
        </w:rPr>
        <w:t>Khodarahimi</w:t>
      </w:r>
      <w:proofErr w:type="spellEnd"/>
      <w:r w:rsidRPr="005554ED">
        <w:rPr>
          <w:color w:val="000000" w:themeColor="text1"/>
        </w:rPr>
        <w:t xml:space="preserve">, S. (2012). Loneliness and the development of social relationships in Malaysian university students. </w:t>
      </w:r>
      <w:r w:rsidRPr="005554ED">
        <w:rPr>
          <w:i/>
          <w:iCs/>
          <w:color w:val="000000" w:themeColor="text1"/>
        </w:rPr>
        <w:t>Social Behavior and Personality: An International Journal</w:t>
      </w:r>
      <w:r w:rsidRPr="005554ED">
        <w:rPr>
          <w:color w:val="000000" w:themeColor="text1"/>
        </w:rPr>
        <w:t xml:space="preserve">, </w:t>
      </w:r>
      <w:r w:rsidRPr="005554ED">
        <w:rPr>
          <w:i/>
          <w:iCs/>
          <w:color w:val="000000" w:themeColor="text1"/>
        </w:rPr>
        <w:t>40</w:t>
      </w:r>
      <w:r w:rsidRPr="005554ED">
        <w:rPr>
          <w:color w:val="000000" w:themeColor="text1"/>
        </w:rPr>
        <w:t xml:space="preserve">(2), 227–238. </w:t>
      </w:r>
      <w:hyperlink r:id="rId110" w:history="1">
        <w:r w:rsidRPr="005554ED">
          <w:rPr>
            <w:rStyle w:val="Hyperlink"/>
            <w:rFonts w:eastAsia="Arial"/>
            <w:color w:val="000000" w:themeColor="text1"/>
          </w:rPr>
          <w:t>https://doi.org/10.2224/sbp.2012.40.2.227</w:t>
        </w:r>
      </w:hyperlink>
    </w:p>
    <w:p w14:paraId="39223DDC" w14:textId="77777777" w:rsidR="00B76713" w:rsidRPr="005554ED" w:rsidRDefault="00B76713" w:rsidP="00B76713">
      <w:pPr>
        <w:pStyle w:val="Bibliography"/>
        <w:rPr>
          <w:color w:val="000000" w:themeColor="text1"/>
        </w:rPr>
      </w:pPr>
      <w:r w:rsidRPr="005554ED">
        <w:rPr>
          <w:color w:val="000000" w:themeColor="text1"/>
        </w:rPr>
        <w:t xml:space="preserve">Hasnain, S. F. (2012). Perfectionism, loneliness and life satisfaction in engineering students. </w:t>
      </w:r>
      <w:r w:rsidRPr="005554ED">
        <w:rPr>
          <w:i/>
          <w:iCs/>
          <w:color w:val="000000" w:themeColor="text1"/>
        </w:rPr>
        <w:t xml:space="preserve">Journal of </w:t>
      </w:r>
      <w:proofErr w:type="spellStart"/>
      <w:r w:rsidRPr="005554ED">
        <w:rPr>
          <w:i/>
          <w:iCs/>
          <w:color w:val="000000" w:themeColor="text1"/>
        </w:rPr>
        <w:t>Behavioural</w:t>
      </w:r>
      <w:proofErr w:type="spellEnd"/>
      <w:r w:rsidRPr="005554ED">
        <w:rPr>
          <w:i/>
          <w:iCs/>
          <w:color w:val="000000" w:themeColor="text1"/>
        </w:rPr>
        <w:t xml:space="preserve"> Sciences</w:t>
      </w:r>
      <w:r w:rsidRPr="005554ED">
        <w:rPr>
          <w:color w:val="000000" w:themeColor="text1"/>
        </w:rPr>
        <w:t xml:space="preserve">, </w:t>
      </w:r>
      <w:r w:rsidRPr="005554ED">
        <w:rPr>
          <w:i/>
          <w:iCs/>
          <w:color w:val="000000" w:themeColor="text1"/>
        </w:rPr>
        <w:t>22</w:t>
      </w:r>
      <w:r w:rsidRPr="005554ED">
        <w:rPr>
          <w:color w:val="000000" w:themeColor="text1"/>
        </w:rPr>
        <w:t>(3), 33–48.</w:t>
      </w:r>
    </w:p>
    <w:p w14:paraId="71ABF85C" w14:textId="77777777" w:rsidR="00B76713" w:rsidRPr="005554ED" w:rsidRDefault="00B76713" w:rsidP="00B76713">
      <w:pPr>
        <w:pStyle w:val="Bibliography"/>
        <w:rPr>
          <w:color w:val="000000" w:themeColor="text1"/>
        </w:rPr>
      </w:pPr>
      <w:r w:rsidRPr="005554ED">
        <w:rPr>
          <w:color w:val="000000" w:themeColor="text1"/>
        </w:rPr>
        <w:lastRenderedPageBreak/>
        <w:t xml:space="preserve">Hawkley, L. C., Browne, M. W., &amp; Cacioppo, J. T. (2005). How can I connect with thee? Let me count the ways. </w:t>
      </w:r>
      <w:r w:rsidRPr="005554ED">
        <w:rPr>
          <w:i/>
          <w:iCs/>
          <w:color w:val="000000" w:themeColor="text1"/>
        </w:rPr>
        <w:t>Psychological Science</w:t>
      </w:r>
      <w:r w:rsidRPr="005554ED">
        <w:rPr>
          <w:color w:val="000000" w:themeColor="text1"/>
        </w:rPr>
        <w:t xml:space="preserve">, </w:t>
      </w:r>
      <w:r w:rsidRPr="005554ED">
        <w:rPr>
          <w:i/>
          <w:iCs/>
          <w:color w:val="000000" w:themeColor="text1"/>
        </w:rPr>
        <w:t>16</w:t>
      </w:r>
      <w:r w:rsidRPr="005554ED">
        <w:rPr>
          <w:color w:val="000000" w:themeColor="text1"/>
        </w:rPr>
        <w:t xml:space="preserve">(10), 798–804. </w:t>
      </w:r>
      <w:hyperlink r:id="rId111" w:history="1">
        <w:r w:rsidRPr="005554ED">
          <w:rPr>
            <w:rStyle w:val="Hyperlink"/>
            <w:rFonts w:eastAsia="Arial"/>
            <w:color w:val="000000" w:themeColor="text1"/>
          </w:rPr>
          <w:t>https://doi.org/10.1111/j.1467-9280.2005.01617.x</w:t>
        </w:r>
      </w:hyperlink>
    </w:p>
    <w:p w14:paraId="6D63E0A6" w14:textId="77777777" w:rsidR="00B76713" w:rsidRPr="005554ED" w:rsidRDefault="00B76713" w:rsidP="00B76713">
      <w:pPr>
        <w:pStyle w:val="Bibliography"/>
        <w:rPr>
          <w:color w:val="000000" w:themeColor="text1"/>
        </w:rPr>
      </w:pPr>
      <w:r w:rsidRPr="006A16A9">
        <w:rPr>
          <w:color w:val="000000" w:themeColor="text1"/>
        </w:rPr>
        <w:t xml:space="preserve">Hays, R. D., &amp; </w:t>
      </w:r>
      <w:proofErr w:type="spellStart"/>
      <w:r w:rsidRPr="006A16A9">
        <w:rPr>
          <w:color w:val="000000" w:themeColor="text1"/>
        </w:rPr>
        <w:t>DiMatteo</w:t>
      </w:r>
      <w:proofErr w:type="spellEnd"/>
      <w:r w:rsidRPr="006A16A9">
        <w:rPr>
          <w:color w:val="000000" w:themeColor="text1"/>
        </w:rPr>
        <w:t xml:space="preserve">, M. R. (1987). </w:t>
      </w:r>
      <w:r w:rsidRPr="005554ED">
        <w:rPr>
          <w:color w:val="000000" w:themeColor="text1"/>
        </w:rPr>
        <w:t xml:space="preserve">A short-form measure of loneliness. </w:t>
      </w:r>
      <w:r w:rsidRPr="005554ED">
        <w:rPr>
          <w:i/>
          <w:iCs/>
          <w:color w:val="000000" w:themeColor="text1"/>
        </w:rPr>
        <w:t>Journal of Personality Assessment</w:t>
      </w:r>
      <w:r w:rsidRPr="005554ED">
        <w:rPr>
          <w:color w:val="000000" w:themeColor="text1"/>
        </w:rPr>
        <w:t xml:space="preserve">, </w:t>
      </w:r>
      <w:r w:rsidRPr="005554ED">
        <w:rPr>
          <w:i/>
          <w:iCs/>
          <w:color w:val="000000" w:themeColor="text1"/>
        </w:rPr>
        <w:t>51</w:t>
      </w:r>
      <w:r w:rsidRPr="005554ED">
        <w:rPr>
          <w:color w:val="000000" w:themeColor="text1"/>
        </w:rPr>
        <w:t>(1), 69–81.</w:t>
      </w:r>
    </w:p>
    <w:p w14:paraId="2BAE2AA1" w14:textId="77777777" w:rsidR="00B76713" w:rsidRPr="005554ED" w:rsidRDefault="00B76713" w:rsidP="00B76713">
      <w:pPr>
        <w:pStyle w:val="Bibliography"/>
        <w:rPr>
          <w:color w:val="000000" w:themeColor="text1"/>
        </w:rPr>
      </w:pPr>
      <w:r w:rsidRPr="005554ED">
        <w:rPr>
          <w:color w:val="000000" w:themeColor="text1"/>
        </w:rPr>
        <w:t xml:space="preserve">Helm, P. J., Rothschild, L. G., Greenberg, J., &amp; Croft, A. (2018). Explaining sex differences in existential isolation research. </w:t>
      </w:r>
      <w:r w:rsidRPr="005554ED">
        <w:rPr>
          <w:i/>
          <w:iCs/>
          <w:color w:val="000000" w:themeColor="text1"/>
        </w:rPr>
        <w:t>Personality and Individual Differences</w:t>
      </w:r>
      <w:r w:rsidRPr="005554ED">
        <w:rPr>
          <w:color w:val="000000" w:themeColor="text1"/>
        </w:rPr>
        <w:t xml:space="preserve">, </w:t>
      </w:r>
      <w:r w:rsidRPr="005554ED">
        <w:rPr>
          <w:i/>
          <w:iCs/>
          <w:color w:val="000000" w:themeColor="text1"/>
        </w:rPr>
        <w:t>134</w:t>
      </w:r>
      <w:r w:rsidRPr="005554ED">
        <w:rPr>
          <w:color w:val="000000" w:themeColor="text1"/>
        </w:rPr>
        <w:t xml:space="preserve">, 283–288. </w:t>
      </w:r>
      <w:hyperlink r:id="rId112" w:history="1">
        <w:r w:rsidRPr="005554ED">
          <w:rPr>
            <w:rStyle w:val="Hyperlink"/>
            <w:rFonts w:eastAsia="Arial"/>
            <w:color w:val="000000" w:themeColor="text1"/>
          </w:rPr>
          <w:t>https://doi.org/10.1016/j.paid.2018.06.032</w:t>
        </w:r>
      </w:hyperlink>
    </w:p>
    <w:p w14:paraId="53A632BC" w14:textId="77777777" w:rsidR="00B76713" w:rsidRPr="005554ED" w:rsidRDefault="00B76713" w:rsidP="00B76713">
      <w:pPr>
        <w:pStyle w:val="Bibliography"/>
        <w:rPr>
          <w:color w:val="000000" w:themeColor="text1"/>
        </w:rPr>
      </w:pPr>
      <w:proofErr w:type="spellStart"/>
      <w:r w:rsidRPr="005554ED">
        <w:rPr>
          <w:color w:val="000000" w:themeColor="text1"/>
        </w:rPr>
        <w:t>Heretick</w:t>
      </w:r>
      <w:proofErr w:type="spellEnd"/>
      <w:r w:rsidRPr="005554ED">
        <w:rPr>
          <w:color w:val="000000" w:themeColor="text1"/>
        </w:rPr>
        <w:t xml:space="preserve">, J. A. (2012). </w:t>
      </w:r>
      <w:r w:rsidRPr="005554ED">
        <w:rPr>
          <w:i/>
          <w:iCs/>
          <w:color w:val="000000" w:themeColor="text1"/>
        </w:rPr>
        <w:t>The relationship between type of bullying experienced in childhood and psychosocial functioning in young adulthood</w:t>
      </w:r>
      <w:r w:rsidRPr="005554ED">
        <w:rPr>
          <w:color w:val="000000" w:themeColor="text1"/>
        </w:rPr>
        <w:t>. University of Florida.</w:t>
      </w:r>
    </w:p>
    <w:p w14:paraId="29F544BE" w14:textId="77777777" w:rsidR="00B76713" w:rsidRPr="005554ED" w:rsidRDefault="00B76713" w:rsidP="00B76713">
      <w:pPr>
        <w:pStyle w:val="Bibliography"/>
        <w:rPr>
          <w:color w:val="000000" w:themeColor="text1"/>
        </w:rPr>
      </w:pPr>
      <w:r w:rsidRPr="005554ED">
        <w:rPr>
          <w:color w:val="000000" w:themeColor="text1"/>
        </w:rPr>
        <w:t xml:space="preserve">Hermann, K. S., &amp; Betz, N. E. (2006). Path models of the relationships of instrumentality and expressiveness, social self–efficacy, and self–esteem to depressive symptoms in college students. </w:t>
      </w:r>
      <w:r w:rsidRPr="005554ED">
        <w:rPr>
          <w:i/>
          <w:iCs/>
          <w:color w:val="000000" w:themeColor="text1"/>
        </w:rPr>
        <w:t>Journal of Social and Clinical Psychology</w:t>
      </w:r>
      <w:r w:rsidRPr="005554ED">
        <w:rPr>
          <w:color w:val="000000" w:themeColor="text1"/>
        </w:rPr>
        <w:t xml:space="preserve">, </w:t>
      </w:r>
      <w:r w:rsidRPr="005554ED">
        <w:rPr>
          <w:i/>
          <w:iCs/>
          <w:color w:val="000000" w:themeColor="text1"/>
        </w:rPr>
        <w:t>25</w:t>
      </w:r>
      <w:r w:rsidRPr="005554ED">
        <w:rPr>
          <w:color w:val="000000" w:themeColor="text1"/>
        </w:rPr>
        <w:t xml:space="preserve">(10), 1086–1106. </w:t>
      </w:r>
      <w:hyperlink r:id="rId113" w:history="1">
        <w:r w:rsidRPr="005554ED">
          <w:rPr>
            <w:rStyle w:val="Hyperlink"/>
            <w:rFonts w:eastAsia="Arial"/>
            <w:color w:val="000000" w:themeColor="text1"/>
          </w:rPr>
          <w:t>https://doi.org/10.1521/jscp.2006.25.10.1086</w:t>
        </w:r>
      </w:hyperlink>
    </w:p>
    <w:p w14:paraId="415AFCD3" w14:textId="77777777" w:rsidR="00B76713" w:rsidRPr="005554ED" w:rsidRDefault="00B76713" w:rsidP="00B76713">
      <w:pPr>
        <w:pStyle w:val="Bibliography"/>
        <w:rPr>
          <w:color w:val="000000" w:themeColor="text1"/>
        </w:rPr>
      </w:pPr>
      <w:r w:rsidRPr="005554ED">
        <w:rPr>
          <w:color w:val="000000" w:themeColor="text1"/>
        </w:rPr>
        <w:t xml:space="preserve">Hicks, J. A., &amp; King, L. A. (2009). Positive mood and social relatedness as information about meaning in life. </w:t>
      </w:r>
      <w:r w:rsidRPr="005554ED">
        <w:rPr>
          <w:i/>
          <w:iCs/>
          <w:color w:val="000000" w:themeColor="text1"/>
        </w:rPr>
        <w:t>The Journal of Positive Psychology</w:t>
      </w:r>
      <w:r w:rsidRPr="005554ED">
        <w:rPr>
          <w:color w:val="000000" w:themeColor="text1"/>
        </w:rPr>
        <w:t xml:space="preserve">, </w:t>
      </w:r>
      <w:r w:rsidRPr="005554ED">
        <w:rPr>
          <w:i/>
          <w:iCs/>
          <w:color w:val="000000" w:themeColor="text1"/>
        </w:rPr>
        <w:t>4</w:t>
      </w:r>
      <w:r w:rsidRPr="005554ED">
        <w:rPr>
          <w:color w:val="000000" w:themeColor="text1"/>
        </w:rPr>
        <w:t xml:space="preserve">(6), 471–482. </w:t>
      </w:r>
      <w:hyperlink r:id="rId114" w:history="1">
        <w:r w:rsidRPr="005554ED">
          <w:rPr>
            <w:rStyle w:val="Hyperlink"/>
            <w:rFonts w:eastAsia="Arial"/>
            <w:color w:val="000000" w:themeColor="text1"/>
          </w:rPr>
          <w:t>https://doi.org/10.1080/17439760903271108</w:t>
        </w:r>
      </w:hyperlink>
    </w:p>
    <w:p w14:paraId="5AA1EF49" w14:textId="77777777" w:rsidR="00B76713" w:rsidRPr="00A04F18" w:rsidRDefault="00B76713" w:rsidP="00B76713">
      <w:pPr>
        <w:pStyle w:val="Bibliography"/>
        <w:rPr>
          <w:color w:val="000000" w:themeColor="text1"/>
        </w:rPr>
      </w:pPr>
      <w:r w:rsidRPr="005554ED">
        <w:rPr>
          <w:color w:val="000000" w:themeColor="text1"/>
        </w:rPr>
        <w:t xml:space="preserve">Hillier, A., Goldstein, J., Murphy, D., </w:t>
      </w:r>
      <w:proofErr w:type="spellStart"/>
      <w:r w:rsidRPr="005554ED">
        <w:rPr>
          <w:color w:val="000000" w:themeColor="text1"/>
        </w:rPr>
        <w:t>Trietsch</w:t>
      </w:r>
      <w:proofErr w:type="spellEnd"/>
      <w:r w:rsidRPr="005554ED">
        <w:rPr>
          <w:color w:val="000000" w:themeColor="text1"/>
        </w:rPr>
        <w:t xml:space="preserve">, R., Keeves, J., Mendes, E., &amp; </w:t>
      </w:r>
      <w:proofErr w:type="spellStart"/>
      <w:r w:rsidRPr="005554ED">
        <w:rPr>
          <w:color w:val="000000" w:themeColor="text1"/>
        </w:rPr>
        <w:t>Queenan</w:t>
      </w:r>
      <w:proofErr w:type="spellEnd"/>
      <w:r w:rsidRPr="005554ED">
        <w:rPr>
          <w:color w:val="000000" w:themeColor="text1"/>
        </w:rPr>
        <w:t xml:space="preserve">, A. (2018). Supporting university students with autism spectrum disorder. </w:t>
      </w:r>
      <w:proofErr w:type="gramStart"/>
      <w:r w:rsidRPr="005554ED">
        <w:rPr>
          <w:i/>
          <w:iCs/>
          <w:color w:val="000000" w:themeColor="text1"/>
        </w:rPr>
        <w:t>Autism :</w:t>
      </w:r>
      <w:proofErr w:type="gramEnd"/>
      <w:r w:rsidRPr="005554ED">
        <w:rPr>
          <w:i/>
          <w:iCs/>
          <w:color w:val="000000" w:themeColor="text1"/>
        </w:rPr>
        <w:t xml:space="preserve"> The International Journal of Research and Practice</w:t>
      </w:r>
      <w:r w:rsidRPr="005554ED">
        <w:rPr>
          <w:color w:val="000000" w:themeColor="text1"/>
        </w:rPr>
        <w:t xml:space="preserve">, </w:t>
      </w:r>
      <w:r w:rsidRPr="005554ED">
        <w:rPr>
          <w:i/>
          <w:iCs/>
          <w:color w:val="000000" w:themeColor="text1"/>
        </w:rPr>
        <w:t>22</w:t>
      </w:r>
      <w:r w:rsidRPr="005554ED">
        <w:rPr>
          <w:color w:val="000000" w:themeColor="text1"/>
        </w:rPr>
        <w:t xml:space="preserve">(1), 20–28. </w:t>
      </w:r>
      <w:hyperlink r:id="rId115" w:history="1">
        <w:r w:rsidRPr="00A04F18">
          <w:rPr>
            <w:rStyle w:val="Hyperlink"/>
            <w:rFonts w:eastAsia="Arial"/>
            <w:color w:val="000000" w:themeColor="text1"/>
          </w:rPr>
          <w:t>https://doi.org/10.1177/1362361317699584</w:t>
        </w:r>
      </w:hyperlink>
    </w:p>
    <w:p w14:paraId="1165AC0C" w14:textId="77777777" w:rsidR="00B76713" w:rsidRPr="005554ED" w:rsidRDefault="00B76713" w:rsidP="00B76713">
      <w:pPr>
        <w:pStyle w:val="Bibliography"/>
        <w:rPr>
          <w:color w:val="000000" w:themeColor="text1"/>
        </w:rPr>
      </w:pPr>
      <w:r w:rsidRPr="00A04F18">
        <w:rPr>
          <w:color w:val="000000" w:themeColor="text1"/>
        </w:rPr>
        <w:t xml:space="preserve">Hirsch, J. K., Chang, E. C., &amp; </w:t>
      </w:r>
      <w:proofErr w:type="spellStart"/>
      <w:r w:rsidRPr="00A04F18">
        <w:rPr>
          <w:color w:val="000000" w:themeColor="text1"/>
        </w:rPr>
        <w:t>Jeglic</w:t>
      </w:r>
      <w:proofErr w:type="spellEnd"/>
      <w:r w:rsidRPr="00A04F18">
        <w:rPr>
          <w:color w:val="000000" w:themeColor="text1"/>
        </w:rPr>
        <w:t xml:space="preserve">, E. L. (2012). </w:t>
      </w:r>
      <w:r w:rsidRPr="005554ED">
        <w:rPr>
          <w:color w:val="000000" w:themeColor="text1"/>
        </w:rPr>
        <w:t xml:space="preserve">Social problem solving and suicidal behavior: Ethnic differences in the moderating effects of loneliness and life stress. </w:t>
      </w:r>
      <w:r w:rsidRPr="005554ED">
        <w:rPr>
          <w:i/>
          <w:iCs/>
          <w:color w:val="000000" w:themeColor="text1"/>
        </w:rPr>
        <w:t xml:space="preserve">Archives of </w:t>
      </w:r>
      <w:r w:rsidRPr="005554ED">
        <w:rPr>
          <w:i/>
          <w:iCs/>
          <w:color w:val="000000" w:themeColor="text1"/>
        </w:rPr>
        <w:lastRenderedPageBreak/>
        <w:t xml:space="preserve">Suicide </w:t>
      </w:r>
      <w:proofErr w:type="gramStart"/>
      <w:r w:rsidRPr="005554ED">
        <w:rPr>
          <w:i/>
          <w:iCs/>
          <w:color w:val="000000" w:themeColor="text1"/>
        </w:rPr>
        <w:t>Research :</w:t>
      </w:r>
      <w:proofErr w:type="gramEnd"/>
      <w:r w:rsidRPr="005554ED">
        <w:rPr>
          <w:i/>
          <w:iCs/>
          <w:color w:val="000000" w:themeColor="text1"/>
        </w:rPr>
        <w:t xml:space="preserve"> Official Journal of the International Academy for Suicide Research</w:t>
      </w:r>
      <w:r w:rsidRPr="005554ED">
        <w:rPr>
          <w:color w:val="000000" w:themeColor="text1"/>
        </w:rPr>
        <w:t xml:space="preserve">, </w:t>
      </w:r>
      <w:r w:rsidRPr="005554ED">
        <w:rPr>
          <w:i/>
          <w:iCs/>
          <w:color w:val="000000" w:themeColor="text1"/>
        </w:rPr>
        <w:t>16</w:t>
      </w:r>
      <w:r w:rsidRPr="005554ED">
        <w:rPr>
          <w:color w:val="000000" w:themeColor="text1"/>
        </w:rPr>
        <w:t xml:space="preserve">(4), 303–315. </w:t>
      </w:r>
      <w:hyperlink r:id="rId116" w:history="1">
        <w:r w:rsidRPr="005554ED">
          <w:rPr>
            <w:rStyle w:val="Hyperlink"/>
            <w:rFonts w:eastAsia="Arial"/>
            <w:color w:val="000000" w:themeColor="text1"/>
          </w:rPr>
          <w:t>https://doi.org/10.1080/13811118.2013.722054</w:t>
        </w:r>
      </w:hyperlink>
    </w:p>
    <w:p w14:paraId="04860AC0" w14:textId="77777777" w:rsidR="00B76713" w:rsidRPr="005554ED" w:rsidRDefault="00B76713" w:rsidP="00B76713">
      <w:pPr>
        <w:pStyle w:val="Bibliography"/>
        <w:rPr>
          <w:color w:val="000000" w:themeColor="text1"/>
        </w:rPr>
      </w:pPr>
      <w:proofErr w:type="spellStart"/>
      <w:r w:rsidRPr="005554ED">
        <w:rPr>
          <w:color w:val="000000" w:themeColor="text1"/>
        </w:rPr>
        <w:t>Hojat</w:t>
      </w:r>
      <w:proofErr w:type="spellEnd"/>
      <w:r w:rsidRPr="005554ED">
        <w:rPr>
          <w:color w:val="000000" w:themeColor="text1"/>
        </w:rPr>
        <w:t xml:space="preserve">, M. (1982). Loneliness as a function of parent-child and peer relations. </w:t>
      </w:r>
      <w:r w:rsidRPr="005554ED">
        <w:rPr>
          <w:i/>
          <w:iCs/>
          <w:color w:val="000000" w:themeColor="text1"/>
        </w:rPr>
        <w:t>The Journal of Psychology</w:t>
      </w:r>
      <w:r w:rsidRPr="005554ED">
        <w:rPr>
          <w:color w:val="000000" w:themeColor="text1"/>
        </w:rPr>
        <w:t xml:space="preserve">, </w:t>
      </w:r>
      <w:r w:rsidRPr="005554ED">
        <w:rPr>
          <w:i/>
          <w:iCs/>
          <w:color w:val="000000" w:themeColor="text1"/>
        </w:rPr>
        <w:t>112</w:t>
      </w:r>
      <w:r w:rsidRPr="005554ED">
        <w:rPr>
          <w:color w:val="000000" w:themeColor="text1"/>
        </w:rPr>
        <w:t xml:space="preserve">(1st Half), 129–133. </w:t>
      </w:r>
      <w:hyperlink r:id="rId117" w:history="1">
        <w:r w:rsidRPr="005554ED">
          <w:rPr>
            <w:rStyle w:val="Hyperlink"/>
            <w:rFonts w:eastAsia="Arial"/>
            <w:color w:val="000000" w:themeColor="text1"/>
          </w:rPr>
          <w:t>https://doi.org/10.1080/00223980.1982.9923545</w:t>
        </w:r>
      </w:hyperlink>
    </w:p>
    <w:p w14:paraId="255718AE" w14:textId="77777777" w:rsidR="00B76713" w:rsidRPr="005554ED" w:rsidRDefault="00B76713" w:rsidP="00B76713">
      <w:pPr>
        <w:pStyle w:val="Bibliography"/>
        <w:rPr>
          <w:color w:val="000000" w:themeColor="text1"/>
        </w:rPr>
      </w:pPr>
      <w:r w:rsidRPr="005554ED">
        <w:rPr>
          <w:color w:val="000000" w:themeColor="text1"/>
        </w:rPr>
        <w:t xml:space="preserve">Holmes, L. M., Popova, L., &amp; Ling, P. M. (2016). State of transition: Marijuana use among young adults in the San Francisco Bay Area. </w:t>
      </w:r>
      <w:r w:rsidRPr="005554ED">
        <w:rPr>
          <w:i/>
          <w:iCs/>
          <w:color w:val="000000" w:themeColor="text1"/>
        </w:rPr>
        <w:t>Preventive Medicine</w:t>
      </w:r>
      <w:r w:rsidRPr="005554ED">
        <w:rPr>
          <w:color w:val="000000" w:themeColor="text1"/>
        </w:rPr>
        <w:t xml:space="preserve">, </w:t>
      </w:r>
      <w:r w:rsidRPr="005554ED">
        <w:rPr>
          <w:i/>
          <w:iCs/>
          <w:color w:val="000000" w:themeColor="text1"/>
        </w:rPr>
        <w:t>90</w:t>
      </w:r>
      <w:r w:rsidRPr="005554ED">
        <w:rPr>
          <w:color w:val="000000" w:themeColor="text1"/>
        </w:rPr>
        <w:t xml:space="preserve">, 11–16. </w:t>
      </w:r>
      <w:hyperlink r:id="rId118" w:history="1">
        <w:r w:rsidRPr="005554ED">
          <w:rPr>
            <w:rStyle w:val="Hyperlink"/>
            <w:rFonts w:eastAsia="Arial"/>
            <w:color w:val="000000" w:themeColor="text1"/>
          </w:rPr>
          <w:t>https://doi.org/10.1016/j.ypmed.2016.06.025.</w:t>
        </w:r>
      </w:hyperlink>
    </w:p>
    <w:p w14:paraId="195A9624" w14:textId="77777777" w:rsidR="00B76713" w:rsidRPr="005554ED" w:rsidRDefault="00B76713" w:rsidP="00B76713">
      <w:pPr>
        <w:pStyle w:val="Bibliography"/>
        <w:rPr>
          <w:color w:val="000000" w:themeColor="text1"/>
        </w:rPr>
      </w:pPr>
      <w:proofErr w:type="spellStart"/>
      <w:r w:rsidRPr="005554ED">
        <w:rPr>
          <w:color w:val="000000" w:themeColor="text1"/>
        </w:rPr>
        <w:t>Hopmeyer</w:t>
      </w:r>
      <w:proofErr w:type="spellEnd"/>
      <w:r w:rsidRPr="005554ED">
        <w:rPr>
          <w:color w:val="000000" w:themeColor="text1"/>
        </w:rPr>
        <w:t xml:space="preserve">, A., Troop-Gordon, W., </w:t>
      </w:r>
      <w:proofErr w:type="spellStart"/>
      <w:r w:rsidRPr="005554ED">
        <w:rPr>
          <w:color w:val="000000" w:themeColor="text1"/>
        </w:rPr>
        <w:t>Medovoy</w:t>
      </w:r>
      <w:proofErr w:type="spellEnd"/>
      <w:r w:rsidRPr="005554ED">
        <w:rPr>
          <w:color w:val="000000" w:themeColor="text1"/>
        </w:rPr>
        <w:t xml:space="preserve">, T., &amp; Fischer, J. (2017). Emerging adults’ self-identified peer crowd affiliations and college adjustment. </w:t>
      </w:r>
      <w:r w:rsidRPr="005554ED">
        <w:rPr>
          <w:i/>
          <w:iCs/>
          <w:color w:val="000000" w:themeColor="text1"/>
        </w:rPr>
        <w:t>Social Psychology of Education</w:t>
      </w:r>
      <w:r w:rsidRPr="005554ED">
        <w:rPr>
          <w:color w:val="000000" w:themeColor="text1"/>
        </w:rPr>
        <w:t xml:space="preserve">, </w:t>
      </w:r>
      <w:r w:rsidRPr="005554ED">
        <w:rPr>
          <w:i/>
          <w:iCs/>
          <w:color w:val="000000" w:themeColor="text1"/>
        </w:rPr>
        <w:t>20</w:t>
      </w:r>
      <w:r w:rsidRPr="005554ED">
        <w:rPr>
          <w:color w:val="000000" w:themeColor="text1"/>
        </w:rPr>
        <w:t xml:space="preserve">(3), 643–667. </w:t>
      </w:r>
      <w:hyperlink r:id="rId119" w:history="1">
        <w:r w:rsidRPr="005554ED">
          <w:rPr>
            <w:rStyle w:val="Hyperlink"/>
            <w:rFonts w:eastAsia="Arial"/>
            <w:color w:val="000000" w:themeColor="text1"/>
          </w:rPr>
          <w:t>https://doi.org/10.1007/s11218-017-9390-1</w:t>
        </w:r>
      </w:hyperlink>
    </w:p>
    <w:p w14:paraId="433EAF21" w14:textId="77777777" w:rsidR="00B76713" w:rsidRPr="005554ED" w:rsidRDefault="00B76713" w:rsidP="00B76713">
      <w:pPr>
        <w:pStyle w:val="Bibliography"/>
        <w:rPr>
          <w:color w:val="000000" w:themeColor="text1"/>
        </w:rPr>
      </w:pPr>
      <w:proofErr w:type="spellStart"/>
      <w:r w:rsidRPr="005554ED">
        <w:rPr>
          <w:color w:val="000000" w:themeColor="text1"/>
        </w:rPr>
        <w:t>Horstmann</w:t>
      </w:r>
      <w:proofErr w:type="spellEnd"/>
      <w:r w:rsidRPr="005554ED">
        <w:rPr>
          <w:color w:val="000000" w:themeColor="text1"/>
        </w:rPr>
        <w:t xml:space="preserve">, Kai Tobias. (2019). </w:t>
      </w:r>
      <w:r w:rsidRPr="005554ED">
        <w:rPr>
          <w:i/>
          <w:iCs/>
          <w:color w:val="000000" w:themeColor="text1"/>
        </w:rPr>
        <w:t>Construction of a questionnaire for the assessment of Person-Equestrian Fit</w:t>
      </w:r>
      <w:r w:rsidRPr="005554ED">
        <w:rPr>
          <w:color w:val="000000" w:themeColor="text1"/>
        </w:rPr>
        <w:t xml:space="preserve"> [Unpublished raw data].</w:t>
      </w:r>
    </w:p>
    <w:p w14:paraId="56D16CD6" w14:textId="77777777" w:rsidR="00B76713" w:rsidRPr="005554ED" w:rsidRDefault="00B76713" w:rsidP="00B76713">
      <w:pPr>
        <w:pStyle w:val="Bibliography"/>
        <w:rPr>
          <w:color w:val="000000" w:themeColor="text1"/>
        </w:rPr>
      </w:pPr>
      <w:r w:rsidRPr="005554ED">
        <w:rPr>
          <w:color w:val="000000" w:themeColor="text1"/>
        </w:rPr>
        <w:t xml:space="preserve">Howard, A. L., Strickland, N. J., &amp; </w:t>
      </w:r>
      <w:proofErr w:type="spellStart"/>
      <w:r w:rsidRPr="005554ED">
        <w:rPr>
          <w:color w:val="000000" w:themeColor="text1"/>
        </w:rPr>
        <w:t>Coplan</w:t>
      </w:r>
      <w:proofErr w:type="spellEnd"/>
      <w:r w:rsidRPr="005554ED">
        <w:rPr>
          <w:color w:val="000000" w:themeColor="text1"/>
        </w:rPr>
        <w:t xml:space="preserve">, R. J. (2016). </w:t>
      </w:r>
      <w:r w:rsidRPr="005554ED">
        <w:rPr>
          <w:i/>
          <w:iCs/>
          <w:color w:val="000000" w:themeColor="text1"/>
        </w:rPr>
        <w:t>Drinking in university students: A motivational model of social anxiety, loneliness, and context</w:t>
      </w:r>
      <w:r w:rsidRPr="005554ED">
        <w:rPr>
          <w:color w:val="000000" w:themeColor="text1"/>
        </w:rPr>
        <w:t xml:space="preserve"> [Unpublished raw data].</w:t>
      </w:r>
    </w:p>
    <w:p w14:paraId="3B494481" w14:textId="77777777" w:rsidR="00B76713" w:rsidRPr="005554ED" w:rsidRDefault="00B76713" w:rsidP="00B76713">
      <w:pPr>
        <w:pStyle w:val="Bibliography"/>
        <w:rPr>
          <w:color w:val="000000" w:themeColor="text1"/>
        </w:rPr>
      </w:pPr>
      <w:r w:rsidRPr="005554ED">
        <w:rPr>
          <w:color w:val="000000" w:themeColor="text1"/>
        </w:rPr>
        <w:t xml:space="preserve">Hum, S., &amp; </w:t>
      </w:r>
      <w:proofErr w:type="spellStart"/>
      <w:r w:rsidRPr="005554ED">
        <w:rPr>
          <w:color w:val="000000" w:themeColor="text1"/>
        </w:rPr>
        <w:t>Carr</w:t>
      </w:r>
      <w:proofErr w:type="spellEnd"/>
      <w:r w:rsidRPr="005554ED">
        <w:rPr>
          <w:color w:val="000000" w:themeColor="text1"/>
        </w:rPr>
        <w:t xml:space="preserve">, S. M. (2018). Testing the emotional vulnerability pathway to problem gambling in culturally diverse university students. </w:t>
      </w:r>
      <w:r w:rsidRPr="005554ED">
        <w:rPr>
          <w:i/>
          <w:iCs/>
          <w:color w:val="000000" w:themeColor="text1"/>
        </w:rPr>
        <w:t>Journal of Gambling Studies</w:t>
      </w:r>
      <w:r w:rsidRPr="005554ED">
        <w:rPr>
          <w:color w:val="000000" w:themeColor="text1"/>
        </w:rPr>
        <w:t xml:space="preserve">, </w:t>
      </w:r>
      <w:r w:rsidRPr="005554ED">
        <w:rPr>
          <w:i/>
          <w:iCs/>
          <w:color w:val="000000" w:themeColor="text1"/>
        </w:rPr>
        <w:t>34</w:t>
      </w:r>
      <w:r w:rsidRPr="005554ED">
        <w:rPr>
          <w:color w:val="000000" w:themeColor="text1"/>
        </w:rPr>
        <w:t xml:space="preserve">(3), 915–927. </w:t>
      </w:r>
      <w:hyperlink r:id="rId120" w:history="1">
        <w:r w:rsidRPr="005554ED">
          <w:rPr>
            <w:rStyle w:val="Hyperlink"/>
            <w:rFonts w:eastAsia="Arial"/>
            <w:color w:val="000000" w:themeColor="text1"/>
          </w:rPr>
          <w:t>https://doi.org/10.1007/s10899-018-9753-3</w:t>
        </w:r>
      </w:hyperlink>
    </w:p>
    <w:p w14:paraId="04D5DEE3" w14:textId="77777777" w:rsidR="00B76713" w:rsidRPr="005554ED" w:rsidRDefault="00B76713" w:rsidP="00B76713">
      <w:pPr>
        <w:pStyle w:val="Bibliography"/>
        <w:rPr>
          <w:color w:val="000000" w:themeColor="text1"/>
        </w:rPr>
      </w:pPr>
      <w:r w:rsidRPr="005554ED">
        <w:rPr>
          <w:color w:val="000000" w:themeColor="text1"/>
        </w:rPr>
        <w:t xml:space="preserve">Hyland, P., McGinty, G., </w:t>
      </w:r>
      <w:proofErr w:type="spellStart"/>
      <w:r w:rsidRPr="005554ED">
        <w:rPr>
          <w:color w:val="000000" w:themeColor="text1"/>
        </w:rPr>
        <w:t>Karatzias</w:t>
      </w:r>
      <w:proofErr w:type="spellEnd"/>
      <w:r w:rsidRPr="005554ED">
        <w:rPr>
          <w:color w:val="000000" w:themeColor="text1"/>
        </w:rPr>
        <w:t xml:space="preserve">, T., Murphy, J., </w:t>
      </w:r>
      <w:proofErr w:type="spellStart"/>
      <w:r w:rsidRPr="005554ED">
        <w:rPr>
          <w:color w:val="000000" w:themeColor="text1"/>
        </w:rPr>
        <w:t>Vallières</w:t>
      </w:r>
      <w:proofErr w:type="spellEnd"/>
      <w:r w:rsidRPr="005554ED">
        <w:rPr>
          <w:color w:val="000000" w:themeColor="text1"/>
        </w:rPr>
        <w:t xml:space="preserve">, F., &amp; McHugh Power, J. (2019). Can the REBT theory explain loneliness? Theoretical and clinical applications. </w:t>
      </w:r>
      <w:r w:rsidRPr="005554ED">
        <w:rPr>
          <w:i/>
          <w:iCs/>
          <w:color w:val="000000" w:themeColor="text1"/>
        </w:rPr>
        <w:t xml:space="preserve">Cognitive </w:t>
      </w:r>
      <w:proofErr w:type="spellStart"/>
      <w:r w:rsidRPr="005554ED">
        <w:rPr>
          <w:i/>
          <w:iCs/>
          <w:color w:val="000000" w:themeColor="text1"/>
        </w:rPr>
        <w:t>Behaviour</w:t>
      </w:r>
      <w:proofErr w:type="spellEnd"/>
      <w:r w:rsidRPr="005554ED">
        <w:rPr>
          <w:i/>
          <w:iCs/>
          <w:color w:val="000000" w:themeColor="text1"/>
        </w:rPr>
        <w:t xml:space="preserve"> Therapy</w:t>
      </w:r>
      <w:r w:rsidRPr="005554ED">
        <w:rPr>
          <w:color w:val="000000" w:themeColor="text1"/>
        </w:rPr>
        <w:t xml:space="preserve">, </w:t>
      </w:r>
      <w:r w:rsidRPr="005554ED">
        <w:rPr>
          <w:i/>
          <w:iCs/>
          <w:color w:val="000000" w:themeColor="text1"/>
        </w:rPr>
        <w:t>48</w:t>
      </w:r>
      <w:r w:rsidRPr="005554ED">
        <w:rPr>
          <w:color w:val="000000" w:themeColor="text1"/>
        </w:rPr>
        <w:t xml:space="preserve">(1), 39–51. </w:t>
      </w:r>
      <w:hyperlink r:id="rId121" w:history="1">
        <w:r w:rsidRPr="005554ED">
          <w:rPr>
            <w:rStyle w:val="Hyperlink"/>
            <w:rFonts w:eastAsia="Arial"/>
            <w:color w:val="000000" w:themeColor="text1"/>
          </w:rPr>
          <w:t>https://doi.org/10.1080/16506073.2018.1475505</w:t>
        </w:r>
      </w:hyperlink>
    </w:p>
    <w:p w14:paraId="1BD44BA9" w14:textId="77777777" w:rsidR="00B76713" w:rsidRPr="005554ED" w:rsidRDefault="00B76713" w:rsidP="00B76713">
      <w:pPr>
        <w:pStyle w:val="Bibliography"/>
        <w:rPr>
          <w:color w:val="000000" w:themeColor="text1"/>
        </w:rPr>
      </w:pPr>
      <w:r w:rsidRPr="005554ED">
        <w:rPr>
          <w:color w:val="000000" w:themeColor="text1"/>
        </w:rPr>
        <w:t xml:space="preserve">Ilhan, T. (2012). Loneliness among university students: Predictive power of sex roles and attachment styles on loneliness. </w:t>
      </w:r>
      <w:r w:rsidRPr="005554ED">
        <w:rPr>
          <w:i/>
          <w:iCs/>
          <w:color w:val="000000" w:themeColor="text1"/>
        </w:rPr>
        <w:t>Educational Sciences: Theory and Practice</w:t>
      </w:r>
      <w:r w:rsidRPr="005554ED">
        <w:rPr>
          <w:color w:val="000000" w:themeColor="text1"/>
        </w:rPr>
        <w:t xml:space="preserve">, </w:t>
      </w:r>
      <w:r w:rsidRPr="005554ED">
        <w:rPr>
          <w:i/>
          <w:iCs/>
          <w:color w:val="000000" w:themeColor="text1"/>
        </w:rPr>
        <w:t>12</w:t>
      </w:r>
      <w:r w:rsidRPr="005554ED">
        <w:rPr>
          <w:color w:val="000000" w:themeColor="text1"/>
        </w:rPr>
        <w:t>(4), 2387–2396.</w:t>
      </w:r>
    </w:p>
    <w:p w14:paraId="3A6757C7" w14:textId="77777777" w:rsidR="00B76713" w:rsidRPr="005554ED" w:rsidRDefault="00B76713" w:rsidP="00B76713">
      <w:pPr>
        <w:pStyle w:val="Bibliography"/>
        <w:rPr>
          <w:color w:val="000000" w:themeColor="text1"/>
        </w:rPr>
      </w:pPr>
      <w:r w:rsidRPr="005554ED">
        <w:rPr>
          <w:color w:val="000000" w:themeColor="text1"/>
        </w:rPr>
        <w:lastRenderedPageBreak/>
        <w:t xml:space="preserve">Ireland, C. A., Alderson, K., &amp; Ireland, J. L. (2015). Sexual exploitation in children: Nature, prevalence, and distinguishing characteristics reported in young adulthood. </w:t>
      </w:r>
      <w:r w:rsidRPr="005554ED">
        <w:rPr>
          <w:i/>
          <w:iCs/>
          <w:color w:val="000000" w:themeColor="text1"/>
        </w:rPr>
        <w:t>Journal of Aggression, Maltreatment &amp; Trauma</w:t>
      </w:r>
      <w:r w:rsidRPr="005554ED">
        <w:rPr>
          <w:color w:val="000000" w:themeColor="text1"/>
        </w:rPr>
        <w:t xml:space="preserve">, </w:t>
      </w:r>
      <w:r w:rsidRPr="005554ED">
        <w:rPr>
          <w:i/>
          <w:iCs/>
          <w:color w:val="000000" w:themeColor="text1"/>
        </w:rPr>
        <w:t>24</w:t>
      </w:r>
      <w:r w:rsidRPr="005554ED">
        <w:rPr>
          <w:color w:val="000000" w:themeColor="text1"/>
        </w:rPr>
        <w:t xml:space="preserve">(6), 603–622. </w:t>
      </w:r>
      <w:hyperlink r:id="rId122" w:history="1">
        <w:r w:rsidRPr="005554ED">
          <w:rPr>
            <w:rStyle w:val="Hyperlink"/>
            <w:rFonts w:eastAsia="Arial"/>
            <w:color w:val="000000" w:themeColor="text1"/>
          </w:rPr>
          <w:t>https://doi.org/10.1080/10926771.2015.1049765</w:t>
        </w:r>
      </w:hyperlink>
    </w:p>
    <w:p w14:paraId="299F4EC7" w14:textId="77777777" w:rsidR="00B76713" w:rsidRPr="005554ED" w:rsidRDefault="00B76713" w:rsidP="00B76713">
      <w:pPr>
        <w:pStyle w:val="Bibliography"/>
        <w:rPr>
          <w:color w:val="000000" w:themeColor="text1"/>
        </w:rPr>
      </w:pPr>
      <w:r w:rsidRPr="005554ED">
        <w:rPr>
          <w:color w:val="000000" w:themeColor="text1"/>
        </w:rPr>
        <w:t xml:space="preserve">Ireland, J. L., &amp; Power, C. L. (2004). Attachment, emotional loneliness, and bullying </w:t>
      </w:r>
      <w:proofErr w:type="spellStart"/>
      <w:r w:rsidRPr="005554ED">
        <w:rPr>
          <w:color w:val="000000" w:themeColor="text1"/>
        </w:rPr>
        <w:t>behaviour</w:t>
      </w:r>
      <w:proofErr w:type="spellEnd"/>
      <w:r w:rsidRPr="005554ED">
        <w:rPr>
          <w:color w:val="000000" w:themeColor="text1"/>
        </w:rPr>
        <w:t xml:space="preserve">: A study of adult and young offenders. </w:t>
      </w:r>
      <w:r w:rsidRPr="005554ED">
        <w:rPr>
          <w:i/>
          <w:iCs/>
          <w:color w:val="000000" w:themeColor="text1"/>
        </w:rPr>
        <w:t>Aggressive Behavior</w:t>
      </w:r>
      <w:r w:rsidRPr="005554ED">
        <w:rPr>
          <w:color w:val="000000" w:themeColor="text1"/>
        </w:rPr>
        <w:t xml:space="preserve">, </w:t>
      </w:r>
      <w:r w:rsidRPr="005554ED">
        <w:rPr>
          <w:i/>
          <w:iCs/>
          <w:color w:val="000000" w:themeColor="text1"/>
        </w:rPr>
        <w:t>30</w:t>
      </w:r>
      <w:r w:rsidRPr="005554ED">
        <w:rPr>
          <w:color w:val="000000" w:themeColor="text1"/>
        </w:rPr>
        <w:t xml:space="preserve">(4), 298–312. </w:t>
      </w:r>
      <w:hyperlink r:id="rId123" w:history="1">
        <w:r w:rsidRPr="005554ED">
          <w:rPr>
            <w:rStyle w:val="Hyperlink"/>
            <w:rFonts w:eastAsia="Arial"/>
            <w:color w:val="000000" w:themeColor="text1"/>
          </w:rPr>
          <w:t>https://doi.org/10.1002/ab.20035</w:t>
        </w:r>
      </w:hyperlink>
    </w:p>
    <w:p w14:paraId="5F9DE7D5" w14:textId="77777777" w:rsidR="00B76713" w:rsidRPr="005554ED" w:rsidRDefault="00B76713" w:rsidP="00B76713">
      <w:pPr>
        <w:pStyle w:val="Bibliography"/>
        <w:rPr>
          <w:color w:val="000000" w:themeColor="text1"/>
        </w:rPr>
      </w:pPr>
      <w:r w:rsidRPr="005554ED">
        <w:rPr>
          <w:color w:val="000000" w:themeColor="text1"/>
        </w:rPr>
        <w:t xml:space="preserve">Jackson, L. A., &amp; Wang, J.-L. (2013). Cultural differences in social networking site use: A comparative study of China and the United States. </w:t>
      </w:r>
      <w:r w:rsidRPr="005554ED">
        <w:rPr>
          <w:i/>
          <w:iCs/>
          <w:color w:val="000000" w:themeColor="text1"/>
        </w:rPr>
        <w:t>Computers in Human Behavior</w:t>
      </w:r>
      <w:r w:rsidRPr="005554ED">
        <w:rPr>
          <w:color w:val="000000" w:themeColor="text1"/>
        </w:rPr>
        <w:t xml:space="preserve">, </w:t>
      </w:r>
      <w:r w:rsidRPr="005554ED">
        <w:rPr>
          <w:i/>
          <w:iCs/>
          <w:color w:val="000000" w:themeColor="text1"/>
        </w:rPr>
        <w:t>29</w:t>
      </w:r>
      <w:r w:rsidRPr="005554ED">
        <w:rPr>
          <w:color w:val="000000" w:themeColor="text1"/>
        </w:rPr>
        <w:t xml:space="preserve">(3), 910–921. </w:t>
      </w:r>
      <w:hyperlink r:id="rId124" w:history="1">
        <w:r w:rsidRPr="005554ED">
          <w:rPr>
            <w:rStyle w:val="Hyperlink"/>
            <w:rFonts w:eastAsia="Arial"/>
            <w:color w:val="000000" w:themeColor="text1"/>
          </w:rPr>
          <w:t>https://doi.org/10.1016/j.chb.2012.11.024</w:t>
        </w:r>
      </w:hyperlink>
    </w:p>
    <w:p w14:paraId="47D3B16B" w14:textId="77777777" w:rsidR="00B76713" w:rsidRPr="005554ED" w:rsidRDefault="00B76713" w:rsidP="00B76713">
      <w:pPr>
        <w:pStyle w:val="Bibliography"/>
        <w:rPr>
          <w:color w:val="000000" w:themeColor="text1"/>
        </w:rPr>
      </w:pPr>
      <w:r w:rsidRPr="005554ED">
        <w:rPr>
          <w:color w:val="000000" w:themeColor="text1"/>
        </w:rPr>
        <w:t xml:space="preserve">Jackson, S. L. J., Hart, L., Brown, J. T., &amp; </w:t>
      </w:r>
      <w:proofErr w:type="spellStart"/>
      <w:r w:rsidRPr="005554ED">
        <w:rPr>
          <w:color w:val="000000" w:themeColor="text1"/>
        </w:rPr>
        <w:t>Volkmar</w:t>
      </w:r>
      <w:proofErr w:type="spellEnd"/>
      <w:r w:rsidRPr="005554ED">
        <w:rPr>
          <w:color w:val="000000" w:themeColor="text1"/>
        </w:rPr>
        <w:t xml:space="preserve">, F. R. (2018). Brief report: Self-reported academic, social, and mental health experiences of post-secondary students with autism spectrum disorder. </w:t>
      </w:r>
      <w:r w:rsidRPr="005554ED">
        <w:rPr>
          <w:i/>
          <w:iCs/>
          <w:color w:val="000000" w:themeColor="text1"/>
        </w:rPr>
        <w:t>Journal of Autism and Developmental Disorders</w:t>
      </w:r>
      <w:r w:rsidRPr="005554ED">
        <w:rPr>
          <w:color w:val="000000" w:themeColor="text1"/>
        </w:rPr>
        <w:t xml:space="preserve">, </w:t>
      </w:r>
      <w:r w:rsidRPr="005554ED">
        <w:rPr>
          <w:i/>
          <w:iCs/>
          <w:color w:val="000000" w:themeColor="text1"/>
        </w:rPr>
        <w:t>48</w:t>
      </w:r>
      <w:r w:rsidRPr="005554ED">
        <w:rPr>
          <w:color w:val="000000" w:themeColor="text1"/>
        </w:rPr>
        <w:t xml:space="preserve">(3), 643–650. </w:t>
      </w:r>
      <w:hyperlink r:id="rId125" w:history="1">
        <w:r w:rsidRPr="005554ED">
          <w:rPr>
            <w:rStyle w:val="Hyperlink"/>
            <w:rFonts w:eastAsia="Arial"/>
            <w:color w:val="000000" w:themeColor="text1"/>
          </w:rPr>
          <w:t>https://doi.org/10.1007/s10803-017-3315-x</w:t>
        </w:r>
      </w:hyperlink>
    </w:p>
    <w:p w14:paraId="1F4A23F3" w14:textId="77777777" w:rsidR="00B76713" w:rsidRPr="005554ED" w:rsidRDefault="00B76713" w:rsidP="00B76713">
      <w:pPr>
        <w:pStyle w:val="Bibliography"/>
        <w:rPr>
          <w:color w:val="000000" w:themeColor="text1"/>
        </w:rPr>
      </w:pPr>
      <w:r w:rsidRPr="005554ED">
        <w:rPr>
          <w:color w:val="000000" w:themeColor="text1"/>
          <w:lang w:val="de-DE"/>
        </w:rPr>
        <w:t xml:space="preserve">Jia, Z., Wang, Y., Yang, Y., &amp; Yang, L. (2018). </w:t>
      </w:r>
      <w:r w:rsidRPr="005554ED">
        <w:rPr>
          <w:color w:val="000000" w:themeColor="text1"/>
        </w:rPr>
        <w:t xml:space="preserve">Chinese university students’ loneliness and generalized pathological internet use: A longitudinal cross-lagged analysis. </w:t>
      </w:r>
      <w:r w:rsidRPr="005554ED">
        <w:rPr>
          <w:i/>
          <w:iCs/>
          <w:color w:val="000000" w:themeColor="text1"/>
        </w:rPr>
        <w:t>Social Behavior and Personality: An International Journal</w:t>
      </w:r>
      <w:r w:rsidRPr="005554ED">
        <w:rPr>
          <w:color w:val="000000" w:themeColor="text1"/>
        </w:rPr>
        <w:t xml:space="preserve">, </w:t>
      </w:r>
      <w:r w:rsidRPr="005554ED">
        <w:rPr>
          <w:i/>
          <w:iCs/>
          <w:color w:val="000000" w:themeColor="text1"/>
        </w:rPr>
        <w:t>46</w:t>
      </w:r>
      <w:r w:rsidRPr="005554ED">
        <w:rPr>
          <w:color w:val="000000" w:themeColor="text1"/>
        </w:rPr>
        <w:t xml:space="preserve">(5), 861–870. </w:t>
      </w:r>
      <w:hyperlink r:id="rId126" w:history="1">
        <w:r w:rsidRPr="005554ED">
          <w:rPr>
            <w:rStyle w:val="Hyperlink"/>
            <w:rFonts w:eastAsia="Arial"/>
            <w:color w:val="000000" w:themeColor="text1"/>
          </w:rPr>
          <w:t>https://doi.org/10.2224/sbp.6807</w:t>
        </w:r>
      </w:hyperlink>
    </w:p>
    <w:p w14:paraId="7A51DF17" w14:textId="77777777" w:rsidR="00B76713" w:rsidRPr="005554ED" w:rsidRDefault="00B76713" w:rsidP="00B76713">
      <w:pPr>
        <w:pStyle w:val="Bibliography"/>
        <w:rPr>
          <w:color w:val="000000" w:themeColor="text1"/>
        </w:rPr>
      </w:pPr>
      <w:r w:rsidRPr="005554ED">
        <w:rPr>
          <w:color w:val="000000" w:themeColor="text1"/>
        </w:rPr>
        <w:t xml:space="preserve">Jiao, J., &amp; Wang, J. (2018). Can lonely people behave morally? The joint influence of loneliness and empathy on moral identity. </w:t>
      </w:r>
      <w:r w:rsidRPr="005554ED">
        <w:rPr>
          <w:i/>
          <w:iCs/>
          <w:color w:val="000000" w:themeColor="text1"/>
        </w:rPr>
        <w:t>Journal of Consumer Psychology</w:t>
      </w:r>
      <w:r w:rsidRPr="005554ED">
        <w:rPr>
          <w:color w:val="000000" w:themeColor="text1"/>
        </w:rPr>
        <w:t xml:space="preserve">, </w:t>
      </w:r>
      <w:r w:rsidRPr="005554ED">
        <w:rPr>
          <w:i/>
          <w:iCs/>
          <w:color w:val="000000" w:themeColor="text1"/>
        </w:rPr>
        <w:t>28</w:t>
      </w:r>
      <w:r w:rsidRPr="005554ED">
        <w:rPr>
          <w:color w:val="000000" w:themeColor="text1"/>
        </w:rPr>
        <w:t>(4), 597–611.</w:t>
      </w:r>
    </w:p>
    <w:p w14:paraId="31E86FF0" w14:textId="77777777" w:rsidR="00B76713" w:rsidRPr="005554ED" w:rsidRDefault="00B76713" w:rsidP="00B76713">
      <w:pPr>
        <w:pStyle w:val="Bibliography"/>
        <w:rPr>
          <w:color w:val="000000" w:themeColor="text1"/>
        </w:rPr>
      </w:pPr>
      <w:proofErr w:type="spellStart"/>
      <w:r w:rsidRPr="005554ED">
        <w:rPr>
          <w:color w:val="000000" w:themeColor="text1"/>
        </w:rPr>
        <w:t>Jin</w:t>
      </w:r>
      <w:proofErr w:type="spellEnd"/>
      <w:r w:rsidRPr="005554ED">
        <w:rPr>
          <w:color w:val="000000" w:themeColor="text1"/>
        </w:rPr>
        <w:t xml:space="preserve">, B., &amp; Park, N. (2010). In-person contact begets calling and texting: Interpersonal motives for cell phone use, face-to-face interaction, and loneliness. </w:t>
      </w:r>
      <w:r w:rsidRPr="005554ED">
        <w:rPr>
          <w:i/>
          <w:iCs/>
          <w:color w:val="000000" w:themeColor="text1"/>
        </w:rPr>
        <w:t>Cyberpsychology, Behavior, and Social Networking</w:t>
      </w:r>
      <w:r w:rsidRPr="005554ED">
        <w:rPr>
          <w:color w:val="000000" w:themeColor="text1"/>
        </w:rPr>
        <w:t xml:space="preserve">, </w:t>
      </w:r>
      <w:r w:rsidRPr="005554ED">
        <w:rPr>
          <w:i/>
          <w:iCs/>
          <w:color w:val="000000" w:themeColor="text1"/>
        </w:rPr>
        <w:t>13</w:t>
      </w:r>
      <w:r w:rsidRPr="005554ED">
        <w:rPr>
          <w:color w:val="000000" w:themeColor="text1"/>
        </w:rPr>
        <w:t>(6), 611–618.</w:t>
      </w:r>
    </w:p>
    <w:p w14:paraId="3D1B2A52" w14:textId="77777777" w:rsidR="00B76713" w:rsidRPr="005554ED" w:rsidRDefault="00B76713" w:rsidP="00B76713">
      <w:pPr>
        <w:pStyle w:val="Bibliography"/>
        <w:rPr>
          <w:color w:val="000000" w:themeColor="text1"/>
        </w:rPr>
      </w:pPr>
      <w:r w:rsidRPr="005554ED">
        <w:rPr>
          <w:color w:val="000000" w:themeColor="text1"/>
        </w:rPr>
        <w:lastRenderedPageBreak/>
        <w:t xml:space="preserve">Johnson, H. D., Kent, A., &amp; Yale, E. (2012). Examination of identity and romantic relationship intimacy associations with well-being in emerging adulthood. </w:t>
      </w:r>
      <w:r w:rsidRPr="005554ED">
        <w:rPr>
          <w:i/>
          <w:iCs/>
          <w:color w:val="000000" w:themeColor="text1"/>
        </w:rPr>
        <w:t>Identity</w:t>
      </w:r>
      <w:r w:rsidRPr="005554ED">
        <w:rPr>
          <w:color w:val="000000" w:themeColor="text1"/>
        </w:rPr>
        <w:t xml:space="preserve">, </w:t>
      </w:r>
      <w:r w:rsidRPr="005554ED">
        <w:rPr>
          <w:i/>
          <w:iCs/>
          <w:color w:val="000000" w:themeColor="text1"/>
        </w:rPr>
        <w:t>12</w:t>
      </w:r>
      <w:r w:rsidRPr="005554ED">
        <w:rPr>
          <w:color w:val="000000" w:themeColor="text1"/>
        </w:rPr>
        <w:t xml:space="preserve">(4), 296–319. </w:t>
      </w:r>
      <w:hyperlink r:id="rId127" w:history="1">
        <w:r w:rsidRPr="005554ED">
          <w:rPr>
            <w:rStyle w:val="Hyperlink"/>
            <w:rFonts w:eastAsia="Arial"/>
            <w:color w:val="000000" w:themeColor="text1"/>
          </w:rPr>
          <w:t>https://doi.org/10.1080/15283488.2012.716381</w:t>
        </w:r>
      </w:hyperlink>
    </w:p>
    <w:p w14:paraId="5633675A" w14:textId="77777777" w:rsidR="00B76713" w:rsidRPr="005554ED" w:rsidRDefault="00B76713" w:rsidP="00B76713">
      <w:pPr>
        <w:pStyle w:val="Bibliography"/>
        <w:rPr>
          <w:color w:val="000000" w:themeColor="text1"/>
        </w:rPr>
      </w:pPr>
      <w:r w:rsidRPr="005554ED">
        <w:rPr>
          <w:color w:val="000000" w:themeColor="text1"/>
        </w:rPr>
        <w:t xml:space="preserve">Johnson, H. D., </w:t>
      </w:r>
      <w:proofErr w:type="spellStart"/>
      <w:r w:rsidRPr="005554ED">
        <w:rPr>
          <w:color w:val="000000" w:themeColor="text1"/>
        </w:rPr>
        <w:t>Mcnair</w:t>
      </w:r>
      <w:proofErr w:type="spellEnd"/>
      <w:r w:rsidRPr="005554ED">
        <w:rPr>
          <w:color w:val="000000" w:themeColor="text1"/>
        </w:rPr>
        <w:t xml:space="preserve">, R., </w:t>
      </w:r>
      <w:proofErr w:type="spellStart"/>
      <w:r w:rsidRPr="005554ED">
        <w:rPr>
          <w:color w:val="000000" w:themeColor="text1"/>
        </w:rPr>
        <w:t>Vojick</w:t>
      </w:r>
      <w:proofErr w:type="spellEnd"/>
      <w:r w:rsidRPr="005554ED">
        <w:rPr>
          <w:color w:val="000000" w:themeColor="text1"/>
        </w:rPr>
        <w:t xml:space="preserve">, A., Congdon, D., </w:t>
      </w:r>
      <w:proofErr w:type="spellStart"/>
      <w:r w:rsidRPr="005554ED">
        <w:rPr>
          <w:color w:val="000000" w:themeColor="text1"/>
        </w:rPr>
        <w:t>Monacelli</w:t>
      </w:r>
      <w:proofErr w:type="spellEnd"/>
      <w:r w:rsidRPr="005554ED">
        <w:rPr>
          <w:color w:val="000000" w:themeColor="text1"/>
        </w:rPr>
        <w:t xml:space="preserve">, J., &amp; Lamont, J. (2006). Categorial and </w:t>
      </w:r>
      <w:proofErr w:type="spellStart"/>
      <w:r w:rsidRPr="005554ED">
        <w:rPr>
          <w:color w:val="000000" w:themeColor="text1"/>
        </w:rPr>
        <w:t>contnuous</w:t>
      </w:r>
      <w:proofErr w:type="spellEnd"/>
      <w:r w:rsidRPr="005554ED">
        <w:rPr>
          <w:color w:val="000000" w:themeColor="text1"/>
        </w:rPr>
        <w:t xml:space="preserve"> measurement of sex role orientation: Differences in associations with young adults’ reports of well-being. </w:t>
      </w:r>
      <w:r w:rsidRPr="005554ED">
        <w:rPr>
          <w:i/>
          <w:iCs/>
          <w:color w:val="000000" w:themeColor="text1"/>
        </w:rPr>
        <w:t>Social Behavior and Personality: An International Journal</w:t>
      </w:r>
      <w:r w:rsidRPr="005554ED">
        <w:rPr>
          <w:color w:val="000000" w:themeColor="text1"/>
        </w:rPr>
        <w:t xml:space="preserve">, </w:t>
      </w:r>
      <w:r w:rsidRPr="005554ED">
        <w:rPr>
          <w:i/>
          <w:iCs/>
          <w:color w:val="000000" w:themeColor="text1"/>
        </w:rPr>
        <w:t>34</w:t>
      </w:r>
      <w:r w:rsidRPr="005554ED">
        <w:rPr>
          <w:color w:val="000000" w:themeColor="text1"/>
        </w:rPr>
        <w:t xml:space="preserve">(1), 59–76. </w:t>
      </w:r>
      <w:hyperlink r:id="rId128" w:history="1">
        <w:r w:rsidRPr="005554ED">
          <w:rPr>
            <w:rStyle w:val="Hyperlink"/>
            <w:rFonts w:eastAsia="Arial"/>
            <w:color w:val="000000" w:themeColor="text1"/>
          </w:rPr>
          <w:t>https://doi.org/10.2224/sbp.2006.34.1.59</w:t>
        </w:r>
      </w:hyperlink>
    </w:p>
    <w:p w14:paraId="0D10C030" w14:textId="77777777" w:rsidR="00B76713" w:rsidRPr="005554ED" w:rsidRDefault="00B76713" w:rsidP="00B76713">
      <w:pPr>
        <w:pStyle w:val="Bibliography"/>
        <w:rPr>
          <w:color w:val="000000" w:themeColor="text1"/>
        </w:rPr>
      </w:pPr>
      <w:r w:rsidRPr="005554ED">
        <w:rPr>
          <w:color w:val="000000" w:themeColor="text1"/>
        </w:rPr>
        <w:t xml:space="preserve">Joiner, T. E. (1997). Shyness and low social support as interactive diatheses, with loneliness as mediator: Testing an interpersonal-personality view of vulnerability to depressive symptoms. </w:t>
      </w:r>
      <w:r w:rsidRPr="005554ED">
        <w:rPr>
          <w:i/>
          <w:iCs/>
          <w:color w:val="000000" w:themeColor="text1"/>
        </w:rPr>
        <w:t>Journal of Abnormal Psychology</w:t>
      </w:r>
      <w:r w:rsidRPr="005554ED">
        <w:rPr>
          <w:color w:val="000000" w:themeColor="text1"/>
        </w:rPr>
        <w:t xml:space="preserve">, </w:t>
      </w:r>
      <w:r w:rsidRPr="005554ED">
        <w:rPr>
          <w:i/>
          <w:iCs/>
          <w:color w:val="000000" w:themeColor="text1"/>
        </w:rPr>
        <w:t>106</w:t>
      </w:r>
      <w:r w:rsidRPr="005554ED">
        <w:rPr>
          <w:color w:val="000000" w:themeColor="text1"/>
        </w:rPr>
        <w:t xml:space="preserve">(3), 386–394. </w:t>
      </w:r>
      <w:hyperlink r:id="rId129" w:history="1">
        <w:r w:rsidRPr="005554ED">
          <w:rPr>
            <w:rStyle w:val="Hyperlink"/>
            <w:rFonts w:eastAsia="Arial"/>
            <w:color w:val="000000" w:themeColor="text1"/>
          </w:rPr>
          <w:t>https://doi.org/10.1037/0021-843X.106.3.386</w:t>
        </w:r>
      </w:hyperlink>
    </w:p>
    <w:p w14:paraId="56A9B8C5" w14:textId="77777777" w:rsidR="00B76713" w:rsidRPr="005554ED" w:rsidRDefault="00B76713" w:rsidP="00B76713">
      <w:pPr>
        <w:pStyle w:val="Bibliography"/>
        <w:rPr>
          <w:color w:val="000000" w:themeColor="text1"/>
        </w:rPr>
      </w:pPr>
      <w:proofErr w:type="spellStart"/>
      <w:r w:rsidRPr="005554ED">
        <w:rPr>
          <w:color w:val="000000" w:themeColor="text1"/>
        </w:rPr>
        <w:t>Jonason</w:t>
      </w:r>
      <w:proofErr w:type="spellEnd"/>
      <w:r w:rsidRPr="005554ED">
        <w:rPr>
          <w:color w:val="000000" w:themeColor="text1"/>
        </w:rPr>
        <w:t xml:space="preserve">, P. K., Webster, G. D., &amp; Lindsey, A. E. (2008). Solutions to the problem of diminished social interaction. </w:t>
      </w:r>
      <w:r w:rsidRPr="005554ED">
        <w:rPr>
          <w:i/>
          <w:iCs/>
          <w:color w:val="000000" w:themeColor="text1"/>
        </w:rPr>
        <w:t>Evolutionary Psychology</w:t>
      </w:r>
      <w:r w:rsidRPr="005554ED">
        <w:rPr>
          <w:color w:val="000000" w:themeColor="text1"/>
        </w:rPr>
        <w:t xml:space="preserve">, </w:t>
      </w:r>
      <w:r w:rsidRPr="005554ED">
        <w:rPr>
          <w:i/>
          <w:iCs/>
          <w:color w:val="000000" w:themeColor="text1"/>
        </w:rPr>
        <w:t>6</w:t>
      </w:r>
      <w:r w:rsidRPr="005554ED">
        <w:rPr>
          <w:color w:val="000000" w:themeColor="text1"/>
        </w:rPr>
        <w:t xml:space="preserve">(4), 147470490800600. </w:t>
      </w:r>
      <w:hyperlink r:id="rId130" w:history="1">
        <w:r w:rsidRPr="005554ED">
          <w:rPr>
            <w:rStyle w:val="Hyperlink"/>
            <w:rFonts w:eastAsia="Arial"/>
            <w:color w:val="000000" w:themeColor="text1"/>
          </w:rPr>
          <w:t>https://doi.org/10.1177/147470490800600410</w:t>
        </w:r>
      </w:hyperlink>
    </w:p>
    <w:p w14:paraId="48223468" w14:textId="77777777" w:rsidR="00B76713" w:rsidRPr="005554ED" w:rsidRDefault="00B76713" w:rsidP="00B76713">
      <w:pPr>
        <w:pStyle w:val="Bibliography"/>
        <w:rPr>
          <w:color w:val="000000" w:themeColor="text1"/>
        </w:rPr>
      </w:pPr>
      <w:proofErr w:type="spellStart"/>
      <w:r w:rsidRPr="005554ED">
        <w:rPr>
          <w:color w:val="000000" w:themeColor="text1"/>
        </w:rPr>
        <w:t>Juang</w:t>
      </w:r>
      <w:proofErr w:type="spellEnd"/>
      <w:r w:rsidRPr="005554ED">
        <w:rPr>
          <w:color w:val="000000" w:themeColor="text1"/>
        </w:rPr>
        <w:t xml:space="preserve">, L., </w:t>
      </w:r>
      <w:proofErr w:type="spellStart"/>
      <w:r w:rsidRPr="005554ED">
        <w:rPr>
          <w:color w:val="000000" w:themeColor="text1"/>
        </w:rPr>
        <w:t>Ittel</w:t>
      </w:r>
      <w:proofErr w:type="spellEnd"/>
      <w:r w:rsidRPr="005554ED">
        <w:rPr>
          <w:color w:val="000000" w:themeColor="text1"/>
        </w:rPr>
        <w:t xml:space="preserve">, A., </w:t>
      </w:r>
      <w:proofErr w:type="spellStart"/>
      <w:r w:rsidRPr="005554ED">
        <w:rPr>
          <w:color w:val="000000" w:themeColor="text1"/>
        </w:rPr>
        <w:t>Hoferichter</w:t>
      </w:r>
      <w:proofErr w:type="spellEnd"/>
      <w:r w:rsidRPr="005554ED">
        <w:rPr>
          <w:color w:val="000000" w:themeColor="text1"/>
        </w:rPr>
        <w:t xml:space="preserve">, F., &amp; Miriam </w:t>
      </w:r>
      <w:proofErr w:type="spellStart"/>
      <w:r w:rsidRPr="005554ED">
        <w:rPr>
          <w:color w:val="000000" w:themeColor="text1"/>
        </w:rPr>
        <w:t>Gallarin</w:t>
      </w:r>
      <w:proofErr w:type="spellEnd"/>
      <w:r w:rsidRPr="005554ED">
        <w:rPr>
          <w:color w:val="000000" w:themeColor="text1"/>
        </w:rPr>
        <w:t xml:space="preserve">, M. (2016). Perceived racial/ethnic discrimination and adjustment among ethnically diverse college students: Family and peer support as protective factors. </w:t>
      </w:r>
      <w:r w:rsidRPr="005554ED">
        <w:rPr>
          <w:i/>
          <w:iCs/>
          <w:color w:val="000000" w:themeColor="text1"/>
        </w:rPr>
        <w:t>Journal of College Student Development</w:t>
      </w:r>
      <w:r w:rsidRPr="005554ED">
        <w:rPr>
          <w:color w:val="000000" w:themeColor="text1"/>
        </w:rPr>
        <w:t xml:space="preserve">, </w:t>
      </w:r>
      <w:r w:rsidRPr="005554ED">
        <w:rPr>
          <w:i/>
          <w:iCs/>
          <w:color w:val="000000" w:themeColor="text1"/>
        </w:rPr>
        <w:t>57</w:t>
      </w:r>
      <w:r w:rsidRPr="005554ED">
        <w:rPr>
          <w:color w:val="000000" w:themeColor="text1"/>
        </w:rPr>
        <w:t xml:space="preserve">(4), 380–394. </w:t>
      </w:r>
      <w:hyperlink r:id="rId131" w:history="1">
        <w:r w:rsidRPr="005554ED">
          <w:rPr>
            <w:rStyle w:val="Hyperlink"/>
            <w:rFonts w:eastAsia="Arial"/>
            <w:color w:val="000000" w:themeColor="text1"/>
          </w:rPr>
          <w:t>https://doi.org/10.1353/csd.2016.0048</w:t>
        </w:r>
      </w:hyperlink>
    </w:p>
    <w:p w14:paraId="634167A0" w14:textId="77777777" w:rsidR="00B76713" w:rsidRPr="005554ED" w:rsidRDefault="00B76713" w:rsidP="00B76713">
      <w:pPr>
        <w:pStyle w:val="Bibliography"/>
        <w:rPr>
          <w:color w:val="000000" w:themeColor="text1"/>
        </w:rPr>
      </w:pPr>
      <w:r w:rsidRPr="005554ED">
        <w:rPr>
          <w:color w:val="000000" w:themeColor="text1"/>
        </w:rPr>
        <w:t xml:space="preserve">Kang, S. (2007). Disembodiment in online social interaction: Impact of online chat on social support and psychosocial well-being. </w:t>
      </w:r>
      <w:r w:rsidRPr="005554ED">
        <w:rPr>
          <w:i/>
          <w:iCs/>
          <w:color w:val="000000" w:themeColor="text1"/>
        </w:rPr>
        <w:t xml:space="preserve">Cyberpsychology &amp; </w:t>
      </w:r>
      <w:proofErr w:type="gramStart"/>
      <w:r w:rsidRPr="005554ED">
        <w:rPr>
          <w:i/>
          <w:iCs/>
          <w:color w:val="000000" w:themeColor="text1"/>
        </w:rPr>
        <w:t>Behavior :</w:t>
      </w:r>
      <w:proofErr w:type="gramEnd"/>
      <w:r w:rsidRPr="005554ED">
        <w:rPr>
          <w:i/>
          <w:iCs/>
          <w:color w:val="000000" w:themeColor="text1"/>
        </w:rPr>
        <w:t xml:space="preserve"> The Impact of the Internet, Multimedia and Virtual Reality on Behavior and Society</w:t>
      </w:r>
      <w:r w:rsidRPr="005554ED">
        <w:rPr>
          <w:color w:val="000000" w:themeColor="text1"/>
        </w:rPr>
        <w:t xml:space="preserve">, </w:t>
      </w:r>
      <w:r w:rsidRPr="005554ED">
        <w:rPr>
          <w:i/>
          <w:iCs/>
          <w:color w:val="000000" w:themeColor="text1"/>
        </w:rPr>
        <w:t>10</w:t>
      </w:r>
      <w:r w:rsidRPr="005554ED">
        <w:rPr>
          <w:color w:val="000000" w:themeColor="text1"/>
        </w:rPr>
        <w:t xml:space="preserve">(3), 475–477. </w:t>
      </w:r>
      <w:hyperlink r:id="rId132" w:history="1">
        <w:r w:rsidRPr="005554ED">
          <w:rPr>
            <w:rStyle w:val="Hyperlink"/>
            <w:rFonts w:eastAsia="Arial"/>
            <w:color w:val="000000" w:themeColor="text1"/>
          </w:rPr>
          <w:t>https://doi.org/10.1089/cpb.2006.9929</w:t>
        </w:r>
      </w:hyperlink>
    </w:p>
    <w:p w14:paraId="5F3149E7" w14:textId="77777777" w:rsidR="00B76713" w:rsidRPr="005554ED" w:rsidRDefault="00B76713" w:rsidP="00B76713">
      <w:pPr>
        <w:pStyle w:val="Bibliography"/>
        <w:rPr>
          <w:color w:val="000000" w:themeColor="text1"/>
        </w:rPr>
      </w:pPr>
      <w:r w:rsidRPr="005554ED">
        <w:rPr>
          <w:color w:val="000000" w:themeColor="text1"/>
        </w:rPr>
        <w:lastRenderedPageBreak/>
        <w:t xml:space="preserve">Kearney, M. A., </w:t>
      </w:r>
      <w:proofErr w:type="spellStart"/>
      <w:r w:rsidRPr="005554ED">
        <w:rPr>
          <w:color w:val="000000" w:themeColor="text1"/>
        </w:rPr>
        <w:t>Zeligman</w:t>
      </w:r>
      <w:proofErr w:type="spellEnd"/>
      <w:r w:rsidRPr="005554ED">
        <w:rPr>
          <w:color w:val="000000" w:themeColor="text1"/>
        </w:rPr>
        <w:t xml:space="preserve">, M., </w:t>
      </w:r>
      <w:proofErr w:type="spellStart"/>
      <w:r w:rsidRPr="005554ED">
        <w:rPr>
          <w:color w:val="000000" w:themeColor="text1"/>
        </w:rPr>
        <w:t>Brack</w:t>
      </w:r>
      <w:proofErr w:type="spellEnd"/>
      <w:r w:rsidRPr="005554ED">
        <w:rPr>
          <w:color w:val="000000" w:themeColor="text1"/>
        </w:rPr>
        <w:t xml:space="preserve">, J. L., &amp; Payne, E. (2018). Trauma and dissociation: Predictors of loneliness in students at an urban university. </w:t>
      </w:r>
      <w:r w:rsidRPr="005554ED">
        <w:rPr>
          <w:i/>
          <w:iCs/>
          <w:color w:val="000000" w:themeColor="text1"/>
        </w:rPr>
        <w:t>Journal of College Counseling</w:t>
      </w:r>
      <w:r w:rsidRPr="005554ED">
        <w:rPr>
          <w:color w:val="000000" w:themeColor="text1"/>
        </w:rPr>
        <w:t xml:space="preserve">, </w:t>
      </w:r>
      <w:r w:rsidRPr="005554ED">
        <w:rPr>
          <w:i/>
          <w:iCs/>
          <w:color w:val="000000" w:themeColor="text1"/>
        </w:rPr>
        <w:t>21</w:t>
      </w:r>
      <w:r w:rsidRPr="005554ED">
        <w:rPr>
          <w:color w:val="000000" w:themeColor="text1"/>
        </w:rPr>
        <w:t xml:space="preserve">(2), 165–179. </w:t>
      </w:r>
      <w:hyperlink r:id="rId133" w:history="1">
        <w:r w:rsidRPr="005554ED">
          <w:rPr>
            <w:rStyle w:val="Hyperlink"/>
            <w:rFonts w:eastAsia="Arial"/>
            <w:color w:val="000000" w:themeColor="text1"/>
          </w:rPr>
          <w:t>https://doi.org/10.1002/jocc.12095</w:t>
        </w:r>
      </w:hyperlink>
    </w:p>
    <w:p w14:paraId="00ED0886" w14:textId="77777777" w:rsidR="00B76713" w:rsidRPr="005554ED" w:rsidRDefault="00B76713" w:rsidP="00B76713">
      <w:pPr>
        <w:pStyle w:val="Bibliography"/>
        <w:rPr>
          <w:color w:val="000000" w:themeColor="text1"/>
        </w:rPr>
      </w:pPr>
      <w:r w:rsidRPr="005554ED">
        <w:rPr>
          <w:color w:val="000000" w:themeColor="text1"/>
        </w:rPr>
        <w:t xml:space="preserve">Kim, </w:t>
      </w:r>
      <w:proofErr w:type="spellStart"/>
      <w:r w:rsidRPr="005554ED">
        <w:rPr>
          <w:color w:val="000000" w:themeColor="text1"/>
        </w:rPr>
        <w:t>Jinkwan</w:t>
      </w:r>
      <w:proofErr w:type="spellEnd"/>
      <w:r w:rsidRPr="005554ED">
        <w:rPr>
          <w:color w:val="000000" w:themeColor="text1"/>
        </w:rPr>
        <w:t xml:space="preserve">, </w:t>
      </w:r>
      <w:proofErr w:type="spellStart"/>
      <w:r w:rsidRPr="005554ED">
        <w:rPr>
          <w:color w:val="000000" w:themeColor="text1"/>
        </w:rPr>
        <w:t>Rapee</w:t>
      </w:r>
      <w:proofErr w:type="spellEnd"/>
      <w:r w:rsidRPr="005554ED">
        <w:rPr>
          <w:color w:val="000000" w:themeColor="text1"/>
        </w:rPr>
        <w:t xml:space="preserve">, R. M., Ja Oh, K., &amp; Moon, H.-S. (2008). Retrospective report of social withdrawal during adolescence and current maladjustment in young adulthood: Cross-cultural comparisons between Australian and South Korean students. </w:t>
      </w:r>
      <w:r w:rsidRPr="005554ED">
        <w:rPr>
          <w:i/>
          <w:iCs/>
          <w:color w:val="000000" w:themeColor="text1"/>
        </w:rPr>
        <w:t>Journal of Adolescence</w:t>
      </w:r>
      <w:r w:rsidRPr="005554ED">
        <w:rPr>
          <w:color w:val="000000" w:themeColor="text1"/>
        </w:rPr>
        <w:t xml:space="preserve">, </w:t>
      </w:r>
      <w:r w:rsidRPr="005554ED">
        <w:rPr>
          <w:i/>
          <w:iCs/>
          <w:color w:val="000000" w:themeColor="text1"/>
        </w:rPr>
        <w:t>31</w:t>
      </w:r>
      <w:r w:rsidRPr="005554ED">
        <w:rPr>
          <w:color w:val="000000" w:themeColor="text1"/>
        </w:rPr>
        <w:t xml:space="preserve">(5), 543–563. </w:t>
      </w:r>
      <w:hyperlink r:id="rId134" w:history="1">
        <w:r w:rsidRPr="005554ED">
          <w:rPr>
            <w:rStyle w:val="Hyperlink"/>
            <w:rFonts w:eastAsia="Arial"/>
            <w:color w:val="000000" w:themeColor="text1"/>
          </w:rPr>
          <w:t>https://doi.org/10.1016/j.adolescence.2007.10.011</w:t>
        </w:r>
      </w:hyperlink>
    </w:p>
    <w:p w14:paraId="206CBBD9" w14:textId="77777777" w:rsidR="00B76713" w:rsidRPr="005554ED" w:rsidRDefault="00B76713" w:rsidP="00B76713">
      <w:pPr>
        <w:pStyle w:val="Bibliography"/>
        <w:rPr>
          <w:color w:val="000000" w:themeColor="text1"/>
        </w:rPr>
      </w:pPr>
      <w:r w:rsidRPr="005554ED">
        <w:rPr>
          <w:color w:val="000000" w:themeColor="text1"/>
        </w:rPr>
        <w:t xml:space="preserve">Kim, </w:t>
      </w:r>
      <w:proofErr w:type="spellStart"/>
      <w:r w:rsidRPr="005554ED">
        <w:rPr>
          <w:color w:val="000000" w:themeColor="text1"/>
        </w:rPr>
        <w:t>Junghyun</w:t>
      </w:r>
      <w:proofErr w:type="spellEnd"/>
      <w:r w:rsidRPr="005554ED">
        <w:rPr>
          <w:color w:val="000000" w:themeColor="text1"/>
        </w:rPr>
        <w:t xml:space="preserve">, &amp; </w:t>
      </w:r>
      <w:proofErr w:type="spellStart"/>
      <w:r w:rsidRPr="005554ED">
        <w:rPr>
          <w:color w:val="000000" w:themeColor="text1"/>
        </w:rPr>
        <w:t>Haridakis</w:t>
      </w:r>
      <w:proofErr w:type="spellEnd"/>
      <w:r w:rsidRPr="005554ED">
        <w:rPr>
          <w:color w:val="000000" w:themeColor="text1"/>
        </w:rPr>
        <w:t xml:space="preserve">, P. M. (2009). The role of Internet user characteristics and motives in explaining three dimensions of Internet addiction. </w:t>
      </w:r>
      <w:r w:rsidRPr="005554ED">
        <w:rPr>
          <w:i/>
          <w:iCs/>
          <w:color w:val="000000" w:themeColor="text1"/>
        </w:rPr>
        <w:t>Journal of Computer-Mediated Communication</w:t>
      </w:r>
      <w:r w:rsidRPr="005554ED">
        <w:rPr>
          <w:color w:val="000000" w:themeColor="text1"/>
        </w:rPr>
        <w:t xml:space="preserve">, </w:t>
      </w:r>
      <w:r w:rsidRPr="005554ED">
        <w:rPr>
          <w:i/>
          <w:iCs/>
          <w:color w:val="000000" w:themeColor="text1"/>
        </w:rPr>
        <w:t>14</w:t>
      </w:r>
      <w:r w:rsidRPr="005554ED">
        <w:rPr>
          <w:color w:val="000000" w:themeColor="text1"/>
        </w:rPr>
        <w:t xml:space="preserve">(4), 988–1015. </w:t>
      </w:r>
      <w:hyperlink r:id="rId135" w:history="1">
        <w:r w:rsidRPr="005554ED">
          <w:rPr>
            <w:rStyle w:val="Hyperlink"/>
            <w:rFonts w:eastAsia="Arial"/>
            <w:color w:val="000000" w:themeColor="text1"/>
          </w:rPr>
          <w:t>https://doi.org/10.1111/j.1083-6101.2009.01478.x</w:t>
        </w:r>
      </w:hyperlink>
    </w:p>
    <w:p w14:paraId="066F2C09" w14:textId="77777777" w:rsidR="00B76713" w:rsidRPr="005554ED" w:rsidRDefault="00B76713" w:rsidP="00B76713">
      <w:pPr>
        <w:pStyle w:val="Bibliography"/>
        <w:rPr>
          <w:color w:val="000000" w:themeColor="text1"/>
        </w:rPr>
      </w:pPr>
      <w:r w:rsidRPr="005554ED">
        <w:rPr>
          <w:color w:val="000000" w:themeColor="text1"/>
        </w:rPr>
        <w:t xml:space="preserve">Kim, O. (2001). Sex differences in social support, loneliness, and depression among Korean college students. </w:t>
      </w:r>
      <w:r w:rsidRPr="005554ED">
        <w:rPr>
          <w:i/>
          <w:iCs/>
          <w:color w:val="000000" w:themeColor="text1"/>
        </w:rPr>
        <w:t>Psychological Reports</w:t>
      </w:r>
      <w:r w:rsidRPr="005554ED">
        <w:rPr>
          <w:color w:val="000000" w:themeColor="text1"/>
        </w:rPr>
        <w:t xml:space="preserve">, </w:t>
      </w:r>
      <w:r w:rsidRPr="005554ED">
        <w:rPr>
          <w:i/>
          <w:iCs/>
          <w:color w:val="000000" w:themeColor="text1"/>
        </w:rPr>
        <w:t>88</w:t>
      </w:r>
      <w:r w:rsidRPr="005554ED">
        <w:rPr>
          <w:color w:val="000000" w:themeColor="text1"/>
        </w:rPr>
        <w:t xml:space="preserve">(2), 521. </w:t>
      </w:r>
      <w:hyperlink r:id="rId136" w:history="1">
        <w:r w:rsidRPr="005554ED">
          <w:rPr>
            <w:rStyle w:val="Hyperlink"/>
            <w:rFonts w:eastAsia="Arial"/>
            <w:color w:val="000000" w:themeColor="text1"/>
          </w:rPr>
          <w:t>https://doi.org/10.2466/PR0.88.2.521-526</w:t>
        </w:r>
      </w:hyperlink>
    </w:p>
    <w:p w14:paraId="71F8F6B9" w14:textId="77777777" w:rsidR="00B76713" w:rsidRPr="005554ED" w:rsidRDefault="00B76713" w:rsidP="00B76713">
      <w:pPr>
        <w:pStyle w:val="Bibliography"/>
        <w:rPr>
          <w:color w:val="000000" w:themeColor="text1"/>
        </w:rPr>
      </w:pPr>
      <w:proofErr w:type="spellStart"/>
      <w:r w:rsidRPr="005554ED">
        <w:rPr>
          <w:color w:val="000000" w:themeColor="text1"/>
        </w:rPr>
        <w:t>Kircaburun</w:t>
      </w:r>
      <w:proofErr w:type="spellEnd"/>
      <w:r w:rsidRPr="005554ED">
        <w:rPr>
          <w:color w:val="000000" w:themeColor="text1"/>
        </w:rPr>
        <w:t xml:space="preserve">, K., Griffiths, M. D., </w:t>
      </w:r>
      <w:proofErr w:type="spellStart"/>
      <w:r w:rsidRPr="005554ED">
        <w:rPr>
          <w:color w:val="000000" w:themeColor="text1"/>
        </w:rPr>
        <w:t>Şahin</w:t>
      </w:r>
      <w:proofErr w:type="spellEnd"/>
      <w:r w:rsidRPr="005554ED">
        <w:rPr>
          <w:color w:val="000000" w:themeColor="text1"/>
        </w:rPr>
        <w:t xml:space="preserve">, F., </w:t>
      </w:r>
      <w:proofErr w:type="spellStart"/>
      <w:r w:rsidRPr="005554ED">
        <w:rPr>
          <w:color w:val="000000" w:themeColor="text1"/>
        </w:rPr>
        <w:t>Bahtiyar</w:t>
      </w:r>
      <w:proofErr w:type="spellEnd"/>
      <w:r w:rsidRPr="005554ED">
        <w:rPr>
          <w:color w:val="000000" w:themeColor="text1"/>
        </w:rPr>
        <w:t xml:space="preserve">, M., </w:t>
      </w:r>
      <w:proofErr w:type="spellStart"/>
      <w:r w:rsidRPr="005554ED">
        <w:rPr>
          <w:color w:val="000000" w:themeColor="text1"/>
        </w:rPr>
        <w:t>Atmaca</w:t>
      </w:r>
      <w:proofErr w:type="spellEnd"/>
      <w:r w:rsidRPr="005554ED">
        <w:rPr>
          <w:color w:val="000000" w:themeColor="text1"/>
        </w:rPr>
        <w:t xml:space="preserve">, T., &amp; </w:t>
      </w:r>
      <w:proofErr w:type="spellStart"/>
      <w:r w:rsidRPr="005554ED">
        <w:rPr>
          <w:color w:val="000000" w:themeColor="text1"/>
        </w:rPr>
        <w:t>Tosuntaş</w:t>
      </w:r>
      <w:proofErr w:type="spellEnd"/>
      <w:r w:rsidRPr="005554ED">
        <w:rPr>
          <w:color w:val="000000" w:themeColor="text1"/>
        </w:rPr>
        <w:t xml:space="preserve">, Ş. B. (2020). The mediating role of self/everyday creativity and depression on the relationship between creative personality traits and problematic social media use among emerging adults. </w:t>
      </w:r>
      <w:r w:rsidRPr="005554ED">
        <w:rPr>
          <w:i/>
          <w:iCs/>
          <w:color w:val="000000" w:themeColor="text1"/>
        </w:rPr>
        <w:t>International Journal of Mental Health and Addiction</w:t>
      </w:r>
      <w:r w:rsidRPr="005554ED">
        <w:rPr>
          <w:color w:val="000000" w:themeColor="text1"/>
        </w:rPr>
        <w:t xml:space="preserve">, </w:t>
      </w:r>
      <w:r w:rsidRPr="005554ED">
        <w:rPr>
          <w:i/>
          <w:iCs/>
          <w:color w:val="000000" w:themeColor="text1"/>
        </w:rPr>
        <w:t>18</w:t>
      </w:r>
      <w:r w:rsidRPr="005554ED">
        <w:rPr>
          <w:color w:val="000000" w:themeColor="text1"/>
        </w:rPr>
        <w:t xml:space="preserve">(1), 77–88. </w:t>
      </w:r>
      <w:hyperlink r:id="rId137" w:history="1">
        <w:r w:rsidRPr="005554ED">
          <w:rPr>
            <w:rStyle w:val="Hyperlink"/>
            <w:rFonts w:eastAsia="Arial"/>
            <w:color w:val="000000" w:themeColor="text1"/>
          </w:rPr>
          <w:t>https://doi.org/10.1007/s11469-018-9938-0</w:t>
        </w:r>
      </w:hyperlink>
    </w:p>
    <w:p w14:paraId="771E0829" w14:textId="77777777" w:rsidR="00B76713" w:rsidRPr="005554ED" w:rsidRDefault="00B76713" w:rsidP="00B76713">
      <w:pPr>
        <w:pStyle w:val="Bibliography"/>
        <w:rPr>
          <w:color w:val="000000" w:themeColor="text1"/>
        </w:rPr>
      </w:pPr>
      <w:proofErr w:type="spellStart"/>
      <w:r w:rsidRPr="005554ED">
        <w:rPr>
          <w:color w:val="000000" w:themeColor="text1"/>
        </w:rPr>
        <w:t>Koç</w:t>
      </w:r>
      <w:proofErr w:type="spellEnd"/>
      <w:r w:rsidRPr="005554ED">
        <w:rPr>
          <w:color w:val="000000" w:themeColor="text1"/>
        </w:rPr>
        <w:t xml:space="preserve">, M., &amp; </w:t>
      </w:r>
      <w:proofErr w:type="spellStart"/>
      <w:r w:rsidRPr="005554ED">
        <w:rPr>
          <w:color w:val="000000" w:themeColor="text1"/>
        </w:rPr>
        <w:t>Ferneding</w:t>
      </w:r>
      <w:proofErr w:type="spellEnd"/>
      <w:r w:rsidRPr="005554ED">
        <w:rPr>
          <w:color w:val="000000" w:themeColor="text1"/>
        </w:rPr>
        <w:t xml:space="preserve">, K. A. (2007). The consequences of internet café use on Turkish college students’ social capital. </w:t>
      </w:r>
      <w:r w:rsidRPr="005554ED">
        <w:rPr>
          <w:i/>
          <w:iCs/>
          <w:color w:val="000000" w:themeColor="text1"/>
        </w:rPr>
        <w:t>Turkish Online Journal of Educational Technology-TOJET</w:t>
      </w:r>
      <w:r w:rsidRPr="005554ED">
        <w:rPr>
          <w:color w:val="000000" w:themeColor="text1"/>
        </w:rPr>
        <w:t xml:space="preserve">, </w:t>
      </w:r>
      <w:r w:rsidRPr="005554ED">
        <w:rPr>
          <w:i/>
          <w:iCs/>
          <w:color w:val="000000" w:themeColor="text1"/>
        </w:rPr>
        <w:t>6</w:t>
      </w:r>
      <w:r w:rsidRPr="005554ED">
        <w:rPr>
          <w:color w:val="000000" w:themeColor="text1"/>
        </w:rPr>
        <w:t>(3), 88–97.</w:t>
      </w:r>
    </w:p>
    <w:p w14:paraId="562BF32C" w14:textId="77777777" w:rsidR="00B76713" w:rsidRPr="005554ED" w:rsidRDefault="00B76713" w:rsidP="00B76713">
      <w:pPr>
        <w:pStyle w:val="Bibliography"/>
        <w:rPr>
          <w:color w:val="000000" w:themeColor="text1"/>
        </w:rPr>
      </w:pPr>
      <w:r w:rsidRPr="005554ED">
        <w:rPr>
          <w:color w:val="000000" w:themeColor="text1"/>
        </w:rPr>
        <w:t xml:space="preserve">Koenig, J., &amp; Thayer, J. F. (2020). </w:t>
      </w:r>
      <w:r w:rsidRPr="005554ED">
        <w:rPr>
          <w:i/>
          <w:iCs/>
          <w:color w:val="000000" w:themeColor="text1"/>
        </w:rPr>
        <w:t>Ethnic Differences in the Experience of Noxious Stimuli – The EDENS Study</w:t>
      </w:r>
      <w:r w:rsidRPr="005554ED">
        <w:rPr>
          <w:color w:val="000000" w:themeColor="text1"/>
        </w:rPr>
        <w:t xml:space="preserve"> [Unpublished raw data].</w:t>
      </w:r>
    </w:p>
    <w:p w14:paraId="6F1CB693" w14:textId="77777777" w:rsidR="00B76713" w:rsidRPr="005554ED" w:rsidRDefault="00B76713" w:rsidP="00B76713">
      <w:pPr>
        <w:pStyle w:val="Bibliography"/>
        <w:rPr>
          <w:color w:val="000000" w:themeColor="text1"/>
        </w:rPr>
      </w:pPr>
      <w:r w:rsidRPr="005554ED">
        <w:rPr>
          <w:color w:val="000000" w:themeColor="text1"/>
          <w:lang w:val="de-DE"/>
        </w:rPr>
        <w:lastRenderedPageBreak/>
        <w:t xml:space="preserve">Kong, X., Wei, D., Li, W., Cun, L., Xue, S., Zhang, Q., &amp; Qiu, J. (2015). </w:t>
      </w:r>
      <w:r w:rsidRPr="005554ED">
        <w:rPr>
          <w:color w:val="000000" w:themeColor="text1"/>
        </w:rPr>
        <w:t xml:space="preserve">Neuroticism and extraversion mediate the association between loneliness and the dorsolateral prefrontal cortex. </w:t>
      </w:r>
      <w:r w:rsidRPr="005554ED">
        <w:rPr>
          <w:i/>
          <w:iCs/>
          <w:color w:val="000000" w:themeColor="text1"/>
        </w:rPr>
        <w:t>Experimental Brain Research</w:t>
      </w:r>
      <w:r w:rsidRPr="005554ED">
        <w:rPr>
          <w:color w:val="000000" w:themeColor="text1"/>
        </w:rPr>
        <w:t xml:space="preserve">, </w:t>
      </w:r>
      <w:r w:rsidRPr="005554ED">
        <w:rPr>
          <w:i/>
          <w:iCs/>
          <w:color w:val="000000" w:themeColor="text1"/>
        </w:rPr>
        <w:t>233</w:t>
      </w:r>
      <w:r w:rsidRPr="005554ED">
        <w:rPr>
          <w:color w:val="000000" w:themeColor="text1"/>
        </w:rPr>
        <w:t xml:space="preserve">(1), 157–164. </w:t>
      </w:r>
      <w:hyperlink r:id="rId138" w:history="1">
        <w:r w:rsidRPr="005554ED">
          <w:rPr>
            <w:rStyle w:val="Hyperlink"/>
            <w:rFonts w:eastAsia="Arial"/>
            <w:color w:val="000000" w:themeColor="text1"/>
          </w:rPr>
          <w:t>https://doi.org/10.1007/s00221-014-4097-4</w:t>
        </w:r>
      </w:hyperlink>
    </w:p>
    <w:p w14:paraId="3B950C34" w14:textId="77777777" w:rsidR="00B76713" w:rsidRPr="005554ED" w:rsidRDefault="00B76713" w:rsidP="00B76713">
      <w:pPr>
        <w:pStyle w:val="Bibliography"/>
        <w:rPr>
          <w:color w:val="000000" w:themeColor="text1"/>
        </w:rPr>
      </w:pPr>
      <w:proofErr w:type="spellStart"/>
      <w:r w:rsidRPr="005554ED">
        <w:rPr>
          <w:color w:val="000000" w:themeColor="text1"/>
        </w:rPr>
        <w:t>Krasko</w:t>
      </w:r>
      <w:proofErr w:type="spellEnd"/>
      <w:r w:rsidRPr="005554ED">
        <w:rPr>
          <w:color w:val="000000" w:themeColor="text1"/>
        </w:rPr>
        <w:t xml:space="preserve">, J., Gollan, N., &amp; Koch, T. (2019). </w:t>
      </w:r>
      <w:r w:rsidRPr="005554ED">
        <w:rPr>
          <w:i/>
          <w:iCs/>
          <w:color w:val="000000" w:themeColor="text1"/>
        </w:rPr>
        <w:t>Digital Well-Being</w:t>
      </w:r>
      <w:r w:rsidRPr="005554ED">
        <w:rPr>
          <w:color w:val="000000" w:themeColor="text1"/>
        </w:rPr>
        <w:t xml:space="preserve"> [Unpublished raw data].</w:t>
      </w:r>
    </w:p>
    <w:p w14:paraId="600208D2" w14:textId="77777777" w:rsidR="00B76713" w:rsidRPr="005554ED" w:rsidRDefault="00B76713" w:rsidP="00B76713">
      <w:pPr>
        <w:pStyle w:val="Bibliography"/>
        <w:rPr>
          <w:color w:val="000000" w:themeColor="text1"/>
        </w:rPr>
      </w:pPr>
      <w:r w:rsidRPr="005554ED">
        <w:rPr>
          <w:color w:val="000000" w:themeColor="text1"/>
          <w:lang w:val="de-DE"/>
        </w:rPr>
        <w:t xml:space="preserve">Kraus, L. A., Davis, M. H., Bazzini, D., Church, M., &amp; Kirchman, C. M. (1993). </w:t>
      </w:r>
      <w:r w:rsidRPr="005554ED">
        <w:rPr>
          <w:color w:val="000000" w:themeColor="text1"/>
        </w:rPr>
        <w:t xml:space="preserve">Personal and social influences on loneliness: The mediating effect of social provisions. </w:t>
      </w:r>
      <w:r w:rsidRPr="005554ED">
        <w:rPr>
          <w:i/>
          <w:iCs/>
          <w:color w:val="000000" w:themeColor="text1"/>
        </w:rPr>
        <w:t>Social Psychology Quarterly</w:t>
      </w:r>
      <w:r w:rsidRPr="005554ED">
        <w:rPr>
          <w:color w:val="000000" w:themeColor="text1"/>
        </w:rPr>
        <w:t xml:space="preserve">, </w:t>
      </w:r>
      <w:r w:rsidRPr="005554ED">
        <w:rPr>
          <w:i/>
          <w:iCs/>
          <w:color w:val="000000" w:themeColor="text1"/>
        </w:rPr>
        <w:t>56</w:t>
      </w:r>
      <w:r w:rsidRPr="005554ED">
        <w:rPr>
          <w:color w:val="000000" w:themeColor="text1"/>
        </w:rPr>
        <w:t xml:space="preserve">(1), 37. </w:t>
      </w:r>
      <w:hyperlink r:id="rId139" w:history="1">
        <w:r w:rsidRPr="005554ED">
          <w:rPr>
            <w:rStyle w:val="Hyperlink"/>
            <w:rFonts w:eastAsia="Arial"/>
            <w:color w:val="000000" w:themeColor="text1"/>
          </w:rPr>
          <w:t>https://doi.org/10.2307/2786644</w:t>
        </w:r>
      </w:hyperlink>
    </w:p>
    <w:p w14:paraId="491949A3" w14:textId="77777777" w:rsidR="00B76713" w:rsidRPr="005554ED" w:rsidRDefault="00B76713" w:rsidP="00B76713">
      <w:pPr>
        <w:pStyle w:val="Bibliography"/>
        <w:rPr>
          <w:color w:val="000000" w:themeColor="text1"/>
        </w:rPr>
      </w:pPr>
      <w:r w:rsidRPr="005554ED">
        <w:rPr>
          <w:color w:val="000000" w:themeColor="text1"/>
        </w:rPr>
        <w:t xml:space="preserve">Kumar, S. A., &amp; </w:t>
      </w:r>
      <w:proofErr w:type="spellStart"/>
      <w:r w:rsidRPr="005554ED">
        <w:rPr>
          <w:color w:val="000000" w:themeColor="text1"/>
        </w:rPr>
        <w:t>Mattanah</w:t>
      </w:r>
      <w:proofErr w:type="spellEnd"/>
      <w:r w:rsidRPr="005554ED">
        <w:rPr>
          <w:color w:val="000000" w:themeColor="text1"/>
        </w:rPr>
        <w:t xml:space="preserve">, J. F. (2018). Interparental conflict, parental intrusiveness, and interpersonal functioning in emerging adulthood. </w:t>
      </w:r>
      <w:r w:rsidRPr="005554ED">
        <w:rPr>
          <w:i/>
          <w:iCs/>
          <w:color w:val="000000" w:themeColor="text1"/>
        </w:rPr>
        <w:t>Personal Relationships</w:t>
      </w:r>
      <w:r w:rsidRPr="005554ED">
        <w:rPr>
          <w:color w:val="000000" w:themeColor="text1"/>
        </w:rPr>
        <w:t xml:space="preserve">, </w:t>
      </w:r>
      <w:r w:rsidRPr="005554ED">
        <w:rPr>
          <w:i/>
          <w:iCs/>
          <w:color w:val="000000" w:themeColor="text1"/>
        </w:rPr>
        <w:t>25</w:t>
      </w:r>
      <w:r w:rsidRPr="005554ED">
        <w:rPr>
          <w:color w:val="000000" w:themeColor="text1"/>
        </w:rPr>
        <w:t xml:space="preserve">(1), 120–133. </w:t>
      </w:r>
      <w:hyperlink r:id="rId140" w:history="1">
        <w:r w:rsidRPr="005554ED">
          <w:rPr>
            <w:rStyle w:val="Hyperlink"/>
            <w:rFonts w:eastAsia="Arial"/>
            <w:color w:val="000000" w:themeColor="text1"/>
          </w:rPr>
          <w:t>https://doi.org/10.1111/pere.12231</w:t>
        </w:r>
      </w:hyperlink>
    </w:p>
    <w:p w14:paraId="6A2ADAE3" w14:textId="77777777" w:rsidR="00B76713" w:rsidRPr="005554ED" w:rsidRDefault="00B76713" w:rsidP="00B76713">
      <w:pPr>
        <w:pStyle w:val="Bibliography"/>
        <w:rPr>
          <w:color w:val="000000" w:themeColor="text1"/>
        </w:rPr>
      </w:pPr>
      <w:proofErr w:type="spellStart"/>
      <w:r w:rsidRPr="005554ED">
        <w:rPr>
          <w:color w:val="000000" w:themeColor="text1"/>
        </w:rPr>
        <w:t>Lamis</w:t>
      </w:r>
      <w:proofErr w:type="spellEnd"/>
      <w:r w:rsidRPr="005554ED">
        <w:rPr>
          <w:color w:val="000000" w:themeColor="text1"/>
        </w:rPr>
        <w:t xml:space="preserve">, D. A., Ballard, E. D., &amp; Patel, A. B. (2014). Loneliness and suicidal ideation in drug-using college students. </w:t>
      </w:r>
      <w:r w:rsidRPr="005554ED">
        <w:rPr>
          <w:i/>
          <w:iCs/>
          <w:color w:val="000000" w:themeColor="text1"/>
        </w:rPr>
        <w:t>Suicide &amp; Life-Threatening Behavior</w:t>
      </w:r>
      <w:r w:rsidRPr="005554ED">
        <w:rPr>
          <w:color w:val="000000" w:themeColor="text1"/>
        </w:rPr>
        <w:t xml:space="preserve">, </w:t>
      </w:r>
      <w:r w:rsidRPr="005554ED">
        <w:rPr>
          <w:i/>
          <w:iCs/>
          <w:color w:val="000000" w:themeColor="text1"/>
        </w:rPr>
        <w:t>44</w:t>
      </w:r>
      <w:r w:rsidRPr="005554ED">
        <w:rPr>
          <w:color w:val="000000" w:themeColor="text1"/>
        </w:rPr>
        <w:t xml:space="preserve">(6), 629–640. </w:t>
      </w:r>
      <w:hyperlink r:id="rId141" w:history="1">
        <w:r w:rsidRPr="005554ED">
          <w:rPr>
            <w:rStyle w:val="Hyperlink"/>
            <w:rFonts w:eastAsia="Arial"/>
            <w:color w:val="000000" w:themeColor="text1"/>
          </w:rPr>
          <w:t>https://doi.org/10.1111/sltb.12095</w:t>
        </w:r>
      </w:hyperlink>
    </w:p>
    <w:p w14:paraId="091C2D28" w14:textId="77777777" w:rsidR="00B76713" w:rsidRPr="005554ED" w:rsidRDefault="00B76713" w:rsidP="00B76713">
      <w:pPr>
        <w:pStyle w:val="Bibliography"/>
        <w:rPr>
          <w:color w:val="000000" w:themeColor="text1"/>
          <w:lang w:val="de-DE"/>
        </w:rPr>
      </w:pPr>
      <w:proofErr w:type="spellStart"/>
      <w:r w:rsidRPr="005554ED">
        <w:rPr>
          <w:color w:val="000000" w:themeColor="text1"/>
        </w:rPr>
        <w:t>Lamm</w:t>
      </w:r>
      <w:proofErr w:type="spellEnd"/>
      <w:r w:rsidRPr="005554ED">
        <w:rPr>
          <w:color w:val="000000" w:themeColor="text1"/>
        </w:rPr>
        <w:t xml:space="preserve">, H., &amp; Stephan, E. (1986). </w:t>
      </w:r>
      <w:r w:rsidRPr="005554ED">
        <w:rPr>
          <w:color w:val="000000" w:themeColor="text1"/>
          <w:lang w:val="de-DE"/>
        </w:rPr>
        <w:t xml:space="preserve">Zur Messung von Einsamkeit: Entwicklung einer deutschen Fassung des Fragebogens von Russell und Peplau. </w:t>
      </w:r>
      <w:r w:rsidRPr="005554ED">
        <w:rPr>
          <w:i/>
          <w:iCs/>
          <w:color w:val="000000" w:themeColor="text1"/>
          <w:lang w:val="de-DE"/>
        </w:rPr>
        <w:t>Psychologie Und Praxis - Zeitschrift Für Arbeits- Und Organisationspsychologie</w:t>
      </w:r>
      <w:r w:rsidRPr="005554ED">
        <w:rPr>
          <w:color w:val="000000" w:themeColor="text1"/>
          <w:lang w:val="de-DE"/>
        </w:rPr>
        <w:t xml:space="preserve">, </w:t>
      </w:r>
      <w:r w:rsidRPr="005554ED">
        <w:rPr>
          <w:i/>
          <w:iCs/>
          <w:color w:val="000000" w:themeColor="text1"/>
          <w:lang w:val="de-DE"/>
        </w:rPr>
        <w:t>30</w:t>
      </w:r>
      <w:r w:rsidRPr="005554ED">
        <w:rPr>
          <w:color w:val="000000" w:themeColor="text1"/>
          <w:lang w:val="de-DE"/>
        </w:rPr>
        <w:t>, 132–134.</w:t>
      </w:r>
    </w:p>
    <w:p w14:paraId="18FD0038" w14:textId="77777777" w:rsidR="00B76713" w:rsidRPr="005554ED" w:rsidRDefault="00B76713" w:rsidP="00B76713">
      <w:pPr>
        <w:pStyle w:val="Bibliography"/>
        <w:rPr>
          <w:color w:val="000000" w:themeColor="text1"/>
        </w:rPr>
      </w:pPr>
      <w:r w:rsidRPr="005554ED">
        <w:rPr>
          <w:color w:val="000000" w:themeColor="text1"/>
          <w:lang w:val="de-DE"/>
        </w:rPr>
        <w:t xml:space="preserve">Lapierre, M. A. (2020). </w:t>
      </w:r>
      <w:r w:rsidRPr="005554ED">
        <w:rPr>
          <w:color w:val="000000" w:themeColor="text1"/>
        </w:rPr>
        <w:t xml:space="preserve">Smartphones and loneliness in love: Testing links between smartphone engagement, loneliness, and relational health. </w:t>
      </w:r>
      <w:r w:rsidRPr="005554ED">
        <w:rPr>
          <w:i/>
          <w:iCs/>
          <w:color w:val="000000" w:themeColor="text1"/>
        </w:rPr>
        <w:t>Psychology of Popular Media</w:t>
      </w:r>
      <w:r w:rsidRPr="005554ED">
        <w:rPr>
          <w:color w:val="000000" w:themeColor="text1"/>
        </w:rPr>
        <w:t xml:space="preserve">, </w:t>
      </w:r>
      <w:r w:rsidRPr="005554ED">
        <w:rPr>
          <w:i/>
          <w:iCs/>
          <w:color w:val="000000" w:themeColor="text1"/>
        </w:rPr>
        <w:t>9</w:t>
      </w:r>
      <w:r w:rsidRPr="005554ED">
        <w:rPr>
          <w:color w:val="000000" w:themeColor="text1"/>
        </w:rPr>
        <w:t xml:space="preserve">(2), 125–134. </w:t>
      </w:r>
      <w:hyperlink r:id="rId142" w:history="1">
        <w:r w:rsidRPr="005554ED">
          <w:rPr>
            <w:rStyle w:val="Hyperlink"/>
            <w:rFonts w:eastAsia="Arial"/>
            <w:color w:val="000000" w:themeColor="text1"/>
          </w:rPr>
          <w:t>https://doi.org/10.1037/ppm0000230</w:t>
        </w:r>
      </w:hyperlink>
    </w:p>
    <w:p w14:paraId="3CFE3006" w14:textId="77777777" w:rsidR="00B76713" w:rsidRPr="005554ED" w:rsidRDefault="00B76713" w:rsidP="00B76713">
      <w:pPr>
        <w:pStyle w:val="Bibliography"/>
        <w:rPr>
          <w:color w:val="000000" w:themeColor="text1"/>
        </w:rPr>
      </w:pPr>
      <w:r w:rsidRPr="005554ED">
        <w:rPr>
          <w:color w:val="000000" w:themeColor="text1"/>
        </w:rPr>
        <w:t xml:space="preserve">Larson, G. M., &amp; </w:t>
      </w:r>
      <w:proofErr w:type="spellStart"/>
      <w:r w:rsidRPr="005554ED">
        <w:rPr>
          <w:color w:val="000000" w:themeColor="text1"/>
        </w:rPr>
        <w:t>Sbarra</w:t>
      </w:r>
      <w:proofErr w:type="spellEnd"/>
      <w:r w:rsidRPr="005554ED">
        <w:rPr>
          <w:color w:val="000000" w:themeColor="text1"/>
        </w:rPr>
        <w:t xml:space="preserve">, D. A. (2015). Participating in research on romantic breakups promotes emotional recovery via changes in self-concept clarity. </w:t>
      </w:r>
      <w:r w:rsidRPr="005554ED">
        <w:rPr>
          <w:i/>
          <w:iCs/>
          <w:color w:val="000000" w:themeColor="text1"/>
        </w:rPr>
        <w:t>Social Psychological and Personality Science</w:t>
      </w:r>
      <w:r w:rsidRPr="005554ED">
        <w:rPr>
          <w:color w:val="000000" w:themeColor="text1"/>
        </w:rPr>
        <w:t xml:space="preserve">, </w:t>
      </w:r>
      <w:r w:rsidRPr="005554ED">
        <w:rPr>
          <w:i/>
          <w:iCs/>
          <w:color w:val="000000" w:themeColor="text1"/>
        </w:rPr>
        <w:t>6</w:t>
      </w:r>
      <w:r w:rsidRPr="005554ED">
        <w:rPr>
          <w:color w:val="000000" w:themeColor="text1"/>
        </w:rPr>
        <w:t xml:space="preserve">(4), 399–406. </w:t>
      </w:r>
      <w:hyperlink r:id="rId143" w:history="1">
        <w:r w:rsidRPr="005554ED">
          <w:rPr>
            <w:rStyle w:val="Hyperlink"/>
            <w:rFonts w:eastAsia="Arial"/>
            <w:color w:val="000000" w:themeColor="text1"/>
          </w:rPr>
          <w:t>https://doi.org/10.1177/1948550614563085</w:t>
        </w:r>
      </w:hyperlink>
    </w:p>
    <w:p w14:paraId="7E851B2F" w14:textId="77777777" w:rsidR="00B76713" w:rsidRPr="005554ED" w:rsidRDefault="00B76713" w:rsidP="00B76713">
      <w:pPr>
        <w:pStyle w:val="Bibliography"/>
        <w:rPr>
          <w:color w:val="000000" w:themeColor="text1"/>
        </w:rPr>
      </w:pPr>
      <w:proofErr w:type="spellStart"/>
      <w:r w:rsidRPr="005554ED">
        <w:rPr>
          <w:color w:val="000000" w:themeColor="text1"/>
        </w:rPr>
        <w:lastRenderedPageBreak/>
        <w:t>Layden</w:t>
      </w:r>
      <w:proofErr w:type="spellEnd"/>
      <w:r w:rsidRPr="005554ED">
        <w:rPr>
          <w:color w:val="000000" w:themeColor="text1"/>
        </w:rPr>
        <w:t xml:space="preserve">, E. A., Cacioppo, J. T., Cacioppo, S., Cappa, S. F., </w:t>
      </w:r>
      <w:proofErr w:type="spellStart"/>
      <w:r w:rsidRPr="005554ED">
        <w:rPr>
          <w:color w:val="000000" w:themeColor="text1"/>
        </w:rPr>
        <w:t>Dodich</w:t>
      </w:r>
      <w:proofErr w:type="spellEnd"/>
      <w:r w:rsidRPr="005554ED">
        <w:rPr>
          <w:color w:val="000000" w:themeColor="text1"/>
        </w:rPr>
        <w:t xml:space="preserve">, A., </w:t>
      </w:r>
      <w:proofErr w:type="spellStart"/>
      <w:r w:rsidRPr="005554ED">
        <w:rPr>
          <w:color w:val="000000" w:themeColor="text1"/>
        </w:rPr>
        <w:t>Falini</w:t>
      </w:r>
      <w:proofErr w:type="spellEnd"/>
      <w:r w:rsidRPr="005554ED">
        <w:rPr>
          <w:color w:val="000000" w:themeColor="text1"/>
        </w:rPr>
        <w:t xml:space="preserve">, A., &amp; </w:t>
      </w:r>
      <w:proofErr w:type="spellStart"/>
      <w:r w:rsidRPr="005554ED">
        <w:rPr>
          <w:color w:val="000000" w:themeColor="text1"/>
        </w:rPr>
        <w:t>Canessa</w:t>
      </w:r>
      <w:proofErr w:type="spellEnd"/>
      <w:r w:rsidRPr="005554ED">
        <w:rPr>
          <w:color w:val="000000" w:themeColor="text1"/>
        </w:rPr>
        <w:t xml:space="preserve">, N. (2017). Perceived social isolation is associated with altered functional connectivity in neural networks associated with tonic alertness and executive control. </w:t>
      </w:r>
      <w:proofErr w:type="spellStart"/>
      <w:r w:rsidRPr="005554ED">
        <w:rPr>
          <w:i/>
          <w:iCs/>
          <w:color w:val="000000" w:themeColor="text1"/>
        </w:rPr>
        <w:t>NeuroImage</w:t>
      </w:r>
      <w:proofErr w:type="spellEnd"/>
      <w:r w:rsidRPr="005554ED">
        <w:rPr>
          <w:color w:val="000000" w:themeColor="text1"/>
        </w:rPr>
        <w:t xml:space="preserve">, </w:t>
      </w:r>
      <w:r w:rsidRPr="005554ED">
        <w:rPr>
          <w:i/>
          <w:iCs/>
          <w:color w:val="000000" w:themeColor="text1"/>
        </w:rPr>
        <w:t>145</w:t>
      </w:r>
      <w:r w:rsidRPr="005554ED">
        <w:rPr>
          <w:color w:val="000000" w:themeColor="text1"/>
        </w:rPr>
        <w:t xml:space="preserve">(Pt A), 58–73. </w:t>
      </w:r>
      <w:hyperlink r:id="rId144" w:history="1">
        <w:r w:rsidRPr="005554ED">
          <w:rPr>
            <w:rStyle w:val="Hyperlink"/>
            <w:rFonts w:eastAsia="Arial"/>
            <w:color w:val="000000" w:themeColor="text1"/>
          </w:rPr>
          <w:t>https://doi.org/10.1016/j.neuroimage.2016.09.050</w:t>
        </w:r>
      </w:hyperlink>
    </w:p>
    <w:p w14:paraId="5370E571" w14:textId="77777777" w:rsidR="00B76713" w:rsidRPr="005554ED" w:rsidRDefault="00B76713" w:rsidP="00B76713">
      <w:pPr>
        <w:pStyle w:val="Bibliography"/>
        <w:rPr>
          <w:color w:val="000000" w:themeColor="text1"/>
        </w:rPr>
      </w:pPr>
      <w:r w:rsidRPr="005554ED">
        <w:rPr>
          <w:color w:val="000000" w:themeColor="text1"/>
        </w:rPr>
        <w:t xml:space="preserve">Lee, C.-Y. S., </w:t>
      </w:r>
      <w:proofErr w:type="spellStart"/>
      <w:r w:rsidRPr="005554ED">
        <w:rPr>
          <w:color w:val="000000" w:themeColor="text1"/>
        </w:rPr>
        <w:t>Dik</w:t>
      </w:r>
      <w:proofErr w:type="spellEnd"/>
      <w:r w:rsidRPr="005554ED">
        <w:rPr>
          <w:color w:val="000000" w:themeColor="text1"/>
        </w:rPr>
        <w:t xml:space="preserve">, B. J., &amp; Barbara, L. A. (2016). Intergenerational solidarity and individual adjustment during emerging adulthood. </w:t>
      </w:r>
      <w:r w:rsidRPr="005554ED">
        <w:rPr>
          <w:i/>
          <w:iCs/>
          <w:color w:val="000000" w:themeColor="text1"/>
        </w:rPr>
        <w:t>Journal of Family Issues</w:t>
      </w:r>
      <w:r w:rsidRPr="005554ED">
        <w:rPr>
          <w:color w:val="000000" w:themeColor="text1"/>
        </w:rPr>
        <w:t xml:space="preserve">, </w:t>
      </w:r>
      <w:r w:rsidRPr="005554ED">
        <w:rPr>
          <w:i/>
          <w:iCs/>
          <w:color w:val="000000" w:themeColor="text1"/>
        </w:rPr>
        <w:t>37</w:t>
      </w:r>
      <w:r w:rsidRPr="005554ED">
        <w:rPr>
          <w:color w:val="000000" w:themeColor="text1"/>
        </w:rPr>
        <w:t xml:space="preserve">(10), 1412–1432. </w:t>
      </w:r>
      <w:hyperlink r:id="rId145" w:history="1">
        <w:r w:rsidRPr="005554ED">
          <w:rPr>
            <w:rStyle w:val="Hyperlink"/>
            <w:rFonts w:eastAsia="Arial"/>
            <w:color w:val="000000" w:themeColor="text1"/>
          </w:rPr>
          <w:t>https://doi.org/10.1177/0192513X14567957</w:t>
        </w:r>
      </w:hyperlink>
    </w:p>
    <w:p w14:paraId="2D1EF432" w14:textId="77777777" w:rsidR="00B76713" w:rsidRPr="005554ED" w:rsidRDefault="00B76713" w:rsidP="00B76713">
      <w:pPr>
        <w:pStyle w:val="Bibliography"/>
        <w:rPr>
          <w:color w:val="000000" w:themeColor="text1"/>
        </w:rPr>
      </w:pPr>
      <w:r w:rsidRPr="005554ED">
        <w:rPr>
          <w:color w:val="000000" w:themeColor="text1"/>
        </w:rPr>
        <w:t xml:space="preserve">Lee, C.-Y. S., &amp; Goldstein, S. E. (2016). Loneliness, stress, and social support in young adulthood: Does the source of support matter? </w:t>
      </w:r>
      <w:r w:rsidRPr="005554ED">
        <w:rPr>
          <w:i/>
          <w:iCs/>
          <w:color w:val="000000" w:themeColor="text1"/>
        </w:rPr>
        <w:t>Journal of Youth and Adolescence</w:t>
      </w:r>
      <w:r w:rsidRPr="005554ED">
        <w:rPr>
          <w:color w:val="000000" w:themeColor="text1"/>
        </w:rPr>
        <w:t xml:space="preserve">, </w:t>
      </w:r>
      <w:r w:rsidRPr="005554ED">
        <w:rPr>
          <w:i/>
          <w:iCs/>
          <w:color w:val="000000" w:themeColor="text1"/>
        </w:rPr>
        <w:t>45</w:t>
      </w:r>
      <w:r w:rsidRPr="005554ED">
        <w:rPr>
          <w:color w:val="000000" w:themeColor="text1"/>
        </w:rPr>
        <w:t xml:space="preserve">(3), 568–580. </w:t>
      </w:r>
      <w:hyperlink r:id="rId146" w:history="1">
        <w:r w:rsidRPr="005554ED">
          <w:rPr>
            <w:rStyle w:val="Hyperlink"/>
            <w:rFonts w:eastAsia="Arial"/>
            <w:color w:val="000000" w:themeColor="text1"/>
          </w:rPr>
          <w:t>https://doi.org/10.1007/s10964-015-0395-9</w:t>
        </w:r>
      </w:hyperlink>
    </w:p>
    <w:p w14:paraId="178AFB55" w14:textId="77777777" w:rsidR="00B76713" w:rsidRPr="005554ED" w:rsidRDefault="00B76713" w:rsidP="00B76713">
      <w:pPr>
        <w:pStyle w:val="Bibliography"/>
        <w:rPr>
          <w:color w:val="000000" w:themeColor="text1"/>
        </w:rPr>
      </w:pPr>
      <w:r w:rsidRPr="005554ED">
        <w:rPr>
          <w:color w:val="000000" w:themeColor="text1"/>
        </w:rPr>
        <w:t xml:space="preserve">Lee, C.-Y. S., Goldstein, S. E., &amp; </w:t>
      </w:r>
      <w:proofErr w:type="spellStart"/>
      <w:r w:rsidRPr="005554ED">
        <w:rPr>
          <w:color w:val="000000" w:themeColor="text1"/>
        </w:rPr>
        <w:t>Dik</w:t>
      </w:r>
      <w:proofErr w:type="spellEnd"/>
      <w:r w:rsidRPr="005554ED">
        <w:rPr>
          <w:color w:val="000000" w:themeColor="text1"/>
        </w:rPr>
        <w:t xml:space="preserve">, B. J. (2018). The relational context of social support in young adults: Links with stress and well-being. </w:t>
      </w:r>
      <w:r w:rsidRPr="005554ED">
        <w:rPr>
          <w:i/>
          <w:iCs/>
          <w:color w:val="000000" w:themeColor="text1"/>
        </w:rPr>
        <w:t>Journal of Adult Development</w:t>
      </w:r>
      <w:r w:rsidRPr="005554ED">
        <w:rPr>
          <w:color w:val="000000" w:themeColor="text1"/>
        </w:rPr>
        <w:t xml:space="preserve">, </w:t>
      </w:r>
      <w:r w:rsidRPr="005554ED">
        <w:rPr>
          <w:i/>
          <w:iCs/>
          <w:color w:val="000000" w:themeColor="text1"/>
        </w:rPr>
        <w:t>25</w:t>
      </w:r>
      <w:r w:rsidRPr="005554ED">
        <w:rPr>
          <w:color w:val="000000" w:themeColor="text1"/>
        </w:rPr>
        <w:t xml:space="preserve">(1), 25–36. </w:t>
      </w:r>
      <w:hyperlink r:id="rId147" w:history="1">
        <w:r w:rsidRPr="005554ED">
          <w:rPr>
            <w:rStyle w:val="Hyperlink"/>
            <w:rFonts w:eastAsia="Arial"/>
            <w:color w:val="000000" w:themeColor="text1"/>
          </w:rPr>
          <w:t>https://doi.org/10.1007/s10804-017-9271-z</w:t>
        </w:r>
      </w:hyperlink>
    </w:p>
    <w:p w14:paraId="49D8A533" w14:textId="77777777" w:rsidR="00B76713" w:rsidRPr="005554ED" w:rsidRDefault="00B76713" w:rsidP="00B76713">
      <w:pPr>
        <w:pStyle w:val="Bibliography"/>
        <w:rPr>
          <w:color w:val="000000" w:themeColor="text1"/>
        </w:rPr>
      </w:pPr>
      <w:r w:rsidRPr="005554ED">
        <w:rPr>
          <w:color w:val="000000" w:themeColor="text1"/>
        </w:rPr>
        <w:t xml:space="preserve">Lee, C.-Y. S., Goldstein, S. E., </w:t>
      </w:r>
      <w:proofErr w:type="spellStart"/>
      <w:r w:rsidRPr="005554ED">
        <w:rPr>
          <w:color w:val="000000" w:themeColor="text1"/>
        </w:rPr>
        <w:t>Dik</w:t>
      </w:r>
      <w:proofErr w:type="spellEnd"/>
      <w:r w:rsidRPr="005554ED">
        <w:rPr>
          <w:color w:val="000000" w:themeColor="text1"/>
        </w:rPr>
        <w:t xml:space="preserve">, B. J., &amp; </w:t>
      </w:r>
      <w:proofErr w:type="spellStart"/>
      <w:r w:rsidRPr="005554ED">
        <w:rPr>
          <w:color w:val="000000" w:themeColor="text1"/>
        </w:rPr>
        <w:t>Rodas</w:t>
      </w:r>
      <w:proofErr w:type="spellEnd"/>
      <w:r w:rsidRPr="005554ED">
        <w:rPr>
          <w:color w:val="000000" w:themeColor="text1"/>
        </w:rPr>
        <w:t xml:space="preserve">, J. M. (2020). Sources of social support and gender in perceived stress and individual adjustment among Latina/o college-attending emerging adults. </w:t>
      </w:r>
      <w:r w:rsidRPr="005554ED">
        <w:rPr>
          <w:i/>
          <w:iCs/>
          <w:color w:val="000000" w:themeColor="text1"/>
        </w:rPr>
        <w:t>Cultural Diversity &amp; Ethnic Minority Psychology</w:t>
      </w:r>
      <w:r w:rsidRPr="005554ED">
        <w:rPr>
          <w:color w:val="000000" w:themeColor="text1"/>
        </w:rPr>
        <w:t xml:space="preserve">, </w:t>
      </w:r>
      <w:r w:rsidRPr="005554ED">
        <w:rPr>
          <w:i/>
          <w:iCs/>
          <w:color w:val="000000" w:themeColor="text1"/>
        </w:rPr>
        <w:t>26</w:t>
      </w:r>
      <w:r w:rsidRPr="005554ED">
        <w:rPr>
          <w:color w:val="000000" w:themeColor="text1"/>
        </w:rPr>
        <w:t xml:space="preserve">(1), 134–147. </w:t>
      </w:r>
      <w:hyperlink r:id="rId148" w:history="1">
        <w:r w:rsidRPr="005554ED">
          <w:rPr>
            <w:rStyle w:val="Hyperlink"/>
            <w:rFonts w:eastAsia="Arial"/>
            <w:color w:val="000000" w:themeColor="text1"/>
          </w:rPr>
          <w:t>https://doi.org/10.1037/cdp0000279</w:t>
        </w:r>
      </w:hyperlink>
    </w:p>
    <w:p w14:paraId="17466DA5" w14:textId="77777777" w:rsidR="00B76713" w:rsidRPr="005554ED" w:rsidRDefault="00B76713" w:rsidP="00B76713">
      <w:pPr>
        <w:pStyle w:val="Bibliography"/>
        <w:rPr>
          <w:color w:val="000000" w:themeColor="text1"/>
        </w:rPr>
      </w:pPr>
      <w:r w:rsidRPr="005554ED">
        <w:rPr>
          <w:color w:val="000000" w:themeColor="text1"/>
        </w:rPr>
        <w:t xml:space="preserve">Lee, S. A. (2019). Persistent complex bereavement symptoms explain impairments above depression, posttraumatic stress, and separation anxiety: An incremental validity study. </w:t>
      </w:r>
      <w:r w:rsidRPr="005554ED">
        <w:rPr>
          <w:i/>
          <w:iCs/>
          <w:color w:val="000000" w:themeColor="text1"/>
        </w:rPr>
        <w:t>Death Studies</w:t>
      </w:r>
      <w:r w:rsidRPr="005554ED">
        <w:rPr>
          <w:color w:val="000000" w:themeColor="text1"/>
        </w:rPr>
        <w:t xml:space="preserve">, </w:t>
      </w:r>
      <w:r w:rsidRPr="005554ED">
        <w:rPr>
          <w:i/>
          <w:iCs/>
          <w:color w:val="000000" w:themeColor="text1"/>
        </w:rPr>
        <w:t>43</w:t>
      </w:r>
      <w:r w:rsidRPr="005554ED">
        <w:rPr>
          <w:color w:val="000000" w:themeColor="text1"/>
        </w:rPr>
        <w:t xml:space="preserve">(10), 634–638. </w:t>
      </w:r>
      <w:hyperlink r:id="rId149" w:history="1">
        <w:r w:rsidRPr="005554ED">
          <w:rPr>
            <w:rStyle w:val="Hyperlink"/>
            <w:rFonts w:eastAsia="Arial"/>
            <w:color w:val="000000" w:themeColor="text1"/>
          </w:rPr>
          <w:t>https://doi.org/10.1080/07481187.2018.1509909</w:t>
        </w:r>
      </w:hyperlink>
    </w:p>
    <w:p w14:paraId="03E91DCC" w14:textId="77777777" w:rsidR="00B76713" w:rsidRPr="005554ED" w:rsidRDefault="00B76713" w:rsidP="00B76713">
      <w:pPr>
        <w:pStyle w:val="Bibliography"/>
        <w:rPr>
          <w:color w:val="000000" w:themeColor="text1"/>
        </w:rPr>
      </w:pPr>
      <w:proofErr w:type="spellStart"/>
      <w:r w:rsidRPr="005554ED">
        <w:rPr>
          <w:color w:val="000000" w:themeColor="text1"/>
        </w:rPr>
        <w:t>Letzring</w:t>
      </w:r>
      <w:proofErr w:type="spellEnd"/>
      <w:r w:rsidRPr="005554ED">
        <w:rPr>
          <w:color w:val="000000" w:themeColor="text1"/>
        </w:rPr>
        <w:t xml:space="preserve">, T. D. (2015). Observer judgmental accuracy of personality: Benefits related to being a good (normative) judge. </w:t>
      </w:r>
      <w:r w:rsidRPr="005554ED">
        <w:rPr>
          <w:i/>
          <w:iCs/>
          <w:color w:val="000000" w:themeColor="text1"/>
        </w:rPr>
        <w:t>Journal of Research in Personality</w:t>
      </w:r>
      <w:r w:rsidRPr="005554ED">
        <w:rPr>
          <w:color w:val="000000" w:themeColor="text1"/>
        </w:rPr>
        <w:t xml:space="preserve">, </w:t>
      </w:r>
      <w:r w:rsidRPr="005554ED">
        <w:rPr>
          <w:i/>
          <w:iCs/>
          <w:color w:val="000000" w:themeColor="text1"/>
        </w:rPr>
        <w:t>54</w:t>
      </w:r>
      <w:r w:rsidRPr="005554ED">
        <w:rPr>
          <w:color w:val="000000" w:themeColor="text1"/>
        </w:rPr>
        <w:t xml:space="preserve">, 51–60. </w:t>
      </w:r>
      <w:hyperlink r:id="rId150" w:history="1">
        <w:r w:rsidRPr="005554ED">
          <w:rPr>
            <w:rStyle w:val="Hyperlink"/>
            <w:rFonts w:eastAsia="Arial"/>
            <w:color w:val="000000" w:themeColor="text1"/>
          </w:rPr>
          <w:t>https://doi.org/10.1016/j.jrp.2014.05.001</w:t>
        </w:r>
      </w:hyperlink>
    </w:p>
    <w:p w14:paraId="2128E032" w14:textId="77777777" w:rsidR="00B76713" w:rsidRPr="005554ED" w:rsidRDefault="00B76713" w:rsidP="00B76713">
      <w:pPr>
        <w:pStyle w:val="Bibliography"/>
        <w:rPr>
          <w:color w:val="000000" w:themeColor="text1"/>
        </w:rPr>
      </w:pPr>
      <w:r w:rsidRPr="005554ED">
        <w:rPr>
          <w:color w:val="000000" w:themeColor="text1"/>
        </w:rPr>
        <w:lastRenderedPageBreak/>
        <w:t xml:space="preserve">Li, W., Zhang, L., Liu, B., &amp; Cao, H. (2013). The impact of negative interpersonal life events on social adaptation of Chinese college students: Mediator effect of self-esteem. </w:t>
      </w:r>
      <w:r w:rsidRPr="005554ED">
        <w:rPr>
          <w:i/>
          <w:iCs/>
          <w:color w:val="000000" w:themeColor="text1"/>
        </w:rPr>
        <w:t>Social Behavior and Personality: An International Journal</w:t>
      </w:r>
      <w:r w:rsidRPr="005554ED">
        <w:rPr>
          <w:color w:val="000000" w:themeColor="text1"/>
        </w:rPr>
        <w:t xml:space="preserve">, </w:t>
      </w:r>
      <w:r w:rsidRPr="005554ED">
        <w:rPr>
          <w:i/>
          <w:iCs/>
          <w:color w:val="000000" w:themeColor="text1"/>
        </w:rPr>
        <w:t>41</w:t>
      </w:r>
      <w:r w:rsidRPr="005554ED">
        <w:rPr>
          <w:color w:val="000000" w:themeColor="text1"/>
        </w:rPr>
        <w:t xml:space="preserve">(5), 705–714. </w:t>
      </w:r>
      <w:hyperlink r:id="rId151" w:history="1">
        <w:r w:rsidRPr="005554ED">
          <w:rPr>
            <w:rStyle w:val="Hyperlink"/>
            <w:rFonts w:eastAsia="Arial"/>
            <w:color w:val="000000" w:themeColor="text1"/>
          </w:rPr>
          <w:t>https://doi.org/10.2224/sbp.2013.41.5.705</w:t>
        </w:r>
      </w:hyperlink>
    </w:p>
    <w:p w14:paraId="382DA3C6" w14:textId="77777777" w:rsidR="00B76713" w:rsidRPr="005554ED" w:rsidRDefault="00B76713" w:rsidP="00B76713">
      <w:pPr>
        <w:pStyle w:val="Bibliography"/>
        <w:rPr>
          <w:color w:val="000000" w:themeColor="text1"/>
        </w:rPr>
      </w:pPr>
      <w:r w:rsidRPr="005554ED">
        <w:rPr>
          <w:color w:val="000000" w:themeColor="text1"/>
          <w:lang w:val="de-DE"/>
        </w:rPr>
        <w:t xml:space="preserve">Lin, S.-H., &amp; Huang, Y.-C. (2012). </w:t>
      </w:r>
      <w:r w:rsidRPr="005554ED">
        <w:rPr>
          <w:color w:val="000000" w:themeColor="text1"/>
        </w:rPr>
        <w:t xml:space="preserve">Investigating the relationships between loneliness and learning burnout. </w:t>
      </w:r>
      <w:r w:rsidRPr="005554ED">
        <w:rPr>
          <w:i/>
          <w:iCs/>
          <w:color w:val="000000" w:themeColor="text1"/>
        </w:rPr>
        <w:t>Active Learning in Higher Education</w:t>
      </w:r>
      <w:r w:rsidRPr="005554ED">
        <w:rPr>
          <w:color w:val="000000" w:themeColor="text1"/>
        </w:rPr>
        <w:t xml:space="preserve">, </w:t>
      </w:r>
      <w:r w:rsidRPr="005554ED">
        <w:rPr>
          <w:i/>
          <w:iCs/>
          <w:color w:val="000000" w:themeColor="text1"/>
        </w:rPr>
        <w:t>13</w:t>
      </w:r>
      <w:r w:rsidRPr="005554ED">
        <w:rPr>
          <w:color w:val="000000" w:themeColor="text1"/>
        </w:rPr>
        <w:t xml:space="preserve">(3), 231–243. </w:t>
      </w:r>
      <w:hyperlink r:id="rId152" w:history="1">
        <w:r w:rsidRPr="005554ED">
          <w:rPr>
            <w:rStyle w:val="Hyperlink"/>
            <w:rFonts w:eastAsia="Arial"/>
            <w:color w:val="000000" w:themeColor="text1"/>
          </w:rPr>
          <w:t>https://doi.org/10.1177/1469787412452983</w:t>
        </w:r>
      </w:hyperlink>
    </w:p>
    <w:p w14:paraId="49F0B2F4" w14:textId="77777777" w:rsidR="00B76713" w:rsidRPr="005554ED" w:rsidRDefault="00B76713" w:rsidP="00B76713">
      <w:pPr>
        <w:pStyle w:val="Bibliography"/>
        <w:rPr>
          <w:color w:val="000000" w:themeColor="text1"/>
          <w:lang w:val="de-DE"/>
        </w:rPr>
      </w:pPr>
      <w:r w:rsidRPr="006A16A9">
        <w:rPr>
          <w:color w:val="000000" w:themeColor="text1"/>
        </w:rPr>
        <w:t xml:space="preserve">Lin, X., Su, W., &amp; Potenza, M. N. (2018). </w:t>
      </w:r>
      <w:r w:rsidRPr="005554ED">
        <w:rPr>
          <w:color w:val="000000" w:themeColor="text1"/>
        </w:rPr>
        <w:t xml:space="preserve">Development of an online and offline integration hypothesis for healthy Internet use: Theory and preliminary evidence. </w:t>
      </w:r>
      <w:r w:rsidRPr="005554ED">
        <w:rPr>
          <w:i/>
          <w:iCs/>
          <w:color w:val="000000" w:themeColor="text1"/>
          <w:lang w:val="de-DE"/>
        </w:rPr>
        <w:t>Frontiers in Psychology</w:t>
      </w:r>
      <w:r w:rsidRPr="005554ED">
        <w:rPr>
          <w:color w:val="000000" w:themeColor="text1"/>
          <w:lang w:val="de-DE"/>
        </w:rPr>
        <w:t xml:space="preserve">, </w:t>
      </w:r>
      <w:r w:rsidRPr="005554ED">
        <w:rPr>
          <w:i/>
          <w:iCs/>
          <w:color w:val="000000" w:themeColor="text1"/>
          <w:lang w:val="de-DE"/>
        </w:rPr>
        <w:t>9</w:t>
      </w:r>
      <w:r w:rsidRPr="005554ED">
        <w:rPr>
          <w:color w:val="000000" w:themeColor="text1"/>
          <w:lang w:val="de-DE"/>
        </w:rPr>
        <w:t xml:space="preserve">, 492. </w:t>
      </w:r>
      <w:hyperlink r:id="rId153" w:history="1">
        <w:r w:rsidRPr="005554ED">
          <w:rPr>
            <w:rStyle w:val="Hyperlink"/>
            <w:rFonts w:eastAsia="Arial"/>
            <w:color w:val="000000" w:themeColor="text1"/>
            <w:lang w:val="de-DE"/>
          </w:rPr>
          <w:t>https://doi.org/10.3389/fpsyg.2018.00492</w:t>
        </w:r>
      </w:hyperlink>
    </w:p>
    <w:p w14:paraId="320E142E" w14:textId="77777777" w:rsidR="00B76713" w:rsidRPr="005554ED" w:rsidRDefault="00B76713" w:rsidP="00B76713">
      <w:pPr>
        <w:pStyle w:val="Bibliography"/>
        <w:rPr>
          <w:color w:val="000000" w:themeColor="text1"/>
        </w:rPr>
      </w:pPr>
      <w:r w:rsidRPr="005554ED">
        <w:rPr>
          <w:color w:val="000000" w:themeColor="text1"/>
          <w:lang w:val="de-DE"/>
        </w:rPr>
        <w:t xml:space="preserve">Lippke, S. (2018). </w:t>
      </w:r>
      <w:r w:rsidRPr="005554ED">
        <w:rPr>
          <w:i/>
          <w:iCs/>
          <w:color w:val="000000" w:themeColor="text1"/>
          <w:lang w:val="de-DE"/>
        </w:rPr>
        <w:t>Bewegt studieren mit Herz, Kopf und Kultur ‐ Studieren bewegt und legt den Grundstein für lebenslange Gesundheit und Arbeitsfähigkeit in einer globalisierten Welt!</w:t>
      </w:r>
      <w:r w:rsidRPr="005554ED">
        <w:rPr>
          <w:color w:val="000000" w:themeColor="text1"/>
          <w:lang w:val="de-DE"/>
        </w:rPr>
        <w:t xml:space="preserve"> </w:t>
      </w:r>
      <w:r w:rsidRPr="005554ED">
        <w:rPr>
          <w:color w:val="000000" w:themeColor="text1"/>
        </w:rPr>
        <w:t>[Unpublished raw data from a project at Jacobs University Bremen, Germany].</w:t>
      </w:r>
    </w:p>
    <w:p w14:paraId="612904DF" w14:textId="77777777" w:rsidR="00B76713" w:rsidRPr="005554ED" w:rsidRDefault="00B76713" w:rsidP="00B76713">
      <w:pPr>
        <w:pStyle w:val="Bibliography"/>
        <w:rPr>
          <w:color w:val="000000" w:themeColor="text1"/>
        </w:rPr>
      </w:pPr>
      <w:r w:rsidRPr="005554ED">
        <w:rPr>
          <w:color w:val="000000" w:themeColor="text1"/>
        </w:rPr>
        <w:t xml:space="preserve">Liu, T., Wong, Y. J., &amp; Tsai, P.-C. (2016). Conditional mediation models of intersecting identities among female Asian international students. </w:t>
      </w:r>
      <w:r w:rsidRPr="005554ED">
        <w:rPr>
          <w:i/>
          <w:iCs/>
          <w:color w:val="000000" w:themeColor="text1"/>
        </w:rPr>
        <w:t>The Counseling Psychologist</w:t>
      </w:r>
      <w:r w:rsidRPr="005554ED">
        <w:rPr>
          <w:color w:val="000000" w:themeColor="text1"/>
        </w:rPr>
        <w:t xml:space="preserve">, </w:t>
      </w:r>
      <w:r w:rsidRPr="005554ED">
        <w:rPr>
          <w:i/>
          <w:iCs/>
          <w:color w:val="000000" w:themeColor="text1"/>
        </w:rPr>
        <w:t>44</w:t>
      </w:r>
      <w:r w:rsidRPr="005554ED">
        <w:rPr>
          <w:color w:val="000000" w:themeColor="text1"/>
        </w:rPr>
        <w:t xml:space="preserve">(3), 411–441. </w:t>
      </w:r>
      <w:hyperlink r:id="rId154" w:history="1">
        <w:r w:rsidRPr="005554ED">
          <w:rPr>
            <w:rStyle w:val="Hyperlink"/>
            <w:rFonts w:eastAsia="Arial"/>
            <w:color w:val="000000" w:themeColor="text1"/>
          </w:rPr>
          <w:t>https://doi.org/10.1177/0011000016637200</w:t>
        </w:r>
      </w:hyperlink>
    </w:p>
    <w:p w14:paraId="7DACC8E2" w14:textId="77777777" w:rsidR="00B76713" w:rsidRPr="005554ED" w:rsidRDefault="00B76713" w:rsidP="00B76713">
      <w:pPr>
        <w:pStyle w:val="Bibliography"/>
        <w:rPr>
          <w:color w:val="000000" w:themeColor="text1"/>
        </w:rPr>
      </w:pPr>
      <w:r w:rsidRPr="005554ED">
        <w:rPr>
          <w:color w:val="000000" w:themeColor="text1"/>
        </w:rPr>
        <w:t xml:space="preserve">Lobdell, J. F. (1985). </w:t>
      </w:r>
      <w:r w:rsidRPr="005554ED">
        <w:rPr>
          <w:i/>
          <w:iCs/>
          <w:color w:val="000000" w:themeColor="text1"/>
        </w:rPr>
        <w:t>Loneliness and recall and current perception of family and social relationships, personality characteristics, and lineage transmission</w:t>
      </w:r>
      <w:r w:rsidRPr="005554ED">
        <w:rPr>
          <w:color w:val="000000" w:themeColor="text1"/>
        </w:rPr>
        <w:t>. University of Manitoba.</w:t>
      </w:r>
    </w:p>
    <w:p w14:paraId="68A37930" w14:textId="77777777" w:rsidR="00B76713" w:rsidRPr="005554ED" w:rsidRDefault="00B76713" w:rsidP="00B76713">
      <w:pPr>
        <w:pStyle w:val="Bibliography"/>
        <w:rPr>
          <w:color w:val="000000" w:themeColor="text1"/>
        </w:rPr>
      </w:pPr>
      <w:r w:rsidRPr="00A04F18">
        <w:rPr>
          <w:color w:val="000000" w:themeColor="text1"/>
          <w:lang w:val="de-DE"/>
        </w:rPr>
        <w:t xml:space="preserve">Lodder, G. M. A., Scholte, R. H. J., Goossens, L., Engels, R. C. M. E., &amp; Verhagen, M. (2016). </w:t>
      </w:r>
      <w:r w:rsidRPr="005554ED">
        <w:rPr>
          <w:color w:val="000000" w:themeColor="text1"/>
        </w:rPr>
        <w:t xml:space="preserve">Loneliness and the social monitoring system: Emotion recognition and eye gaze in a real-life conversation. </w:t>
      </w:r>
      <w:r w:rsidRPr="005554ED">
        <w:rPr>
          <w:i/>
          <w:iCs/>
          <w:color w:val="000000" w:themeColor="text1"/>
        </w:rPr>
        <w:t xml:space="preserve">British Journal of Psychology (London, </w:t>
      </w:r>
      <w:proofErr w:type="gramStart"/>
      <w:r w:rsidRPr="005554ED">
        <w:rPr>
          <w:i/>
          <w:iCs/>
          <w:color w:val="000000" w:themeColor="text1"/>
        </w:rPr>
        <w:t>England :</w:t>
      </w:r>
      <w:proofErr w:type="gramEnd"/>
      <w:r w:rsidRPr="005554ED">
        <w:rPr>
          <w:i/>
          <w:iCs/>
          <w:color w:val="000000" w:themeColor="text1"/>
        </w:rPr>
        <w:t xml:space="preserve"> 1953)</w:t>
      </w:r>
      <w:r w:rsidRPr="005554ED">
        <w:rPr>
          <w:color w:val="000000" w:themeColor="text1"/>
        </w:rPr>
        <w:t xml:space="preserve">, </w:t>
      </w:r>
      <w:r w:rsidRPr="005554ED">
        <w:rPr>
          <w:i/>
          <w:iCs/>
          <w:color w:val="000000" w:themeColor="text1"/>
        </w:rPr>
        <w:t>107</w:t>
      </w:r>
      <w:r w:rsidRPr="005554ED">
        <w:rPr>
          <w:color w:val="000000" w:themeColor="text1"/>
        </w:rPr>
        <w:t xml:space="preserve">(1), 135–153. </w:t>
      </w:r>
      <w:hyperlink r:id="rId155" w:history="1">
        <w:r w:rsidRPr="005554ED">
          <w:rPr>
            <w:rStyle w:val="Hyperlink"/>
            <w:rFonts w:eastAsia="Arial"/>
            <w:color w:val="000000" w:themeColor="text1"/>
          </w:rPr>
          <w:t>https://doi.org/10.1111/bjop.12131</w:t>
        </w:r>
      </w:hyperlink>
    </w:p>
    <w:p w14:paraId="626D26A3" w14:textId="77777777" w:rsidR="00B76713" w:rsidRPr="005554ED" w:rsidRDefault="00B76713" w:rsidP="00B76713">
      <w:pPr>
        <w:pStyle w:val="Bibliography"/>
        <w:rPr>
          <w:color w:val="000000" w:themeColor="text1"/>
        </w:rPr>
      </w:pPr>
      <w:r w:rsidRPr="005554ED">
        <w:rPr>
          <w:color w:val="000000" w:themeColor="text1"/>
          <w:lang w:val="de-DE"/>
        </w:rPr>
        <w:lastRenderedPageBreak/>
        <w:t xml:space="preserve">Luhmann, M., Bohn, J., Holtmann, J., Koch, T., &amp; Eid, M. (2016). </w:t>
      </w:r>
      <w:r w:rsidRPr="005554ED">
        <w:rPr>
          <w:color w:val="000000" w:themeColor="text1"/>
        </w:rPr>
        <w:t xml:space="preserve">I’m lonely, can’t you tell? Convergent validity of self- and informant ratings of loneliness. </w:t>
      </w:r>
      <w:r w:rsidRPr="005554ED">
        <w:rPr>
          <w:i/>
          <w:iCs/>
          <w:color w:val="000000" w:themeColor="text1"/>
        </w:rPr>
        <w:t>Journal of Research in Personality</w:t>
      </w:r>
      <w:r w:rsidRPr="005554ED">
        <w:rPr>
          <w:color w:val="000000" w:themeColor="text1"/>
        </w:rPr>
        <w:t xml:space="preserve">, </w:t>
      </w:r>
      <w:r w:rsidRPr="005554ED">
        <w:rPr>
          <w:i/>
          <w:iCs/>
          <w:color w:val="000000" w:themeColor="text1"/>
        </w:rPr>
        <w:t>61</w:t>
      </w:r>
      <w:r w:rsidRPr="005554ED">
        <w:rPr>
          <w:color w:val="000000" w:themeColor="text1"/>
        </w:rPr>
        <w:t xml:space="preserve">, 50–60. </w:t>
      </w:r>
      <w:hyperlink r:id="rId156" w:history="1">
        <w:r w:rsidRPr="005554ED">
          <w:rPr>
            <w:rStyle w:val="Hyperlink"/>
            <w:rFonts w:eastAsia="Arial"/>
            <w:color w:val="000000" w:themeColor="text1"/>
          </w:rPr>
          <w:t>https://doi.org/10.1016/j.jrp.2016.02.002</w:t>
        </w:r>
      </w:hyperlink>
    </w:p>
    <w:p w14:paraId="10703341" w14:textId="77777777" w:rsidR="00B76713" w:rsidRPr="005554ED" w:rsidRDefault="00B76713" w:rsidP="00B76713">
      <w:pPr>
        <w:pStyle w:val="Bibliography"/>
        <w:rPr>
          <w:color w:val="000000" w:themeColor="text1"/>
        </w:rPr>
      </w:pPr>
      <w:r w:rsidRPr="005554ED">
        <w:rPr>
          <w:color w:val="000000" w:themeColor="text1"/>
        </w:rPr>
        <w:t xml:space="preserve">Mahon, N. E. (1982). The relationship of self-disclosure, interpersonal dependency, and life changes to loneliness in young adults. </w:t>
      </w:r>
      <w:r w:rsidRPr="005554ED">
        <w:rPr>
          <w:i/>
          <w:iCs/>
          <w:color w:val="000000" w:themeColor="text1"/>
        </w:rPr>
        <w:t>Nursing Research</w:t>
      </w:r>
      <w:r w:rsidRPr="005554ED">
        <w:rPr>
          <w:color w:val="000000" w:themeColor="text1"/>
        </w:rPr>
        <w:t xml:space="preserve">, </w:t>
      </w:r>
      <w:r w:rsidRPr="005554ED">
        <w:rPr>
          <w:i/>
          <w:iCs/>
          <w:color w:val="000000" w:themeColor="text1"/>
        </w:rPr>
        <w:t>31</w:t>
      </w:r>
      <w:r w:rsidRPr="005554ED">
        <w:rPr>
          <w:color w:val="000000" w:themeColor="text1"/>
        </w:rPr>
        <w:t xml:space="preserve">(6), 343???346. </w:t>
      </w:r>
      <w:hyperlink r:id="rId157" w:history="1">
        <w:r w:rsidRPr="005554ED">
          <w:rPr>
            <w:rStyle w:val="Hyperlink"/>
            <w:rFonts w:eastAsia="Arial"/>
            <w:color w:val="000000" w:themeColor="text1"/>
          </w:rPr>
          <w:t>https://doi.org/10.1097/00006199-198211000-00005</w:t>
        </w:r>
      </w:hyperlink>
    </w:p>
    <w:p w14:paraId="3B6AF7A4" w14:textId="77777777" w:rsidR="00B76713" w:rsidRPr="005554ED" w:rsidRDefault="00B76713" w:rsidP="00B76713">
      <w:pPr>
        <w:pStyle w:val="Bibliography"/>
        <w:rPr>
          <w:color w:val="000000" w:themeColor="text1"/>
        </w:rPr>
      </w:pPr>
      <w:r w:rsidRPr="005554ED">
        <w:rPr>
          <w:color w:val="000000" w:themeColor="text1"/>
        </w:rPr>
        <w:t xml:space="preserve">Mahtani, S., </w:t>
      </w:r>
      <w:proofErr w:type="spellStart"/>
      <w:r w:rsidRPr="005554ED">
        <w:rPr>
          <w:color w:val="000000" w:themeColor="text1"/>
        </w:rPr>
        <w:t>Hasking</w:t>
      </w:r>
      <w:proofErr w:type="spellEnd"/>
      <w:r w:rsidRPr="005554ED">
        <w:rPr>
          <w:color w:val="000000" w:themeColor="text1"/>
        </w:rPr>
        <w:t xml:space="preserve">, P., &amp; Melvin, G. A. (2019). Shame and non-suicidal self-injury: Conceptualization and preliminary test of a novel developmental model among emerging adults. </w:t>
      </w:r>
      <w:r w:rsidRPr="005554ED">
        <w:rPr>
          <w:i/>
          <w:iCs/>
          <w:color w:val="000000" w:themeColor="text1"/>
        </w:rPr>
        <w:t>Journal of Youth and Adolescence</w:t>
      </w:r>
      <w:r w:rsidRPr="005554ED">
        <w:rPr>
          <w:color w:val="000000" w:themeColor="text1"/>
        </w:rPr>
        <w:t xml:space="preserve">, </w:t>
      </w:r>
      <w:r w:rsidRPr="005554ED">
        <w:rPr>
          <w:i/>
          <w:iCs/>
          <w:color w:val="000000" w:themeColor="text1"/>
        </w:rPr>
        <w:t>48</w:t>
      </w:r>
      <w:r w:rsidRPr="005554ED">
        <w:rPr>
          <w:color w:val="000000" w:themeColor="text1"/>
        </w:rPr>
        <w:t xml:space="preserve">(4), 753–770. </w:t>
      </w:r>
      <w:hyperlink r:id="rId158" w:history="1">
        <w:r w:rsidRPr="005554ED">
          <w:rPr>
            <w:rStyle w:val="Hyperlink"/>
            <w:rFonts w:eastAsia="Arial"/>
            <w:color w:val="000000" w:themeColor="text1"/>
          </w:rPr>
          <w:t>https://doi.org/10.1007/s10964-018-0944-0</w:t>
        </w:r>
      </w:hyperlink>
    </w:p>
    <w:p w14:paraId="11AB1CCE" w14:textId="77777777" w:rsidR="00B76713" w:rsidRPr="005554ED" w:rsidRDefault="00B76713" w:rsidP="00B76713">
      <w:pPr>
        <w:pStyle w:val="Bibliography"/>
        <w:rPr>
          <w:color w:val="000000" w:themeColor="text1"/>
        </w:rPr>
      </w:pPr>
      <w:proofErr w:type="spellStart"/>
      <w:r w:rsidRPr="005554ED">
        <w:rPr>
          <w:color w:val="000000" w:themeColor="text1"/>
        </w:rPr>
        <w:t>Manthos</w:t>
      </w:r>
      <w:proofErr w:type="spellEnd"/>
      <w:r w:rsidRPr="005554ED">
        <w:rPr>
          <w:color w:val="000000" w:themeColor="text1"/>
        </w:rPr>
        <w:t xml:space="preserve">, M., Owen, J., &amp; Fincham, F. D. (2014). A new perspective on hooking up among college students. </w:t>
      </w:r>
      <w:r w:rsidRPr="005554ED">
        <w:rPr>
          <w:i/>
          <w:iCs/>
          <w:color w:val="000000" w:themeColor="text1"/>
        </w:rPr>
        <w:t>Journal of Social and Personal Relationships</w:t>
      </w:r>
      <w:r w:rsidRPr="005554ED">
        <w:rPr>
          <w:color w:val="000000" w:themeColor="text1"/>
        </w:rPr>
        <w:t xml:space="preserve">, </w:t>
      </w:r>
      <w:r w:rsidRPr="005554ED">
        <w:rPr>
          <w:i/>
          <w:iCs/>
          <w:color w:val="000000" w:themeColor="text1"/>
        </w:rPr>
        <w:t>31</w:t>
      </w:r>
      <w:r w:rsidRPr="005554ED">
        <w:rPr>
          <w:color w:val="000000" w:themeColor="text1"/>
        </w:rPr>
        <w:t xml:space="preserve">(6), 815–829. </w:t>
      </w:r>
      <w:hyperlink r:id="rId159" w:history="1">
        <w:r w:rsidRPr="005554ED">
          <w:rPr>
            <w:rStyle w:val="Hyperlink"/>
            <w:rFonts w:eastAsia="Arial"/>
            <w:color w:val="000000" w:themeColor="text1"/>
          </w:rPr>
          <w:t>https://doi.org/10.1177/0265407513505932</w:t>
        </w:r>
      </w:hyperlink>
    </w:p>
    <w:p w14:paraId="6C7CD696" w14:textId="77777777" w:rsidR="00B76713" w:rsidRPr="005554ED" w:rsidRDefault="00B76713" w:rsidP="00B76713">
      <w:pPr>
        <w:pStyle w:val="Bibliography"/>
        <w:rPr>
          <w:color w:val="000000" w:themeColor="text1"/>
        </w:rPr>
      </w:pPr>
      <w:proofErr w:type="spellStart"/>
      <w:r w:rsidRPr="005554ED">
        <w:rPr>
          <w:color w:val="000000" w:themeColor="text1"/>
        </w:rPr>
        <w:t>Mattanah</w:t>
      </w:r>
      <w:proofErr w:type="spellEnd"/>
      <w:r w:rsidRPr="005554ED">
        <w:rPr>
          <w:color w:val="000000" w:themeColor="text1"/>
        </w:rPr>
        <w:t xml:space="preserve">, J. F., Ayers, J. F., Brand, B. L., Brooks, L. J., Quimby, J. L., &amp; McNary, S. W. (2010). A social support intervention to ease the college transition: Exploring main effects and moderators. </w:t>
      </w:r>
      <w:r w:rsidRPr="005554ED">
        <w:rPr>
          <w:i/>
          <w:iCs/>
          <w:color w:val="000000" w:themeColor="text1"/>
        </w:rPr>
        <w:t>Journal of College Student Development</w:t>
      </w:r>
      <w:r w:rsidRPr="005554ED">
        <w:rPr>
          <w:color w:val="000000" w:themeColor="text1"/>
        </w:rPr>
        <w:t xml:space="preserve">, </w:t>
      </w:r>
      <w:r w:rsidRPr="005554ED">
        <w:rPr>
          <w:i/>
          <w:iCs/>
          <w:color w:val="000000" w:themeColor="text1"/>
        </w:rPr>
        <w:t>51</w:t>
      </w:r>
      <w:r w:rsidRPr="005554ED">
        <w:rPr>
          <w:color w:val="000000" w:themeColor="text1"/>
        </w:rPr>
        <w:t xml:space="preserve">(1), 93–108. </w:t>
      </w:r>
      <w:hyperlink r:id="rId160" w:history="1">
        <w:r w:rsidRPr="005554ED">
          <w:rPr>
            <w:rStyle w:val="Hyperlink"/>
            <w:rFonts w:eastAsia="Arial"/>
            <w:color w:val="000000" w:themeColor="text1"/>
          </w:rPr>
          <w:t>https://doi.org/10.1353/csd.0.0116</w:t>
        </w:r>
      </w:hyperlink>
    </w:p>
    <w:p w14:paraId="0C412AD6" w14:textId="77777777" w:rsidR="00B76713" w:rsidRPr="005554ED" w:rsidRDefault="00B76713" w:rsidP="00B76713">
      <w:pPr>
        <w:pStyle w:val="Bibliography"/>
        <w:rPr>
          <w:color w:val="000000" w:themeColor="text1"/>
        </w:rPr>
      </w:pPr>
      <w:proofErr w:type="spellStart"/>
      <w:r w:rsidRPr="005554ED">
        <w:rPr>
          <w:color w:val="000000" w:themeColor="text1"/>
        </w:rPr>
        <w:t>Mattanah</w:t>
      </w:r>
      <w:proofErr w:type="spellEnd"/>
      <w:r w:rsidRPr="005554ED">
        <w:rPr>
          <w:color w:val="000000" w:themeColor="text1"/>
        </w:rPr>
        <w:t xml:space="preserve">, J. F., Brooks, L. J., Brand, B. L., Quimby, J. L., &amp; Ayers, J. F. (2012). A social support intervention and academic achievement in college: Does perceived loneliness mediate the relationship? </w:t>
      </w:r>
      <w:r w:rsidRPr="005554ED">
        <w:rPr>
          <w:i/>
          <w:iCs/>
          <w:color w:val="000000" w:themeColor="text1"/>
        </w:rPr>
        <w:t>Journal of College Counseling</w:t>
      </w:r>
      <w:r w:rsidRPr="005554ED">
        <w:rPr>
          <w:color w:val="000000" w:themeColor="text1"/>
        </w:rPr>
        <w:t xml:space="preserve">, </w:t>
      </w:r>
      <w:r w:rsidRPr="005554ED">
        <w:rPr>
          <w:i/>
          <w:iCs/>
          <w:color w:val="000000" w:themeColor="text1"/>
        </w:rPr>
        <w:t>15</w:t>
      </w:r>
      <w:r w:rsidRPr="005554ED">
        <w:rPr>
          <w:color w:val="000000" w:themeColor="text1"/>
        </w:rPr>
        <w:t>(1), 22–36.</w:t>
      </w:r>
    </w:p>
    <w:p w14:paraId="3B150E69" w14:textId="77777777" w:rsidR="00B76713" w:rsidRPr="005554ED" w:rsidRDefault="00B76713" w:rsidP="00B76713">
      <w:pPr>
        <w:pStyle w:val="Bibliography"/>
        <w:rPr>
          <w:color w:val="000000" w:themeColor="text1"/>
        </w:rPr>
      </w:pPr>
      <w:r w:rsidRPr="005554ED">
        <w:rPr>
          <w:color w:val="000000" w:themeColor="text1"/>
        </w:rPr>
        <w:t xml:space="preserve">Matthews, T., </w:t>
      </w:r>
      <w:proofErr w:type="spellStart"/>
      <w:r w:rsidRPr="005554ED">
        <w:rPr>
          <w:color w:val="000000" w:themeColor="text1"/>
        </w:rPr>
        <w:t>Danese</w:t>
      </w:r>
      <w:proofErr w:type="spellEnd"/>
      <w:r w:rsidRPr="005554ED">
        <w:rPr>
          <w:color w:val="000000" w:themeColor="text1"/>
        </w:rPr>
        <w:t xml:space="preserve">, A., Caspi, A., Fisher, H. L., Goldman-Mellor, S., Kepa, A., Moffitt, T. E., Odgers, C. L., &amp; Arseneault, L. (2019). Lonely young adults in modern Britain: Findings </w:t>
      </w:r>
      <w:r w:rsidRPr="005554ED">
        <w:rPr>
          <w:color w:val="000000" w:themeColor="text1"/>
        </w:rPr>
        <w:lastRenderedPageBreak/>
        <w:t xml:space="preserve">from an epidemiological cohort study. </w:t>
      </w:r>
      <w:r w:rsidRPr="005554ED">
        <w:rPr>
          <w:i/>
          <w:iCs/>
          <w:color w:val="000000" w:themeColor="text1"/>
        </w:rPr>
        <w:t>Psychological Medicine</w:t>
      </w:r>
      <w:r w:rsidRPr="005554ED">
        <w:rPr>
          <w:color w:val="000000" w:themeColor="text1"/>
        </w:rPr>
        <w:t xml:space="preserve">, </w:t>
      </w:r>
      <w:r w:rsidRPr="005554ED">
        <w:rPr>
          <w:i/>
          <w:iCs/>
          <w:color w:val="000000" w:themeColor="text1"/>
        </w:rPr>
        <w:t>49</w:t>
      </w:r>
      <w:r w:rsidRPr="005554ED">
        <w:rPr>
          <w:color w:val="000000" w:themeColor="text1"/>
        </w:rPr>
        <w:t xml:space="preserve">(2), 268–277. </w:t>
      </w:r>
      <w:hyperlink r:id="rId161" w:history="1">
        <w:r w:rsidRPr="005554ED">
          <w:rPr>
            <w:rStyle w:val="Hyperlink"/>
            <w:rFonts w:eastAsia="Arial"/>
            <w:color w:val="000000" w:themeColor="text1"/>
          </w:rPr>
          <w:t>https://doi.org/10.1017/s0033291718000788</w:t>
        </w:r>
      </w:hyperlink>
    </w:p>
    <w:p w14:paraId="31D6B49A" w14:textId="77777777" w:rsidR="00B76713" w:rsidRPr="005554ED" w:rsidRDefault="00B76713" w:rsidP="00B76713">
      <w:pPr>
        <w:pStyle w:val="Bibliography"/>
        <w:rPr>
          <w:color w:val="000000" w:themeColor="text1"/>
        </w:rPr>
      </w:pPr>
      <w:r w:rsidRPr="005554ED">
        <w:rPr>
          <w:color w:val="000000" w:themeColor="text1"/>
        </w:rPr>
        <w:t xml:space="preserve">McIntosh, John L., &amp; Kelly, Leah D. (1988, April 13). </w:t>
      </w:r>
      <w:r w:rsidRPr="005554ED">
        <w:rPr>
          <w:i/>
          <w:iCs/>
          <w:color w:val="000000" w:themeColor="text1"/>
        </w:rPr>
        <w:t>Survivors’ reactions: Suicide vs. Other causes</w:t>
      </w:r>
      <w:r w:rsidRPr="005554ED">
        <w:rPr>
          <w:color w:val="000000" w:themeColor="text1"/>
        </w:rPr>
        <w:t>. Annual Meeting of the American Association of Suicidology, Washington, DC.</w:t>
      </w:r>
    </w:p>
    <w:p w14:paraId="14DB4559" w14:textId="77777777" w:rsidR="00B76713" w:rsidRPr="005554ED" w:rsidRDefault="00B76713" w:rsidP="00B76713">
      <w:pPr>
        <w:pStyle w:val="Bibliography"/>
        <w:rPr>
          <w:color w:val="000000" w:themeColor="text1"/>
        </w:rPr>
      </w:pPr>
      <w:r w:rsidRPr="005554ED">
        <w:rPr>
          <w:color w:val="000000" w:themeColor="text1"/>
        </w:rPr>
        <w:t xml:space="preserve">Mearns, J., Patchett, E., &amp; Catanzaro, S. J. (2009). </w:t>
      </w:r>
      <w:proofErr w:type="spellStart"/>
      <w:r w:rsidRPr="005554ED">
        <w:rPr>
          <w:color w:val="000000" w:themeColor="text1"/>
        </w:rPr>
        <w:t>Multitrait</w:t>
      </w:r>
      <w:proofErr w:type="spellEnd"/>
      <w:r w:rsidRPr="005554ED">
        <w:rPr>
          <w:color w:val="000000" w:themeColor="text1"/>
        </w:rPr>
        <w:t xml:space="preserve">–multimethod matrix validation of the Negative Mood Regulation Scale. </w:t>
      </w:r>
      <w:r w:rsidRPr="005554ED">
        <w:rPr>
          <w:i/>
          <w:iCs/>
          <w:color w:val="000000" w:themeColor="text1"/>
        </w:rPr>
        <w:t>Journal of Research in Personality</w:t>
      </w:r>
      <w:r w:rsidRPr="005554ED">
        <w:rPr>
          <w:color w:val="000000" w:themeColor="text1"/>
        </w:rPr>
        <w:t xml:space="preserve">, </w:t>
      </w:r>
      <w:r w:rsidRPr="005554ED">
        <w:rPr>
          <w:i/>
          <w:iCs/>
          <w:color w:val="000000" w:themeColor="text1"/>
        </w:rPr>
        <w:t>43</w:t>
      </w:r>
      <w:r w:rsidRPr="005554ED">
        <w:rPr>
          <w:color w:val="000000" w:themeColor="text1"/>
        </w:rPr>
        <w:t xml:space="preserve">(5), 910–913. </w:t>
      </w:r>
      <w:hyperlink r:id="rId162" w:history="1">
        <w:r w:rsidRPr="005554ED">
          <w:rPr>
            <w:rStyle w:val="Hyperlink"/>
            <w:rFonts w:eastAsia="Arial"/>
            <w:color w:val="000000" w:themeColor="text1"/>
          </w:rPr>
          <w:t>https://doi.org/10.1016/j.jrp.2009.05.003</w:t>
        </w:r>
      </w:hyperlink>
    </w:p>
    <w:p w14:paraId="3B003329" w14:textId="77777777" w:rsidR="00B76713" w:rsidRPr="005554ED" w:rsidRDefault="00B76713" w:rsidP="00B76713">
      <w:pPr>
        <w:pStyle w:val="Bibliography"/>
        <w:rPr>
          <w:color w:val="000000" w:themeColor="text1"/>
        </w:rPr>
      </w:pPr>
      <w:proofErr w:type="spellStart"/>
      <w:r w:rsidRPr="005554ED">
        <w:rPr>
          <w:color w:val="000000" w:themeColor="text1"/>
        </w:rPr>
        <w:t>Melkman</w:t>
      </w:r>
      <w:proofErr w:type="spellEnd"/>
      <w:r w:rsidRPr="005554ED">
        <w:rPr>
          <w:color w:val="000000" w:themeColor="text1"/>
        </w:rPr>
        <w:t xml:space="preserve">, E. P. (2017). Childhood adversity, social support networks and well-being among youth aging out of care: An exploratory study of mediation. </w:t>
      </w:r>
      <w:r w:rsidRPr="005554ED">
        <w:rPr>
          <w:i/>
          <w:iCs/>
          <w:color w:val="000000" w:themeColor="text1"/>
        </w:rPr>
        <w:t>Child Abuse &amp; Neglect</w:t>
      </w:r>
      <w:r w:rsidRPr="005554ED">
        <w:rPr>
          <w:color w:val="000000" w:themeColor="text1"/>
        </w:rPr>
        <w:t xml:space="preserve">, </w:t>
      </w:r>
      <w:r w:rsidRPr="005554ED">
        <w:rPr>
          <w:i/>
          <w:iCs/>
          <w:color w:val="000000" w:themeColor="text1"/>
        </w:rPr>
        <w:t>72</w:t>
      </w:r>
      <w:r w:rsidRPr="005554ED">
        <w:rPr>
          <w:color w:val="000000" w:themeColor="text1"/>
        </w:rPr>
        <w:t xml:space="preserve">, 85–97. </w:t>
      </w:r>
      <w:hyperlink r:id="rId163" w:history="1">
        <w:r w:rsidRPr="005554ED">
          <w:rPr>
            <w:rStyle w:val="Hyperlink"/>
            <w:rFonts w:eastAsia="Arial"/>
            <w:color w:val="000000" w:themeColor="text1"/>
          </w:rPr>
          <w:t>https://doi.org/10.1016/j.chiabu.2017.07.020</w:t>
        </w:r>
      </w:hyperlink>
    </w:p>
    <w:p w14:paraId="11B77ED8" w14:textId="77777777" w:rsidR="00B76713" w:rsidRPr="005554ED" w:rsidRDefault="00B76713" w:rsidP="00B76713">
      <w:pPr>
        <w:pStyle w:val="Bibliography"/>
        <w:rPr>
          <w:color w:val="000000" w:themeColor="text1"/>
        </w:rPr>
      </w:pPr>
      <w:r w:rsidRPr="005554ED">
        <w:rPr>
          <w:color w:val="000000" w:themeColor="text1"/>
        </w:rPr>
        <w:t xml:space="preserve">Meng, J., Hao, L., Wei, D., Sun, J., Li, Y., &amp; </w:t>
      </w:r>
      <w:proofErr w:type="spellStart"/>
      <w:r w:rsidRPr="005554ED">
        <w:rPr>
          <w:color w:val="000000" w:themeColor="text1"/>
        </w:rPr>
        <w:t>Qiu</w:t>
      </w:r>
      <w:proofErr w:type="spellEnd"/>
      <w:r w:rsidRPr="005554ED">
        <w:rPr>
          <w:color w:val="000000" w:themeColor="text1"/>
        </w:rPr>
        <w:t xml:space="preserve">, J. (2017). BDNF Val66Met polymorphism modulates the effect of loneliness on white matter microstructure in young adults. </w:t>
      </w:r>
      <w:r w:rsidRPr="005554ED">
        <w:rPr>
          <w:i/>
          <w:iCs/>
          <w:color w:val="000000" w:themeColor="text1"/>
        </w:rPr>
        <w:t>Biological Psychology</w:t>
      </w:r>
      <w:r w:rsidRPr="005554ED">
        <w:rPr>
          <w:color w:val="000000" w:themeColor="text1"/>
        </w:rPr>
        <w:t xml:space="preserve">, </w:t>
      </w:r>
      <w:r w:rsidRPr="005554ED">
        <w:rPr>
          <w:i/>
          <w:iCs/>
          <w:color w:val="000000" w:themeColor="text1"/>
        </w:rPr>
        <w:t>130</w:t>
      </w:r>
      <w:r w:rsidRPr="005554ED">
        <w:rPr>
          <w:color w:val="000000" w:themeColor="text1"/>
        </w:rPr>
        <w:t xml:space="preserve">, 41–49. </w:t>
      </w:r>
      <w:hyperlink r:id="rId164" w:history="1">
        <w:r w:rsidRPr="005554ED">
          <w:rPr>
            <w:rStyle w:val="Hyperlink"/>
            <w:rFonts w:eastAsia="Arial"/>
            <w:color w:val="000000" w:themeColor="text1"/>
          </w:rPr>
          <w:t>https://doi.org/10.1016/j.biopsycho.2017.10.002</w:t>
        </w:r>
      </w:hyperlink>
    </w:p>
    <w:p w14:paraId="4789DADE" w14:textId="77777777" w:rsidR="00B76713" w:rsidRPr="005554ED" w:rsidRDefault="00B76713" w:rsidP="00B76713">
      <w:pPr>
        <w:pStyle w:val="Bibliography"/>
        <w:rPr>
          <w:color w:val="000000" w:themeColor="text1"/>
        </w:rPr>
      </w:pPr>
      <w:r w:rsidRPr="005554ED">
        <w:rPr>
          <w:color w:val="000000" w:themeColor="text1"/>
        </w:rPr>
        <w:t xml:space="preserve">Milevsky, A. (2005). Compensatory patterns of sibling support in emerging adulthood: Variations in loneliness, self-esteem, depression and life satisfaction. </w:t>
      </w:r>
      <w:r w:rsidRPr="005554ED">
        <w:rPr>
          <w:i/>
          <w:iCs/>
          <w:color w:val="000000" w:themeColor="text1"/>
        </w:rPr>
        <w:t>Journal of Social and Personal Relationships</w:t>
      </w:r>
      <w:r w:rsidRPr="005554ED">
        <w:rPr>
          <w:color w:val="000000" w:themeColor="text1"/>
        </w:rPr>
        <w:t xml:space="preserve">, </w:t>
      </w:r>
      <w:r w:rsidRPr="005554ED">
        <w:rPr>
          <w:i/>
          <w:iCs/>
          <w:color w:val="000000" w:themeColor="text1"/>
        </w:rPr>
        <w:t>22</w:t>
      </w:r>
      <w:r w:rsidRPr="005554ED">
        <w:rPr>
          <w:color w:val="000000" w:themeColor="text1"/>
        </w:rPr>
        <w:t xml:space="preserve">(6), 743–755. </w:t>
      </w:r>
      <w:hyperlink r:id="rId165" w:history="1">
        <w:r w:rsidRPr="005554ED">
          <w:rPr>
            <w:rStyle w:val="Hyperlink"/>
            <w:rFonts w:eastAsia="Arial"/>
            <w:color w:val="000000" w:themeColor="text1"/>
          </w:rPr>
          <w:t>https://doi.org/10.1177/0265407505056447</w:t>
        </w:r>
      </w:hyperlink>
    </w:p>
    <w:p w14:paraId="0E9E4B8C" w14:textId="77777777" w:rsidR="00B76713" w:rsidRPr="005554ED" w:rsidRDefault="00B76713" w:rsidP="00B76713">
      <w:pPr>
        <w:pStyle w:val="Bibliography"/>
        <w:rPr>
          <w:color w:val="000000" w:themeColor="text1"/>
        </w:rPr>
      </w:pPr>
      <w:proofErr w:type="spellStart"/>
      <w:r w:rsidRPr="005554ED">
        <w:rPr>
          <w:color w:val="000000" w:themeColor="text1"/>
        </w:rPr>
        <w:t>Miraldi</w:t>
      </w:r>
      <w:proofErr w:type="spellEnd"/>
      <w:r w:rsidRPr="005554ED">
        <w:rPr>
          <w:color w:val="000000" w:themeColor="text1"/>
        </w:rPr>
        <w:t xml:space="preserve">, P. N. (2010). </w:t>
      </w:r>
      <w:r w:rsidRPr="005554ED">
        <w:rPr>
          <w:i/>
          <w:iCs/>
          <w:color w:val="000000" w:themeColor="text1"/>
        </w:rPr>
        <w:t>Influence of college students’ MP3-player motives on their social interaction</w:t>
      </w:r>
      <w:r w:rsidRPr="005554ED">
        <w:rPr>
          <w:color w:val="000000" w:themeColor="text1"/>
        </w:rPr>
        <w:t>. Kent State University, College of Communication and Information.</w:t>
      </w:r>
    </w:p>
    <w:p w14:paraId="69C4E59E" w14:textId="77777777" w:rsidR="00B76713" w:rsidRPr="005554ED" w:rsidRDefault="00B76713" w:rsidP="00B76713">
      <w:pPr>
        <w:pStyle w:val="Bibliography"/>
        <w:rPr>
          <w:color w:val="000000" w:themeColor="text1"/>
        </w:rPr>
      </w:pPr>
      <w:r w:rsidRPr="005554ED">
        <w:rPr>
          <w:color w:val="000000" w:themeColor="text1"/>
        </w:rPr>
        <w:t xml:space="preserve">Moller, A. M. (2013). </w:t>
      </w:r>
      <w:r w:rsidRPr="005554ED">
        <w:rPr>
          <w:i/>
          <w:iCs/>
          <w:color w:val="000000" w:themeColor="text1"/>
        </w:rPr>
        <w:t>Differences in interpersonal problems among bereaved vs. Non-bereaved college students: The impact of loneliness and social inhibition</w:t>
      </w:r>
      <w:r w:rsidRPr="005554ED">
        <w:rPr>
          <w:color w:val="000000" w:themeColor="text1"/>
        </w:rPr>
        <w:t xml:space="preserve">. </w:t>
      </w:r>
      <w:hyperlink r:id="rId166" w:history="1">
        <w:r w:rsidRPr="005554ED">
          <w:rPr>
            <w:rStyle w:val="Hyperlink"/>
            <w:rFonts w:eastAsia="Arial"/>
            <w:color w:val="000000" w:themeColor="text1"/>
          </w:rPr>
          <w:t>https://doi.org/10.33915/etd.474</w:t>
        </w:r>
      </w:hyperlink>
    </w:p>
    <w:p w14:paraId="41A9BB3C" w14:textId="77777777" w:rsidR="00B76713" w:rsidRPr="005554ED" w:rsidRDefault="00B76713" w:rsidP="00B76713">
      <w:pPr>
        <w:pStyle w:val="Bibliography"/>
        <w:rPr>
          <w:color w:val="000000" w:themeColor="text1"/>
        </w:rPr>
      </w:pPr>
      <w:r w:rsidRPr="005554ED">
        <w:rPr>
          <w:color w:val="000000" w:themeColor="text1"/>
        </w:rPr>
        <w:lastRenderedPageBreak/>
        <w:t xml:space="preserve">Moore, S., &amp; Leung, C. (2002). Young people’s romantic attachment styles and their associations with well-being. </w:t>
      </w:r>
      <w:r w:rsidRPr="005554ED">
        <w:rPr>
          <w:i/>
          <w:iCs/>
          <w:color w:val="000000" w:themeColor="text1"/>
        </w:rPr>
        <w:t>Journal of Adolescence</w:t>
      </w:r>
      <w:r w:rsidRPr="005554ED">
        <w:rPr>
          <w:color w:val="000000" w:themeColor="text1"/>
        </w:rPr>
        <w:t xml:space="preserve">, </w:t>
      </w:r>
      <w:r w:rsidRPr="005554ED">
        <w:rPr>
          <w:i/>
          <w:iCs/>
          <w:color w:val="000000" w:themeColor="text1"/>
        </w:rPr>
        <w:t>25</w:t>
      </w:r>
      <w:r w:rsidRPr="005554ED">
        <w:rPr>
          <w:color w:val="000000" w:themeColor="text1"/>
        </w:rPr>
        <w:t xml:space="preserve">(2), 243–255. </w:t>
      </w:r>
      <w:hyperlink r:id="rId167" w:history="1">
        <w:r w:rsidRPr="005554ED">
          <w:rPr>
            <w:rStyle w:val="Hyperlink"/>
            <w:rFonts w:eastAsia="Arial"/>
            <w:color w:val="000000" w:themeColor="text1"/>
          </w:rPr>
          <w:t>https://doi.org/10.1006/jado.2002.0464</w:t>
        </w:r>
      </w:hyperlink>
    </w:p>
    <w:p w14:paraId="2780C8A9" w14:textId="77777777" w:rsidR="00B76713" w:rsidRPr="005554ED" w:rsidRDefault="00B76713" w:rsidP="00B76713">
      <w:pPr>
        <w:pStyle w:val="Bibliography"/>
        <w:rPr>
          <w:color w:val="000000" w:themeColor="text1"/>
        </w:rPr>
      </w:pPr>
      <w:proofErr w:type="spellStart"/>
      <w:r w:rsidRPr="005554ED">
        <w:rPr>
          <w:color w:val="000000" w:themeColor="text1"/>
        </w:rPr>
        <w:t>Morahan</w:t>
      </w:r>
      <w:proofErr w:type="spellEnd"/>
      <w:r w:rsidRPr="005554ED">
        <w:rPr>
          <w:color w:val="000000" w:themeColor="text1"/>
        </w:rPr>
        <w:t xml:space="preserve">-Martin, J., &amp; Schumacher, P. (2000). Incidence and correlates of pathological Internet use among college students. </w:t>
      </w:r>
      <w:r w:rsidRPr="005554ED">
        <w:rPr>
          <w:i/>
          <w:iCs/>
          <w:color w:val="000000" w:themeColor="text1"/>
        </w:rPr>
        <w:t>Computers in Human Behavior</w:t>
      </w:r>
      <w:r w:rsidRPr="005554ED">
        <w:rPr>
          <w:color w:val="000000" w:themeColor="text1"/>
        </w:rPr>
        <w:t xml:space="preserve">, </w:t>
      </w:r>
      <w:r w:rsidRPr="005554ED">
        <w:rPr>
          <w:i/>
          <w:iCs/>
          <w:color w:val="000000" w:themeColor="text1"/>
        </w:rPr>
        <w:t>16</w:t>
      </w:r>
      <w:r w:rsidRPr="005554ED">
        <w:rPr>
          <w:color w:val="000000" w:themeColor="text1"/>
        </w:rPr>
        <w:t xml:space="preserve">(1), 13–29. </w:t>
      </w:r>
      <w:hyperlink r:id="rId168" w:history="1">
        <w:r w:rsidRPr="005554ED">
          <w:rPr>
            <w:rStyle w:val="Hyperlink"/>
            <w:rFonts w:eastAsia="Arial"/>
            <w:color w:val="000000" w:themeColor="text1"/>
          </w:rPr>
          <w:t>https://doi.org/10.1016/S0747-5632(99)00049-7</w:t>
        </w:r>
      </w:hyperlink>
    </w:p>
    <w:p w14:paraId="129EC966" w14:textId="77777777" w:rsidR="00B76713" w:rsidRPr="005554ED" w:rsidRDefault="00B76713" w:rsidP="00B76713">
      <w:pPr>
        <w:pStyle w:val="Bibliography"/>
        <w:rPr>
          <w:color w:val="000000" w:themeColor="text1"/>
        </w:rPr>
      </w:pPr>
      <w:proofErr w:type="spellStart"/>
      <w:r w:rsidRPr="005554ED">
        <w:rPr>
          <w:color w:val="000000" w:themeColor="text1"/>
        </w:rPr>
        <w:t>Morahan</w:t>
      </w:r>
      <w:proofErr w:type="spellEnd"/>
      <w:r w:rsidRPr="005554ED">
        <w:rPr>
          <w:color w:val="000000" w:themeColor="text1"/>
        </w:rPr>
        <w:t xml:space="preserve">-Martin, Janet, &amp; Schumacher, P. (2003). Loneliness and social uses of the Internet. </w:t>
      </w:r>
      <w:r w:rsidRPr="005554ED">
        <w:rPr>
          <w:i/>
          <w:iCs/>
          <w:color w:val="000000" w:themeColor="text1"/>
        </w:rPr>
        <w:t>Computers in Human Behavior</w:t>
      </w:r>
      <w:r w:rsidRPr="005554ED">
        <w:rPr>
          <w:color w:val="000000" w:themeColor="text1"/>
        </w:rPr>
        <w:t xml:space="preserve">, </w:t>
      </w:r>
      <w:r w:rsidRPr="005554ED">
        <w:rPr>
          <w:i/>
          <w:iCs/>
          <w:color w:val="000000" w:themeColor="text1"/>
        </w:rPr>
        <w:t>19</w:t>
      </w:r>
      <w:r w:rsidRPr="005554ED">
        <w:rPr>
          <w:color w:val="000000" w:themeColor="text1"/>
        </w:rPr>
        <w:t xml:space="preserve">(6), 659–671. </w:t>
      </w:r>
      <w:hyperlink r:id="rId169" w:history="1">
        <w:r w:rsidRPr="005554ED">
          <w:rPr>
            <w:rStyle w:val="Hyperlink"/>
            <w:rFonts w:eastAsia="Arial"/>
            <w:color w:val="000000" w:themeColor="text1"/>
          </w:rPr>
          <w:t>https://doi.org/10.1016/S0747-5632(03)00040-2</w:t>
        </w:r>
      </w:hyperlink>
    </w:p>
    <w:p w14:paraId="70A104E6" w14:textId="77777777" w:rsidR="00B76713" w:rsidRPr="005554ED" w:rsidRDefault="00B76713" w:rsidP="00B76713">
      <w:pPr>
        <w:pStyle w:val="Bibliography"/>
        <w:rPr>
          <w:color w:val="000000" w:themeColor="text1"/>
          <w:lang w:val="de-DE"/>
        </w:rPr>
      </w:pPr>
      <w:proofErr w:type="spellStart"/>
      <w:r w:rsidRPr="005554ED">
        <w:rPr>
          <w:color w:val="000000" w:themeColor="text1"/>
        </w:rPr>
        <w:t>Moroń</w:t>
      </w:r>
      <w:proofErr w:type="spellEnd"/>
      <w:r w:rsidRPr="005554ED">
        <w:rPr>
          <w:color w:val="000000" w:themeColor="text1"/>
        </w:rPr>
        <w:t xml:space="preserve">, M. (2014). Emotion understanding, interpersonal competencies and loneliness among students. </w:t>
      </w:r>
      <w:r w:rsidRPr="005554ED">
        <w:rPr>
          <w:i/>
          <w:iCs/>
          <w:color w:val="000000" w:themeColor="text1"/>
          <w:lang w:val="de-DE"/>
        </w:rPr>
        <w:t>Polish Psychological Bulletin</w:t>
      </w:r>
      <w:r w:rsidRPr="005554ED">
        <w:rPr>
          <w:color w:val="000000" w:themeColor="text1"/>
          <w:lang w:val="de-DE"/>
        </w:rPr>
        <w:t xml:space="preserve">, </w:t>
      </w:r>
      <w:r w:rsidRPr="005554ED">
        <w:rPr>
          <w:i/>
          <w:iCs/>
          <w:color w:val="000000" w:themeColor="text1"/>
          <w:lang w:val="de-DE"/>
        </w:rPr>
        <w:t>45</w:t>
      </w:r>
      <w:r w:rsidRPr="005554ED">
        <w:rPr>
          <w:color w:val="000000" w:themeColor="text1"/>
          <w:lang w:val="de-DE"/>
        </w:rPr>
        <w:t xml:space="preserve">(2), 223–239. </w:t>
      </w:r>
      <w:hyperlink r:id="rId170" w:history="1">
        <w:r w:rsidRPr="005554ED">
          <w:rPr>
            <w:rStyle w:val="Hyperlink"/>
            <w:rFonts w:eastAsia="Arial"/>
            <w:color w:val="000000" w:themeColor="text1"/>
            <w:lang w:val="de-DE"/>
          </w:rPr>
          <w:t>https://doi.org/10.2478/ppb-2014-0028</w:t>
        </w:r>
      </w:hyperlink>
    </w:p>
    <w:p w14:paraId="6C45EA42" w14:textId="77777777" w:rsidR="00B76713" w:rsidRPr="005554ED" w:rsidRDefault="00B76713" w:rsidP="00B76713">
      <w:pPr>
        <w:pStyle w:val="Bibliography"/>
        <w:rPr>
          <w:color w:val="000000" w:themeColor="text1"/>
        </w:rPr>
      </w:pPr>
      <w:r w:rsidRPr="005554ED">
        <w:rPr>
          <w:color w:val="000000" w:themeColor="text1"/>
          <w:lang w:val="de-DE"/>
        </w:rPr>
        <w:t xml:space="preserve">Morr, M., Lieberz, J., Dobbelstein, M., Stoffel-Wagner, B., Hurlemann, R., &amp; Scheele, D. (2018). </w:t>
      </w:r>
      <w:r w:rsidRPr="005554ED">
        <w:rPr>
          <w:i/>
          <w:iCs/>
          <w:color w:val="000000" w:themeColor="text1"/>
        </w:rPr>
        <w:t>Dynamics of stress and loneliness: Longitudinal assessment of changes in neural emotion processing</w:t>
      </w:r>
      <w:r w:rsidRPr="005554ED">
        <w:rPr>
          <w:color w:val="000000" w:themeColor="text1"/>
        </w:rPr>
        <w:t xml:space="preserve"> [Unpublished raw data].</w:t>
      </w:r>
    </w:p>
    <w:p w14:paraId="5138C5CF" w14:textId="77777777" w:rsidR="00B76713" w:rsidRPr="005554ED" w:rsidRDefault="00B76713" w:rsidP="00B76713">
      <w:pPr>
        <w:pStyle w:val="Bibliography"/>
        <w:rPr>
          <w:color w:val="000000" w:themeColor="text1"/>
        </w:rPr>
      </w:pPr>
      <w:r w:rsidRPr="005554ED">
        <w:rPr>
          <w:color w:val="000000" w:themeColor="text1"/>
          <w:lang w:val="de-DE"/>
        </w:rPr>
        <w:t xml:space="preserve">Moskowitz, D. S., Miners, C. T. H., &amp; Andrevski, G. A. (2013). </w:t>
      </w:r>
      <w:r w:rsidRPr="005554ED">
        <w:rPr>
          <w:i/>
          <w:iCs/>
          <w:color w:val="000000" w:themeColor="text1"/>
        </w:rPr>
        <w:t>Interpersonal consequences of within-person variability</w:t>
      </w:r>
      <w:r w:rsidRPr="005554ED">
        <w:rPr>
          <w:color w:val="000000" w:themeColor="text1"/>
        </w:rPr>
        <w:t xml:space="preserve"> [Unpublished raw data].</w:t>
      </w:r>
    </w:p>
    <w:p w14:paraId="0A097C55" w14:textId="77777777" w:rsidR="00B76713" w:rsidRPr="005554ED" w:rsidRDefault="00B76713" w:rsidP="00B76713">
      <w:pPr>
        <w:pStyle w:val="Bibliography"/>
        <w:rPr>
          <w:color w:val="000000" w:themeColor="text1"/>
        </w:rPr>
      </w:pPr>
      <w:r w:rsidRPr="005554ED">
        <w:rPr>
          <w:color w:val="000000" w:themeColor="text1"/>
        </w:rPr>
        <w:t xml:space="preserve">Mounts, N. S., </w:t>
      </w:r>
      <w:proofErr w:type="spellStart"/>
      <w:r w:rsidRPr="005554ED">
        <w:rPr>
          <w:color w:val="000000" w:themeColor="text1"/>
        </w:rPr>
        <w:t>Valentiner</w:t>
      </w:r>
      <w:proofErr w:type="spellEnd"/>
      <w:r w:rsidRPr="005554ED">
        <w:rPr>
          <w:color w:val="000000" w:themeColor="text1"/>
        </w:rPr>
        <w:t xml:space="preserve">, D. P., Anderson, K. L., &amp; Boswell, M. K. (2006). Shyness, sociability, and parental support for the college transition: Relation to adolescents’ adjustment. </w:t>
      </w:r>
      <w:r w:rsidRPr="005554ED">
        <w:rPr>
          <w:i/>
          <w:iCs/>
          <w:color w:val="000000" w:themeColor="text1"/>
        </w:rPr>
        <w:t>Journal of Youth and Adolescence</w:t>
      </w:r>
      <w:r w:rsidRPr="005554ED">
        <w:rPr>
          <w:color w:val="000000" w:themeColor="text1"/>
        </w:rPr>
        <w:t xml:space="preserve">, </w:t>
      </w:r>
      <w:r w:rsidRPr="005554ED">
        <w:rPr>
          <w:i/>
          <w:iCs/>
          <w:color w:val="000000" w:themeColor="text1"/>
        </w:rPr>
        <w:t>35</w:t>
      </w:r>
      <w:r w:rsidRPr="005554ED">
        <w:rPr>
          <w:color w:val="000000" w:themeColor="text1"/>
        </w:rPr>
        <w:t xml:space="preserve">(1), 68–77. </w:t>
      </w:r>
      <w:hyperlink r:id="rId171" w:history="1">
        <w:r w:rsidRPr="005554ED">
          <w:rPr>
            <w:rStyle w:val="Hyperlink"/>
            <w:rFonts w:eastAsia="Arial"/>
            <w:color w:val="000000" w:themeColor="text1"/>
          </w:rPr>
          <w:t>https://doi.org/10.1007/s10964-005-9002-9</w:t>
        </w:r>
      </w:hyperlink>
    </w:p>
    <w:p w14:paraId="28F36C19" w14:textId="77777777" w:rsidR="00B76713" w:rsidRPr="005554ED" w:rsidRDefault="00B76713" w:rsidP="00B76713">
      <w:pPr>
        <w:pStyle w:val="Bibliography"/>
        <w:rPr>
          <w:color w:val="000000" w:themeColor="text1"/>
        </w:rPr>
      </w:pPr>
      <w:r w:rsidRPr="005554ED">
        <w:rPr>
          <w:color w:val="000000" w:themeColor="text1"/>
        </w:rPr>
        <w:lastRenderedPageBreak/>
        <w:t xml:space="preserve">Murphy, J. S., &amp; </w:t>
      </w:r>
      <w:proofErr w:type="spellStart"/>
      <w:r w:rsidRPr="005554ED">
        <w:rPr>
          <w:color w:val="000000" w:themeColor="text1"/>
        </w:rPr>
        <w:t>Newlon</w:t>
      </w:r>
      <w:proofErr w:type="spellEnd"/>
      <w:r w:rsidRPr="005554ED">
        <w:rPr>
          <w:color w:val="000000" w:themeColor="text1"/>
        </w:rPr>
        <w:t xml:space="preserve">, B. J. (1987). Loneliness and the mainstreamed </w:t>
      </w:r>
      <w:proofErr w:type="gramStart"/>
      <w:r w:rsidRPr="005554ED">
        <w:rPr>
          <w:color w:val="000000" w:themeColor="text1"/>
        </w:rPr>
        <w:t>hearing impaired</w:t>
      </w:r>
      <w:proofErr w:type="gramEnd"/>
      <w:r w:rsidRPr="005554ED">
        <w:rPr>
          <w:color w:val="000000" w:themeColor="text1"/>
        </w:rPr>
        <w:t xml:space="preserve"> college student. </w:t>
      </w:r>
      <w:r w:rsidRPr="005554ED">
        <w:rPr>
          <w:i/>
          <w:iCs/>
          <w:color w:val="000000" w:themeColor="text1"/>
        </w:rPr>
        <w:t>American Annals of the Deaf</w:t>
      </w:r>
      <w:r w:rsidRPr="005554ED">
        <w:rPr>
          <w:color w:val="000000" w:themeColor="text1"/>
        </w:rPr>
        <w:t xml:space="preserve">, </w:t>
      </w:r>
      <w:r w:rsidRPr="005554ED">
        <w:rPr>
          <w:i/>
          <w:iCs/>
          <w:color w:val="000000" w:themeColor="text1"/>
        </w:rPr>
        <w:t>132</w:t>
      </w:r>
      <w:r w:rsidRPr="005554ED">
        <w:rPr>
          <w:color w:val="000000" w:themeColor="text1"/>
        </w:rPr>
        <w:t xml:space="preserve">(1), 21–25. </w:t>
      </w:r>
      <w:hyperlink r:id="rId172" w:history="1">
        <w:r w:rsidRPr="005554ED">
          <w:rPr>
            <w:rStyle w:val="Hyperlink"/>
            <w:rFonts w:eastAsia="Arial"/>
            <w:color w:val="000000" w:themeColor="text1"/>
          </w:rPr>
          <w:t>https://doi.org/10.1353/aad.2012.0737</w:t>
        </w:r>
      </w:hyperlink>
    </w:p>
    <w:p w14:paraId="1D86BCCC" w14:textId="77777777" w:rsidR="00B76713" w:rsidRPr="005554ED" w:rsidRDefault="00B76713" w:rsidP="00B76713">
      <w:pPr>
        <w:pStyle w:val="Bibliography"/>
        <w:rPr>
          <w:color w:val="000000" w:themeColor="text1"/>
        </w:rPr>
      </w:pPr>
      <w:proofErr w:type="spellStart"/>
      <w:r w:rsidRPr="005554ED">
        <w:rPr>
          <w:color w:val="000000" w:themeColor="text1"/>
        </w:rPr>
        <w:t>Muyan</w:t>
      </w:r>
      <w:proofErr w:type="spellEnd"/>
      <w:r w:rsidRPr="005554ED">
        <w:rPr>
          <w:color w:val="000000" w:themeColor="text1"/>
        </w:rPr>
        <w:t xml:space="preserve">, M., &amp; Chang, E. C. (2015). Perfectionism as a predictor of suicidal risk in Turkish college students: Does loneliness contribute to further risk? </w:t>
      </w:r>
      <w:r w:rsidRPr="005554ED">
        <w:rPr>
          <w:i/>
          <w:iCs/>
          <w:color w:val="000000" w:themeColor="text1"/>
        </w:rPr>
        <w:t>Cognitive Therapy and Research</w:t>
      </w:r>
      <w:r w:rsidRPr="005554ED">
        <w:rPr>
          <w:color w:val="000000" w:themeColor="text1"/>
        </w:rPr>
        <w:t xml:space="preserve">, </w:t>
      </w:r>
      <w:r w:rsidRPr="005554ED">
        <w:rPr>
          <w:i/>
          <w:iCs/>
          <w:color w:val="000000" w:themeColor="text1"/>
        </w:rPr>
        <w:t>39</w:t>
      </w:r>
      <w:r w:rsidRPr="005554ED">
        <w:rPr>
          <w:color w:val="000000" w:themeColor="text1"/>
        </w:rPr>
        <w:t xml:space="preserve">(6), 776–784. </w:t>
      </w:r>
      <w:hyperlink r:id="rId173" w:history="1">
        <w:r w:rsidRPr="005554ED">
          <w:rPr>
            <w:rStyle w:val="Hyperlink"/>
            <w:rFonts w:eastAsia="Arial"/>
            <w:color w:val="000000" w:themeColor="text1"/>
          </w:rPr>
          <w:t>https://doi.org/10.1007/s10608-015-9711-7</w:t>
        </w:r>
      </w:hyperlink>
    </w:p>
    <w:p w14:paraId="55059D0C" w14:textId="77777777" w:rsidR="00B76713" w:rsidRPr="005554ED" w:rsidRDefault="00B76713" w:rsidP="00B76713">
      <w:pPr>
        <w:pStyle w:val="Bibliography"/>
        <w:rPr>
          <w:color w:val="000000" w:themeColor="text1"/>
        </w:rPr>
      </w:pPr>
      <w:proofErr w:type="spellStart"/>
      <w:r w:rsidRPr="005554ED">
        <w:rPr>
          <w:color w:val="000000" w:themeColor="text1"/>
        </w:rPr>
        <w:t>Muyan</w:t>
      </w:r>
      <w:proofErr w:type="spellEnd"/>
      <w:r w:rsidRPr="005554ED">
        <w:rPr>
          <w:color w:val="000000" w:themeColor="text1"/>
        </w:rPr>
        <w:t xml:space="preserve">, M., Chang, E. C., Jilani, Z., Yu, T., Lin, J., &amp; Hirsch, J. K. (2016). Loneliness and negative affective conditions in adults: </w:t>
      </w:r>
      <w:proofErr w:type="gramStart"/>
      <w:r w:rsidRPr="005554ED">
        <w:rPr>
          <w:color w:val="000000" w:themeColor="text1"/>
        </w:rPr>
        <w:t>Is</w:t>
      </w:r>
      <w:proofErr w:type="gramEnd"/>
      <w:r w:rsidRPr="005554ED">
        <w:rPr>
          <w:color w:val="000000" w:themeColor="text1"/>
        </w:rPr>
        <w:t xml:space="preserve"> there any room for hope in predicting anxiety and depressive symptoms? </w:t>
      </w:r>
      <w:r w:rsidRPr="005554ED">
        <w:rPr>
          <w:i/>
          <w:iCs/>
          <w:color w:val="000000" w:themeColor="text1"/>
        </w:rPr>
        <w:t>The Journal of Psychology</w:t>
      </w:r>
      <w:r w:rsidRPr="005554ED">
        <w:rPr>
          <w:color w:val="000000" w:themeColor="text1"/>
        </w:rPr>
        <w:t xml:space="preserve">, </w:t>
      </w:r>
      <w:r w:rsidRPr="005554ED">
        <w:rPr>
          <w:i/>
          <w:iCs/>
          <w:color w:val="000000" w:themeColor="text1"/>
        </w:rPr>
        <w:t>150</w:t>
      </w:r>
      <w:r w:rsidRPr="005554ED">
        <w:rPr>
          <w:color w:val="000000" w:themeColor="text1"/>
        </w:rPr>
        <w:t xml:space="preserve">(3), 333–341. </w:t>
      </w:r>
      <w:hyperlink r:id="rId174" w:history="1">
        <w:r w:rsidRPr="005554ED">
          <w:rPr>
            <w:rStyle w:val="Hyperlink"/>
            <w:rFonts w:eastAsia="Arial"/>
            <w:color w:val="000000" w:themeColor="text1"/>
          </w:rPr>
          <w:t>https://doi.org/10.1080/00223980.2015.1039474</w:t>
        </w:r>
      </w:hyperlink>
    </w:p>
    <w:p w14:paraId="5366C560" w14:textId="77777777" w:rsidR="00B76713" w:rsidRPr="005554ED" w:rsidRDefault="00B76713" w:rsidP="00B76713">
      <w:pPr>
        <w:pStyle w:val="Bibliography"/>
        <w:rPr>
          <w:color w:val="000000" w:themeColor="text1"/>
        </w:rPr>
      </w:pPr>
      <w:r w:rsidRPr="005554ED">
        <w:rPr>
          <w:color w:val="000000" w:themeColor="text1"/>
        </w:rPr>
        <w:t xml:space="preserve">Naqshbandi, M. M., </w:t>
      </w:r>
      <w:proofErr w:type="spellStart"/>
      <w:r w:rsidRPr="005554ED">
        <w:rPr>
          <w:color w:val="000000" w:themeColor="text1"/>
        </w:rPr>
        <w:t>Ainin</w:t>
      </w:r>
      <w:proofErr w:type="spellEnd"/>
      <w:r w:rsidRPr="005554ED">
        <w:rPr>
          <w:color w:val="000000" w:themeColor="text1"/>
        </w:rPr>
        <w:t xml:space="preserve">, S., Jaafar, N. I., &amp; </w:t>
      </w:r>
      <w:proofErr w:type="spellStart"/>
      <w:r w:rsidRPr="005554ED">
        <w:rPr>
          <w:color w:val="000000" w:themeColor="text1"/>
        </w:rPr>
        <w:t>Mohd</w:t>
      </w:r>
      <w:proofErr w:type="spellEnd"/>
      <w:r w:rsidRPr="005554ED">
        <w:rPr>
          <w:color w:val="000000" w:themeColor="text1"/>
        </w:rPr>
        <w:t xml:space="preserve"> </w:t>
      </w:r>
      <w:proofErr w:type="spellStart"/>
      <w:r w:rsidRPr="005554ED">
        <w:rPr>
          <w:color w:val="000000" w:themeColor="text1"/>
        </w:rPr>
        <w:t>Shuib</w:t>
      </w:r>
      <w:proofErr w:type="spellEnd"/>
      <w:r w:rsidRPr="005554ED">
        <w:rPr>
          <w:color w:val="000000" w:themeColor="text1"/>
        </w:rPr>
        <w:t xml:space="preserve">, N. L. (2017). To Facebook or to Face Book? An investigation of how academic performance of different personalities is affected through the intervention of Facebook usage. </w:t>
      </w:r>
      <w:r w:rsidRPr="005554ED">
        <w:rPr>
          <w:i/>
          <w:iCs/>
          <w:color w:val="000000" w:themeColor="text1"/>
        </w:rPr>
        <w:t>Computers in Human Behavior</w:t>
      </w:r>
      <w:r w:rsidRPr="005554ED">
        <w:rPr>
          <w:color w:val="000000" w:themeColor="text1"/>
        </w:rPr>
        <w:t xml:space="preserve">, </w:t>
      </w:r>
      <w:r w:rsidRPr="005554ED">
        <w:rPr>
          <w:i/>
          <w:iCs/>
          <w:color w:val="000000" w:themeColor="text1"/>
        </w:rPr>
        <w:t>75</w:t>
      </w:r>
      <w:r w:rsidRPr="005554ED">
        <w:rPr>
          <w:color w:val="000000" w:themeColor="text1"/>
        </w:rPr>
        <w:t xml:space="preserve">, 167–176. </w:t>
      </w:r>
      <w:hyperlink r:id="rId175" w:history="1">
        <w:r w:rsidRPr="005554ED">
          <w:rPr>
            <w:rStyle w:val="Hyperlink"/>
            <w:rFonts w:eastAsia="Arial"/>
            <w:color w:val="000000" w:themeColor="text1"/>
          </w:rPr>
          <w:t>https://doi.org/10.1016/j.chb.2017.05.012</w:t>
        </w:r>
      </w:hyperlink>
    </w:p>
    <w:p w14:paraId="28AEE2EC" w14:textId="77777777" w:rsidR="00B76713" w:rsidRPr="005554ED" w:rsidRDefault="00B76713" w:rsidP="00B76713">
      <w:pPr>
        <w:pStyle w:val="Bibliography"/>
        <w:rPr>
          <w:color w:val="000000" w:themeColor="text1"/>
        </w:rPr>
      </w:pPr>
      <w:r w:rsidRPr="005554ED">
        <w:rPr>
          <w:color w:val="000000" w:themeColor="text1"/>
        </w:rPr>
        <w:t xml:space="preserve">Neto, F., &amp; Barros, J. (2000). Psychosocial concomitants of loneliness among students of Cape Verde and Portugal. </w:t>
      </w:r>
      <w:r w:rsidRPr="005554ED">
        <w:rPr>
          <w:i/>
          <w:iCs/>
          <w:color w:val="000000" w:themeColor="text1"/>
        </w:rPr>
        <w:t>The Journal of Psychology</w:t>
      </w:r>
      <w:r w:rsidRPr="005554ED">
        <w:rPr>
          <w:color w:val="000000" w:themeColor="text1"/>
        </w:rPr>
        <w:t xml:space="preserve">, </w:t>
      </w:r>
      <w:r w:rsidRPr="005554ED">
        <w:rPr>
          <w:i/>
          <w:iCs/>
          <w:color w:val="000000" w:themeColor="text1"/>
        </w:rPr>
        <w:t>134</w:t>
      </w:r>
      <w:r w:rsidRPr="005554ED">
        <w:rPr>
          <w:color w:val="000000" w:themeColor="text1"/>
        </w:rPr>
        <w:t xml:space="preserve">(5), 503–514. </w:t>
      </w:r>
      <w:hyperlink r:id="rId176" w:history="1">
        <w:r w:rsidRPr="005554ED">
          <w:rPr>
            <w:rStyle w:val="Hyperlink"/>
            <w:rFonts w:eastAsia="Arial"/>
            <w:color w:val="000000" w:themeColor="text1"/>
          </w:rPr>
          <w:t>https://doi.org/10.1080/00223980009598232</w:t>
        </w:r>
      </w:hyperlink>
    </w:p>
    <w:p w14:paraId="5844328D" w14:textId="77777777" w:rsidR="00B76713" w:rsidRPr="005554ED" w:rsidRDefault="00B76713" w:rsidP="00B76713">
      <w:pPr>
        <w:pStyle w:val="Bibliography"/>
        <w:rPr>
          <w:color w:val="000000" w:themeColor="text1"/>
        </w:rPr>
      </w:pPr>
      <w:r w:rsidRPr="005554ED">
        <w:rPr>
          <w:color w:val="000000" w:themeColor="text1"/>
        </w:rPr>
        <w:t xml:space="preserve">Neto, Félix, &amp; Barros, J. (2003). Predictors of loneliness among students and nuns in Angola and Portugal. </w:t>
      </w:r>
      <w:r w:rsidRPr="005554ED">
        <w:rPr>
          <w:i/>
          <w:iCs/>
          <w:color w:val="000000" w:themeColor="text1"/>
        </w:rPr>
        <w:t>The Journal of Psychology</w:t>
      </w:r>
      <w:r w:rsidRPr="005554ED">
        <w:rPr>
          <w:color w:val="000000" w:themeColor="text1"/>
        </w:rPr>
        <w:t xml:space="preserve">, </w:t>
      </w:r>
      <w:r w:rsidRPr="005554ED">
        <w:rPr>
          <w:i/>
          <w:iCs/>
          <w:color w:val="000000" w:themeColor="text1"/>
        </w:rPr>
        <w:t>137</w:t>
      </w:r>
      <w:r w:rsidRPr="005554ED">
        <w:rPr>
          <w:color w:val="000000" w:themeColor="text1"/>
        </w:rPr>
        <w:t xml:space="preserve">(4), 351–362. </w:t>
      </w:r>
      <w:hyperlink r:id="rId177" w:history="1">
        <w:r w:rsidRPr="005554ED">
          <w:rPr>
            <w:rStyle w:val="Hyperlink"/>
            <w:rFonts w:eastAsia="Arial"/>
            <w:color w:val="000000" w:themeColor="text1"/>
          </w:rPr>
          <w:t>https://doi.org/10.1080/00223980309600619</w:t>
        </w:r>
      </w:hyperlink>
    </w:p>
    <w:p w14:paraId="4B543B9D" w14:textId="77777777" w:rsidR="00B76713" w:rsidRPr="005554ED" w:rsidRDefault="00B76713" w:rsidP="00B76713">
      <w:pPr>
        <w:pStyle w:val="Bibliography"/>
        <w:rPr>
          <w:color w:val="000000" w:themeColor="text1"/>
        </w:rPr>
      </w:pPr>
      <w:r w:rsidRPr="005554ED">
        <w:rPr>
          <w:color w:val="000000" w:themeColor="text1"/>
        </w:rPr>
        <w:t xml:space="preserve">Neto, Félix, &amp; Wilks, D. C. (2017). Predictors of psychological adaptation of cape </w:t>
      </w:r>
      <w:proofErr w:type="spellStart"/>
      <w:r w:rsidRPr="005554ED">
        <w:rPr>
          <w:color w:val="000000" w:themeColor="text1"/>
        </w:rPr>
        <w:t>verdean</w:t>
      </w:r>
      <w:proofErr w:type="spellEnd"/>
      <w:r w:rsidRPr="005554ED">
        <w:rPr>
          <w:color w:val="000000" w:themeColor="text1"/>
        </w:rPr>
        <w:t xml:space="preserve"> students in Portugal. </w:t>
      </w:r>
      <w:r w:rsidRPr="005554ED">
        <w:rPr>
          <w:i/>
          <w:iCs/>
          <w:color w:val="000000" w:themeColor="text1"/>
        </w:rPr>
        <w:t>Journal of College Student Development</w:t>
      </w:r>
      <w:r w:rsidRPr="005554ED">
        <w:rPr>
          <w:color w:val="000000" w:themeColor="text1"/>
        </w:rPr>
        <w:t xml:space="preserve">, </w:t>
      </w:r>
      <w:r w:rsidRPr="005554ED">
        <w:rPr>
          <w:i/>
          <w:iCs/>
          <w:color w:val="000000" w:themeColor="text1"/>
        </w:rPr>
        <w:t>58</w:t>
      </w:r>
      <w:r w:rsidRPr="005554ED">
        <w:rPr>
          <w:color w:val="000000" w:themeColor="text1"/>
        </w:rPr>
        <w:t xml:space="preserve">(7), 1087–1100. </w:t>
      </w:r>
      <w:hyperlink r:id="rId178" w:history="1">
        <w:r w:rsidRPr="005554ED">
          <w:rPr>
            <w:rStyle w:val="Hyperlink"/>
            <w:rFonts w:eastAsia="Arial"/>
            <w:color w:val="000000" w:themeColor="text1"/>
          </w:rPr>
          <w:t>https://doi.org/10.1353/csd.2017.0085</w:t>
        </w:r>
      </w:hyperlink>
    </w:p>
    <w:p w14:paraId="797FE18E" w14:textId="77777777" w:rsidR="00B76713" w:rsidRPr="005554ED" w:rsidRDefault="00B76713" w:rsidP="00B76713">
      <w:pPr>
        <w:pStyle w:val="Bibliography"/>
        <w:rPr>
          <w:color w:val="000000" w:themeColor="text1"/>
        </w:rPr>
      </w:pPr>
      <w:r w:rsidRPr="005554ED">
        <w:rPr>
          <w:color w:val="000000" w:themeColor="text1"/>
        </w:rPr>
        <w:lastRenderedPageBreak/>
        <w:t>Newcomb-</w:t>
      </w:r>
      <w:proofErr w:type="spellStart"/>
      <w:r w:rsidRPr="005554ED">
        <w:rPr>
          <w:color w:val="000000" w:themeColor="text1"/>
        </w:rPr>
        <w:t>Anjo</w:t>
      </w:r>
      <w:proofErr w:type="spellEnd"/>
      <w:r w:rsidRPr="005554ED">
        <w:rPr>
          <w:color w:val="000000" w:themeColor="text1"/>
        </w:rPr>
        <w:t xml:space="preserve">, S. E., </w:t>
      </w:r>
      <w:proofErr w:type="spellStart"/>
      <w:r w:rsidRPr="005554ED">
        <w:rPr>
          <w:color w:val="000000" w:themeColor="text1"/>
        </w:rPr>
        <w:t>Villemaire-Krajden</w:t>
      </w:r>
      <w:proofErr w:type="spellEnd"/>
      <w:r w:rsidRPr="005554ED">
        <w:rPr>
          <w:color w:val="000000" w:themeColor="text1"/>
        </w:rPr>
        <w:t xml:space="preserve">, R., </w:t>
      </w:r>
      <w:proofErr w:type="spellStart"/>
      <w:r w:rsidRPr="005554ED">
        <w:rPr>
          <w:color w:val="000000" w:themeColor="text1"/>
        </w:rPr>
        <w:t>Takefman</w:t>
      </w:r>
      <w:proofErr w:type="spellEnd"/>
      <w:r w:rsidRPr="005554ED">
        <w:rPr>
          <w:color w:val="000000" w:themeColor="text1"/>
        </w:rPr>
        <w:t xml:space="preserve">, K., &amp; Barker, E. T. (2017). The unique associations of academic experiences with depressive symptoms in emerging adulthood. </w:t>
      </w:r>
      <w:r w:rsidRPr="005554ED">
        <w:rPr>
          <w:i/>
          <w:iCs/>
          <w:color w:val="000000" w:themeColor="text1"/>
        </w:rPr>
        <w:t>Emerging Adulthood</w:t>
      </w:r>
      <w:r w:rsidRPr="005554ED">
        <w:rPr>
          <w:color w:val="000000" w:themeColor="text1"/>
        </w:rPr>
        <w:t xml:space="preserve">, </w:t>
      </w:r>
      <w:r w:rsidRPr="005554ED">
        <w:rPr>
          <w:i/>
          <w:iCs/>
          <w:color w:val="000000" w:themeColor="text1"/>
        </w:rPr>
        <w:t>5</w:t>
      </w:r>
      <w:r w:rsidRPr="005554ED">
        <w:rPr>
          <w:color w:val="000000" w:themeColor="text1"/>
        </w:rPr>
        <w:t xml:space="preserve">(1), 75–80. </w:t>
      </w:r>
      <w:hyperlink r:id="rId179" w:history="1">
        <w:r w:rsidRPr="005554ED">
          <w:rPr>
            <w:rStyle w:val="Hyperlink"/>
            <w:rFonts w:eastAsia="Arial"/>
            <w:color w:val="000000" w:themeColor="text1"/>
          </w:rPr>
          <w:t>https://doi.org/10.1177/2167696816657233</w:t>
        </w:r>
      </w:hyperlink>
    </w:p>
    <w:p w14:paraId="39FCF787" w14:textId="77777777" w:rsidR="00B76713" w:rsidRPr="005554ED" w:rsidRDefault="00B76713" w:rsidP="00B76713">
      <w:pPr>
        <w:pStyle w:val="Bibliography"/>
        <w:rPr>
          <w:color w:val="000000" w:themeColor="text1"/>
        </w:rPr>
      </w:pPr>
      <w:r w:rsidRPr="005554ED">
        <w:rPr>
          <w:color w:val="000000" w:themeColor="text1"/>
        </w:rPr>
        <w:t xml:space="preserve">Nguyen, T. T., Werner, K. M., &amp; </w:t>
      </w:r>
      <w:proofErr w:type="spellStart"/>
      <w:r w:rsidRPr="005554ED">
        <w:rPr>
          <w:color w:val="000000" w:themeColor="text1"/>
        </w:rPr>
        <w:t>Soenens</w:t>
      </w:r>
      <w:proofErr w:type="spellEnd"/>
      <w:r w:rsidRPr="005554ED">
        <w:rPr>
          <w:color w:val="000000" w:themeColor="text1"/>
        </w:rPr>
        <w:t xml:space="preserve">, B. (2019). Embracing me-time: Motivation for solitude during transition to college. </w:t>
      </w:r>
      <w:r w:rsidRPr="005554ED">
        <w:rPr>
          <w:i/>
          <w:iCs/>
          <w:color w:val="000000" w:themeColor="text1"/>
        </w:rPr>
        <w:t>Motivation and Emotion</w:t>
      </w:r>
      <w:r w:rsidRPr="005554ED">
        <w:rPr>
          <w:color w:val="000000" w:themeColor="text1"/>
        </w:rPr>
        <w:t xml:space="preserve">, </w:t>
      </w:r>
      <w:r w:rsidRPr="005554ED">
        <w:rPr>
          <w:i/>
          <w:iCs/>
          <w:color w:val="000000" w:themeColor="text1"/>
        </w:rPr>
        <w:t>43</w:t>
      </w:r>
      <w:r w:rsidRPr="005554ED">
        <w:rPr>
          <w:color w:val="000000" w:themeColor="text1"/>
        </w:rPr>
        <w:t xml:space="preserve">(4), 571–591. </w:t>
      </w:r>
      <w:hyperlink r:id="rId180" w:history="1">
        <w:r w:rsidRPr="005554ED">
          <w:rPr>
            <w:rStyle w:val="Hyperlink"/>
            <w:rFonts w:eastAsia="Arial"/>
            <w:color w:val="000000" w:themeColor="text1"/>
          </w:rPr>
          <w:t>https://doi.org/10.1007/s11031-019-09759-9</w:t>
        </w:r>
      </w:hyperlink>
    </w:p>
    <w:p w14:paraId="38B0C219" w14:textId="77777777" w:rsidR="00B76713" w:rsidRPr="005554ED" w:rsidRDefault="00B76713" w:rsidP="00B76713">
      <w:pPr>
        <w:pStyle w:val="Bibliography"/>
        <w:rPr>
          <w:color w:val="000000" w:themeColor="text1"/>
        </w:rPr>
      </w:pPr>
      <w:r w:rsidRPr="005554ED">
        <w:rPr>
          <w:color w:val="000000" w:themeColor="text1"/>
        </w:rPr>
        <w:t xml:space="preserve">Ni, S., Yang, R., Zhang, Y., &amp; Dong, R. (2015). Effect of gratitude on loneliness of Chinese college students: Social support as a mediator. </w:t>
      </w:r>
      <w:r w:rsidRPr="005554ED">
        <w:rPr>
          <w:i/>
          <w:iCs/>
          <w:color w:val="000000" w:themeColor="text1"/>
        </w:rPr>
        <w:t>Social Behavior and Personality: An International Journal</w:t>
      </w:r>
      <w:r w:rsidRPr="005554ED">
        <w:rPr>
          <w:color w:val="000000" w:themeColor="text1"/>
        </w:rPr>
        <w:t xml:space="preserve">, </w:t>
      </w:r>
      <w:r w:rsidRPr="005554ED">
        <w:rPr>
          <w:i/>
          <w:iCs/>
          <w:color w:val="000000" w:themeColor="text1"/>
        </w:rPr>
        <w:t>43</w:t>
      </w:r>
      <w:r w:rsidRPr="005554ED">
        <w:rPr>
          <w:color w:val="000000" w:themeColor="text1"/>
        </w:rPr>
        <w:t xml:space="preserve">(4), 559–566. </w:t>
      </w:r>
      <w:hyperlink r:id="rId181" w:history="1">
        <w:r w:rsidRPr="005554ED">
          <w:rPr>
            <w:rStyle w:val="Hyperlink"/>
            <w:rFonts w:eastAsia="Arial"/>
            <w:color w:val="000000" w:themeColor="text1"/>
          </w:rPr>
          <w:t>https://doi.org/10.2224/sbp.2015.43.4.559</w:t>
        </w:r>
      </w:hyperlink>
    </w:p>
    <w:p w14:paraId="7012FA91" w14:textId="77777777" w:rsidR="00B76713" w:rsidRPr="005554ED" w:rsidRDefault="00B76713" w:rsidP="00B76713">
      <w:pPr>
        <w:pStyle w:val="Bibliography"/>
        <w:rPr>
          <w:color w:val="000000" w:themeColor="text1"/>
        </w:rPr>
      </w:pPr>
      <w:r w:rsidRPr="005554ED">
        <w:rPr>
          <w:color w:val="000000" w:themeColor="text1"/>
          <w:lang w:val="de-DE"/>
        </w:rPr>
        <w:t xml:space="preserve">Nicpon, M. F., Huser, L., Blanks, E. H., Sollenberger, S., Befort, C., &amp; Kurpius, S. E. R. (2006). </w:t>
      </w:r>
      <w:r w:rsidRPr="005554ED">
        <w:rPr>
          <w:color w:val="000000" w:themeColor="text1"/>
        </w:rPr>
        <w:t xml:space="preserve">The relationship of loneliness and social support with college freshmen’s academic performance and persistence. </w:t>
      </w:r>
      <w:r w:rsidRPr="005554ED">
        <w:rPr>
          <w:i/>
          <w:iCs/>
          <w:color w:val="000000" w:themeColor="text1"/>
        </w:rPr>
        <w:t>Journal of College Student Retention: Research, Theory &amp; Practice</w:t>
      </w:r>
      <w:r w:rsidRPr="005554ED">
        <w:rPr>
          <w:color w:val="000000" w:themeColor="text1"/>
        </w:rPr>
        <w:t xml:space="preserve">, </w:t>
      </w:r>
      <w:r w:rsidRPr="005554ED">
        <w:rPr>
          <w:i/>
          <w:iCs/>
          <w:color w:val="000000" w:themeColor="text1"/>
        </w:rPr>
        <w:t>8</w:t>
      </w:r>
      <w:r w:rsidRPr="005554ED">
        <w:rPr>
          <w:color w:val="000000" w:themeColor="text1"/>
        </w:rPr>
        <w:t xml:space="preserve">(3), 345–358. </w:t>
      </w:r>
      <w:hyperlink r:id="rId182" w:history="1">
        <w:r w:rsidRPr="005554ED">
          <w:rPr>
            <w:rStyle w:val="Hyperlink"/>
            <w:rFonts w:eastAsia="Arial"/>
            <w:color w:val="000000" w:themeColor="text1"/>
          </w:rPr>
          <w:t>https://doi.org/10.2190/A465-356M-7652-783R</w:t>
        </w:r>
      </w:hyperlink>
    </w:p>
    <w:p w14:paraId="23238370" w14:textId="77777777" w:rsidR="00B76713" w:rsidRPr="005554ED" w:rsidRDefault="00B76713" w:rsidP="00B76713">
      <w:pPr>
        <w:pStyle w:val="Bibliography"/>
        <w:rPr>
          <w:color w:val="000000" w:themeColor="text1"/>
        </w:rPr>
      </w:pPr>
      <w:r w:rsidRPr="005554ED">
        <w:rPr>
          <w:color w:val="000000" w:themeColor="text1"/>
          <w:lang w:val="de-DE"/>
        </w:rPr>
        <w:t xml:space="preserve">Nikitin, J., Burgermeister, L. C., &amp; Freund, A. M. (2012). </w:t>
      </w:r>
      <w:r w:rsidRPr="005554ED">
        <w:rPr>
          <w:color w:val="000000" w:themeColor="text1"/>
        </w:rPr>
        <w:t xml:space="preserve">The role of age and social motivation in developmental transitions in young and old adulthood. </w:t>
      </w:r>
      <w:r w:rsidRPr="005554ED">
        <w:rPr>
          <w:i/>
          <w:iCs/>
          <w:color w:val="000000" w:themeColor="text1"/>
        </w:rPr>
        <w:t>Frontiers in Psychology</w:t>
      </w:r>
      <w:r w:rsidRPr="005554ED">
        <w:rPr>
          <w:color w:val="000000" w:themeColor="text1"/>
        </w:rPr>
        <w:t xml:space="preserve">, </w:t>
      </w:r>
      <w:r w:rsidRPr="005554ED">
        <w:rPr>
          <w:i/>
          <w:iCs/>
          <w:color w:val="000000" w:themeColor="text1"/>
        </w:rPr>
        <w:t>3</w:t>
      </w:r>
      <w:r w:rsidRPr="005554ED">
        <w:rPr>
          <w:color w:val="000000" w:themeColor="text1"/>
        </w:rPr>
        <w:t xml:space="preserve">, 366. </w:t>
      </w:r>
      <w:hyperlink r:id="rId183" w:history="1">
        <w:r w:rsidRPr="005554ED">
          <w:rPr>
            <w:rStyle w:val="Hyperlink"/>
            <w:rFonts w:eastAsia="Arial"/>
            <w:color w:val="000000" w:themeColor="text1"/>
          </w:rPr>
          <w:t>https://doi.org/10.3389/fpsyg.2012.00366</w:t>
        </w:r>
      </w:hyperlink>
    </w:p>
    <w:p w14:paraId="247635C8" w14:textId="77777777" w:rsidR="00B76713" w:rsidRPr="005554ED" w:rsidRDefault="00B76713" w:rsidP="00B76713">
      <w:pPr>
        <w:pStyle w:val="Bibliography"/>
        <w:rPr>
          <w:color w:val="000000" w:themeColor="text1"/>
        </w:rPr>
      </w:pPr>
      <w:proofErr w:type="spellStart"/>
      <w:r w:rsidRPr="005554ED">
        <w:rPr>
          <w:color w:val="000000" w:themeColor="text1"/>
        </w:rPr>
        <w:t>Nowland</w:t>
      </w:r>
      <w:proofErr w:type="spellEnd"/>
      <w:r w:rsidRPr="005554ED">
        <w:rPr>
          <w:color w:val="000000" w:themeColor="text1"/>
        </w:rPr>
        <w:t xml:space="preserve">, R., Robinson, S. J., Bradley, B. F., Summers, V., &amp; </w:t>
      </w:r>
      <w:proofErr w:type="spellStart"/>
      <w:r w:rsidRPr="005554ED">
        <w:rPr>
          <w:color w:val="000000" w:themeColor="text1"/>
        </w:rPr>
        <w:t>Qualter</w:t>
      </w:r>
      <w:proofErr w:type="spellEnd"/>
      <w:r w:rsidRPr="005554ED">
        <w:rPr>
          <w:color w:val="000000" w:themeColor="text1"/>
        </w:rPr>
        <w:t xml:space="preserve">, P. (2018). Loneliness, HPA stress reactivity and social threat sensitivity: Analyzing naturalistic social challenges. </w:t>
      </w:r>
      <w:r w:rsidRPr="005554ED">
        <w:rPr>
          <w:i/>
          <w:iCs/>
          <w:color w:val="000000" w:themeColor="text1"/>
        </w:rPr>
        <w:t>Scandinavian Journal of Psychology</w:t>
      </w:r>
      <w:r w:rsidRPr="005554ED">
        <w:rPr>
          <w:color w:val="000000" w:themeColor="text1"/>
        </w:rPr>
        <w:t xml:space="preserve">, </w:t>
      </w:r>
      <w:r w:rsidRPr="005554ED">
        <w:rPr>
          <w:i/>
          <w:iCs/>
          <w:color w:val="000000" w:themeColor="text1"/>
        </w:rPr>
        <w:t>59</w:t>
      </w:r>
      <w:r w:rsidRPr="005554ED">
        <w:rPr>
          <w:color w:val="000000" w:themeColor="text1"/>
        </w:rPr>
        <w:t xml:space="preserve">(5), 540–546. </w:t>
      </w:r>
      <w:hyperlink r:id="rId184" w:history="1">
        <w:r w:rsidRPr="005554ED">
          <w:rPr>
            <w:rStyle w:val="Hyperlink"/>
            <w:rFonts w:eastAsia="Arial"/>
            <w:color w:val="000000" w:themeColor="text1"/>
          </w:rPr>
          <w:t>https://doi.org/10.1111/sjop.12461</w:t>
        </w:r>
      </w:hyperlink>
    </w:p>
    <w:p w14:paraId="65FA082E" w14:textId="77777777" w:rsidR="00B76713" w:rsidRPr="005554ED" w:rsidRDefault="00B76713" w:rsidP="00B76713">
      <w:pPr>
        <w:pStyle w:val="Bibliography"/>
        <w:rPr>
          <w:color w:val="000000" w:themeColor="text1"/>
        </w:rPr>
      </w:pPr>
      <w:proofErr w:type="spellStart"/>
      <w:r w:rsidRPr="005554ED">
        <w:rPr>
          <w:color w:val="000000" w:themeColor="text1"/>
        </w:rPr>
        <w:t>Odacı</w:t>
      </w:r>
      <w:proofErr w:type="spellEnd"/>
      <w:r w:rsidRPr="005554ED">
        <w:rPr>
          <w:color w:val="000000" w:themeColor="text1"/>
        </w:rPr>
        <w:t xml:space="preserve">, H., &amp; </w:t>
      </w:r>
      <w:proofErr w:type="spellStart"/>
      <w:r w:rsidRPr="005554ED">
        <w:rPr>
          <w:color w:val="000000" w:themeColor="text1"/>
        </w:rPr>
        <w:t>Çelik</w:t>
      </w:r>
      <w:proofErr w:type="spellEnd"/>
      <w:r w:rsidRPr="005554ED">
        <w:rPr>
          <w:color w:val="000000" w:themeColor="text1"/>
        </w:rPr>
        <w:t xml:space="preserve">, Ç. B. (2013). Who are problematic Internet users? An investigation of the correlations between problematic internet use and shyness, loneliness, narcissism, </w:t>
      </w:r>
      <w:r w:rsidRPr="005554ED">
        <w:rPr>
          <w:color w:val="000000" w:themeColor="text1"/>
        </w:rPr>
        <w:lastRenderedPageBreak/>
        <w:t xml:space="preserve">aggression and self-perception. </w:t>
      </w:r>
      <w:r w:rsidRPr="005554ED">
        <w:rPr>
          <w:i/>
          <w:iCs/>
          <w:color w:val="000000" w:themeColor="text1"/>
        </w:rPr>
        <w:t>Computers in Human Behavior</w:t>
      </w:r>
      <w:r w:rsidRPr="005554ED">
        <w:rPr>
          <w:color w:val="000000" w:themeColor="text1"/>
        </w:rPr>
        <w:t xml:space="preserve">, </w:t>
      </w:r>
      <w:r w:rsidRPr="005554ED">
        <w:rPr>
          <w:i/>
          <w:iCs/>
          <w:color w:val="000000" w:themeColor="text1"/>
        </w:rPr>
        <w:t>29</w:t>
      </w:r>
      <w:r w:rsidRPr="005554ED">
        <w:rPr>
          <w:color w:val="000000" w:themeColor="text1"/>
        </w:rPr>
        <w:t xml:space="preserve">(6), 2382–2387. </w:t>
      </w:r>
      <w:hyperlink r:id="rId185" w:history="1">
        <w:r w:rsidRPr="005554ED">
          <w:rPr>
            <w:rStyle w:val="Hyperlink"/>
            <w:rFonts w:eastAsia="Arial"/>
            <w:color w:val="000000" w:themeColor="text1"/>
          </w:rPr>
          <w:t>https://doi.org/10.1016/j.chb.2013.05.026</w:t>
        </w:r>
      </w:hyperlink>
    </w:p>
    <w:p w14:paraId="4418B456" w14:textId="77777777" w:rsidR="00B76713" w:rsidRPr="005554ED" w:rsidRDefault="00B76713" w:rsidP="00B76713">
      <w:pPr>
        <w:pStyle w:val="Bibliography"/>
        <w:rPr>
          <w:color w:val="000000" w:themeColor="text1"/>
        </w:rPr>
      </w:pPr>
      <w:r w:rsidRPr="005554ED">
        <w:rPr>
          <w:color w:val="000000" w:themeColor="text1"/>
        </w:rPr>
        <w:t xml:space="preserve">Olmstead, S. B., Roberson, P. N., &amp; Fincham, F. D. (2016). Early psychological distress is a precursor to college men’s later academic and social adjustment. </w:t>
      </w:r>
      <w:r w:rsidRPr="005554ED">
        <w:rPr>
          <w:i/>
          <w:iCs/>
          <w:color w:val="000000" w:themeColor="text1"/>
        </w:rPr>
        <w:t>College Student Journal</w:t>
      </w:r>
      <w:r w:rsidRPr="005554ED">
        <w:rPr>
          <w:color w:val="000000" w:themeColor="text1"/>
        </w:rPr>
        <w:t xml:space="preserve">, </w:t>
      </w:r>
      <w:r w:rsidRPr="005554ED">
        <w:rPr>
          <w:i/>
          <w:iCs/>
          <w:color w:val="000000" w:themeColor="text1"/>
        </w:rPr>
        <w:t>50</w:t>
      </w:r>
      <w:r w:rsidRPr="005554ED">
        <w:rPr>
          <w:color w:val="000000" w:themeColor="text1"/>
        </w:rPr>
        <w:t>(1), 53–58.</w:t>
      </w:r>
    </w:p>
    <w:p w14:paraId="02CB291A" w14:textId="77777777" w:rsidR="00B76713" w:rsidRPr="005554ED" w:rsidRDefault="00B76713" w:rsidP="00B76713">
      <w:pPr>
        <w:pStyle w:val="Bibliography"/>
        <w:rPr>
          <w:color w:val="000000" w:themeColor="text1"/>
        </w:rPr>
      </w:pPr>
      <w:r w:rsidRPr="005554ED">
        <w:rPr>
          <w:color w:val="000000" w:themeColor="text1"/>
        </w:rPr>
        <w:t xml:space="preserve">Ong, A. D., Rothstein, J. D., &amp; Uchino, B. N. (2012). Loneliness accentuates age differences in cardiovascular responses to social evaluative threat. </w:t>
      </w:r>
      <w:r w:rsidRPr="005554ED">
        <w:rPr>
          <w:i/>
          <w:iCs/>
          <w:color w:val="000000" w:themeColor="text1"/>
        </w:rPr>
        <w:t>Psychology and Aging</w:t>
      </w:r>
      <w:r w:rsidRPr="005554ED">
        <w:rPr>
          <w:color w:val="000000" w:themeColor="text1"/>
        </w:rPr>
        <w:t xml:space="preserve">, </w:t>
      </w:r>
      <w:r w:rsidRPr="005554ED">
        <w:rPr>
          <w:i/>
          <w:iCs/>
          <w:color w:val="000000" w:themeColor="text1"/>
        </w:rPr>
        <w:t>27</w:t>
      </w:r>
      <w:r w:rsidRPr="005554ED">
        <w:rPr>
          <w:color w:val="000000" w:themeColor="text1"/>
        </w:rPr>
        <w:t xml:space="preserve">(1), 190–198. </w:t>
      </w:r>
      <w:hyperlink r:id="rId186" w:history="1">
        <w:r w:rsidRPr="005554ED">
          <w:rPr>
            <w:rStyle w:val="Hyperlink"/>
            <w:rFonts w:eastAsia="Arial"/>
            <w:color w:val="000000" w:themeColor="text1"/>
          </w:rPr>
          <w:t>https://doi.org/10.1037/a0025570</w:t>
        </w:r>
      </w:hyperlink>
    </w:p>
    <w:p w14:paraId="46F48676" w14:textId="77777777" w:rsidR="00B76713" w:rsidRPr="005554ED" w:rsidRDefault="00B76713" w:rsidP="00B76713">
      <w:pPr>
        <w:pStyle w:val="Bibliography"/>
        <w:rPr>
          <w:color w:val="000000" w:themeColor="text1"/>
        </w:rPr>
      </w:pPr>
      <w:r w:rsidRPr="005554ED">
        <w:rPr>
          <w:color w:val="000000" w:themeColor="text1"/>
        </w:rPr>
        <w:t xml:space="preserve">O’Reilly, A., Ryan, D., &amp; Hickey, T. (2010). The psychological well-being and sociocultural adaptation of short-term international students in Ireland. </w:t>
      </w:r>
      <w:r w:rsidRPr="005554ED">
        <w:rPr>
          <w:i/>
          <w:iCs/>
          <w:color w:val="000000" w:themeColor="text1"/>
        </w:rPr>
        <w:t>Journal of College Student Development</w:t>
      </w:r>
      <w:r w:rsidRPr="005554ED">
        <w:rPr>
          <w:color w:val="000000" w:themeColor="text1"/>
        </w:rPr>
        <w:t xml:space="preserve">, </w:t>
      </w:r>
      <w:r w:rsidRPr="005554ED">
        <w:rPr>
          <w:i/>
          <w:iCs/>
          <w:color w:val="000000" w:themeColor="text1"/>
        </w:rPr>
        <w:t>51</w:t>
      </w:r>
      <w:r w:rsidRPr="005554ED">
        <w:rPr>
          <w:color w:val="000000" w:themeColor="text1"/>
        </w:rPr>
        <w:t xml:space="preserve">(5), 584–598. </w:t>
      </w:r>
      <w:hyperlink r:id="rId187" w:history="1">
        <w:r w:rsidRPr="005554ED">
          <w:rPr>
            <w:rStyle w:val="Hyperlink"/>
            <w:rFonts w:eastAsia="Arial"/>
            <w:color w:val="000000" w:themeColor="text1"/>
          </w:rPr>
          <w:t>https://doi.org/10.1353/csd.2010.0011</w:t>
        </w:r>
      </w:hyperlink>
    </w:p>
    <w:p w14:paraId="2DD749AB" w14:textId="77777777" w:rsidR="00B76713" w:rsidRPr="005554ED" w:rsidRDefault="00B76713" w:rsidP="00B76713">
      <w:pPr>
        <w:pStyle w:val="Bibliography"/>
        <w:rPr>
          <w:color w:val="000000" w:themeColor="text1"/>
        </w:rPr>
      </w:pPr>
      <w:r w:rsidRPr="005554ED">
        <w:rPr>
          <w:color w:val="000000" w:themeColor="text1"/>
        </w:rPr>
        <w:t xml:space="preserve">Orth, U., Robins, R. W., Meier, L. L., &amp; Conger, R. D. (2016). Refining the vulnerability model of low self-esteem and depression: Disentangling the effects of genuine self-esteem and narcissism. </w:t>
      </w:r>
      <w:r w:rsidRPr="005554ED">
        <w:rPr>
          <w:i/>
          <w:iCs/>
          <w:color w:val="000000" w:themeColor="text1"/>
        </w:rPr>
        <w:t>Journal of Personality and Social Psychology</w:t>
      </w:r>
      <w:r w:rsidRPr="005554ED">
        <w:rPr>
          <w:color w:val="000000" w:themeColor="text1"/>
        </w:rPr>
        <w:t xml:space="preserve">, </w:t>
      </w:r>
      <w:r w:rsidRPr="005554ED">
        <w:rPr>
          <w:i/>
          <w:iCs/>
          <w:color w:val="000000" w:themeColor="text1"/>
        </w:rPr>
        <w:t>110</w:t>
      </w:r>
      <w:r w:rsidRPr="005554ED">
        <w:rPr>
          <w:color w:val="000000" w:themeColor="text1"/>
        </w:rPr>
        <w:t xml:space="preserve">(1), 133–149. </w:t>
      </w:r>
      <w:hyperlink r:id="rId188" w:history="1">
        <w:r w:rsidRPr="005554ED">
          <w:rPr>
            <w:rStyle w:val="Hyperlink"/>
            <w:rFonts w:eastAsia="Arial"/>
            <w:color w:val="000000" w:themeColor="text1"/>
          </w:rPr>
          <w:t>https://doi.org/10.1037/pspp0000038</w:t>
        </w:r>
      </w:hyperlink>
    </w:p>
    <w:p w14:paraId="3731E5B6" w14:textId="77777777" w:rsidR="00B76713" w:rsidRPr="005554ED" w:rsidRDefault="00B76713" w:rsidP="00B76713">
      <w:pPr>
        <w:pStyle w:val="Bibliography"/>
        <w:rPr>
          <w:color w:val="000000" w:themeColor="text1"/>
        </w:rPr>
      </w:pPr>
      <w:proofErr w:type="spellStart"/>
      <w:r w:rsidRPr="005554ED">
        <w:rPr>
          <w:color w:val="000000" w:themeColor="text1"/>
        </w:rPr>
        <w:t>Ozben</w:t>
      </w:r>
      <w:proofErr w:type="spellEnd"/>
      <w:r w:rsidRPr="005554ED">
        <w:rPr>
          <w:color w:val="000000" w:themeColor="text1"/>
        </w:rPr>
        <w:t xml:space="preserve">, S. (2013). Social skills, life satisfaction, and loneliness in Turkish university students. </w:t>
      </w:r>
      <w:r w:rsidRPr="005554ED">
        <w:rPr>
          <w:i/>
          <w:iCs/>
          <w:color w:val="000000" w:themeColor="text1"/>
        </w:rPr>
        <w:t>Social Behavior and Personality: An International Journal</w:t>
      </w:r>
      <w:r w:rsidRPr="005554ED">
        <w:rPr>
          <w:color w:val="000000" w:themeColor="text1"/>
        </w:rPr>
        <w:t xml:space="preserve">, </w:t>
      </w:r>
      <w:r w:rsidRPr="005554ED">
        <w:rPr>
          <w:i/>
          <w:iCs/>
          <w:color w:val="000000" w:themeColor="text1"/>
        </w:rPr>
        <w:t>41</w:t>
      </w:r>
      <w:r w:rsidRPr="005554ED">
        <w:rPr>
          <w:color w:val="000000" w:themeColor="text1"/>
        </w:rPr>
        <w:t xml:space="preserve">(2), 203–213. </w:t>
      </w:r>
      <w:hyperlink r:id="rId189" w:history="1">
        <w:r w:rsidRPr="005554ED">
          <w:rPr>
            <w:rStyle w:val="Hyperlink"/>
            <w:rFonts w:eastAsia="Arial"/>
            <w:color w:val="000000" w:themeColor="text1"/>
          </w:rPr>
          <w:t>https://doi.org/10.2224/sbp.2013.41.2.203</w:t>
        </w:r>
      </w:hyperlink>
    </w:p>
    <w:p w14:paraId="104640A0" w14:textId="77777777" w:rsidR="00B76713" w:rsidRPr="005554ED" w:rsidRDefault="00B76713" w:rsidP="00B76713">
      <w:pPr>
        <w:pStyle w:val="Bibliography"/>
        <w:rPr>
          <w:color w:val="000000" w:themeColor="text1"/>
        </w:rPr>
      </w:pPr>
      <w:r w:rsidRPr="005554ED">
        <w:rPr>
          <w:color w:val="000000" w:themeColor="text1"/>
          <w:lang w:val="de-DE"/>
        </w:rPr>
        <w:t xml:space="preserve">Ozcan, N. K., &amp; Buzlu, S. (2007). </w:t>
      </w:r>
      <w:r w:rsidRPr="005554ED">
        <w:rPr>
          <w:color w:val="000000" w:themeColor="text1"/>
        </w:rPr>
        <w:t xml:space="preserve">Internet use and its relation with the psychosocial situation for a sample of university students. </w:t>
      </w:r>
      <w:r w:rsidRPr="005554ED">
        <w:rPr>
          <w:i/>
          <w:iCs/>
          <w:color w:val="000000" w:themeColor="text1"/>
        </w:rPr>
        <w:t xml:space="preserve">Cyberpsychology &amp; </w:t>
      </w:r>
      <w:proofErr w:type="gramStart"/>
      <w:r w:rsidRPr="005554ED">
        <w:rPr>
          <w:i/>
          <w:iCs/>
          <w:color w:val="000000" w:themeColor="text1"/>
        </w:rPr>
        <w:t>Behavior :</w:t>
      </w:r>
      <w:proofErr w:type="gramEnd"/>
      <w:r w:rsidRPr="005554ED">
        <w:rPr>
          <w:i/>
          <w:iCs/>
          <w:color w:val="000000" w:themeColor="text1"/>
        </w:rPr>
        <w:t xml:space="preserve"> The Impact of the Internet, Multimedia and Virtual Reality on Behavior and Society</w:t>
      </w:r>
      <w:r w:rsidRPr="005554ED">
        <w:rPr>
          <w:color w:val="000000" w:themeColor="text1"/>
        </w:rPr>
        <w:t xml:space="preserve">, </w:t>
      </w:r>
      <w:r w:rsidRPr="005554ED">
        <w:rPr>
          <w:i/>
          <w:iCs/>
          <w:color w:val="000000" w:themeColor="text1"/>
        </w:rPr>
        <w:t>10</w:t>
      </w:r>
      <w:r w:rsidRPr="005554ED">
        <w:rPr>
          <w:color w:val="000000" w:themeColor="text1"/>
        </w:rPr>
        <w:t xml:space="preserve">(6), 767–772. </w:t>
      </w:r>
      <w:hyperlink r:id="rId190" w:history="1">
        <w:r w:rsidRPr="005554ED">
          <w:rPr>
            <w:rStyle w:val="Hyperlink"/>
            <w:rFonts w:eastAsia="Arial"/>
            <w:color w:val="000000" w:themeColor="text1"/>
          </w:rPr>
          <w:t>https://doi.org/10.1089/cpb.2007.9953</w:t>
        </w:r>
      </w:hyperlink>
    </w:p>
    <w:p w14:paraId="7229F4DE" w14:textId="77777777" w:rsidR="00B76713" w:rsidRPr="005554ED" w:rsidRDefault="00B76713" w:rsidP="00B76713">
      <w:pPr>
        <w:pStyle w:val="Bibliography"/>
        <w:rPr>
          <w:color w:val="000000" w:themeColor="text1"/>
        </w:rPr>
      </w:pPr>
      <w:proofErr w:type="spellStart"/>
      <w:r w:rsidRPr="005554ED">
        <w:rPr>
          <w:color w:val="000000" w:themeColor="text1"/>
        </w:rPr>
        <w:lastRenderedPageBreak/>
        <w:t>Ozdemir</w:t>
      </w:r>
      <w:proofErr w:type="spellEnd"/>
      <w:r w:rsidRPr="005554ED">
        <w:rPr>
          <w:color w:val="000000" w:themeColor="text1"/>
        </w:rPr>
        <w:t xml:space="preserve">, B., </w:t>
      </w:r>
      <w:proofErr w:type="spellStart"/>
      <w:r w:rsidRPr="005554ED">
        <w:rPr>
          <w:color w:val="000000" w:themeColor="text1"/>
        </w:rPr>
        <w:t>Cakir</w:t>
      </w:r>
      <w:proofErr w:type="spellEnd"/>
      <w:r w:rsidRPr="005554ED">
        <w:rPr>
          <w:color w:val="000000" w:themeColor="text1"/>
        </w:rPr>
        <w:t xml:space="preserve">, O., &amp; Hussain, I. (2018). Prevalence of nomophobia among university students: A comparative study of Pakistani and Turkish undergraduate students. </w:t>
      </w:r>
      <w:r w:rsidRPr="005554ED">
        <w:rPr>
          <w:i/>
          <w:iCs/>
          <w:color w:val="000000" w:themeColor="text1"/>
        </w:rPr>
        <w:t>EURASIA Journal of Mathematics, Science and Technology Education</w:t>
      </w:r>
      <w:r w:rsidRPr="005554ED">
        <w:rPr>
          <w:color w:val="000000" w:themeColor="text1"/>
        </w:rPr>
        <w:t xml:space="preserve">, </w:t>
      </w:r>
      <w:r w:rsidRPr="005554ED">
        <w:rPr>
          <w:i/>
          <w:iCs/>
          <w:color w:val="000000" w:themeColor="text1"/>
        </w:rPr>
        <w:t>14</w:t>
      </w:r>
      <w:r w:rsidRPr="005554ED">
        <w:rPr>
          <w:color w:val="000000" w:themeColor="text1"/>
        </w:rPr>
        <w:t xml:space="preserve">(4). </w:t>
      </w:r>
      <w:hyperlink r:id="rId191" w:history="1">
        <w:r w:rsidRPr="005554ED">
          <w:rPr>
            <w:rStyle w:val="Hyperlink"/>
            <w:rFonts w:eastAsia="Arial"/>
            <w:color w:val="000000" w:themeColor="text1"/>
          </w:rPr>
          <w:t>https://doi.org/10.29333/ejmste/84839</w:t>
        </w:r>
      </w:hyperlink>
    </w:p>
    <w:p w14:paraId="4EA3D212" w14:textId="77777777" w:rsidR="00B76713" w:rsidRPr="005554ED" w:rsidRDefault="00B76713" w:rsidP="00B76713">
      <w:pPr>
        <w:pStyle w:val="Bibliography"/>
        <w:rPr>
          <w:color w:val="000000" w:themeColor="text1"/>
        </w:rPr>
      </w:pPr>
      <w:proofErr w:type="spellStart"/>
      <w:r w:rsidRPr="005554ED">
        <w:rPr>
          <w:color w:val="000000" w:themeColor="text1"/>
        </w:rPr>
        <w:t>Ozdemir</w:t>
      </w:r>
      <w:proofErr w:type="spellEnd"/>
      <w:r w:rsidRPr="005554ED">
        <w:rPr>
          <w:color w:val="000000" w:themeColor="text1"/>
        </w:rPr>
        <w:t xml:space="preserve">, U., &amp; </w:t>
      </w:r>
      <w:proofErr w:type="spellStart"/>
      <w:r w:rsidRPr="005554ED">
        <w:rPr>
          <w:color w:val="000000" w:themeColor="text1"/>
        </w:rPr>
        <w:t>Tuncay</w:t>
      </w:r>
      <w:proofErr w:type="spellEnd"/>
      <w:r w:rsidRPr="005554ED">
        <w:rPr>
          <w:color w:val="000000" w:themeColor="text1"/>
        </w:rPr>
        <w:t xml:space="preserve">, T. (2008). Correlates of loneliness among university students. </w:t>
      </w:r>
      <w:r w:rsidRPr="005554ED">
        <w:rPr>
          <w:i/>
          <w:iCs/>
          <w:color w:val="000000" w:themeColor="text1"/>
        </w:rPr>
        <w:t>Child and Adolescent Psychiatry and Mental Health</w:t>
      </w:r>
      <w:r w:rsidRPr="005554ED">
        <w:rPr>
          <w:color w:val="000000" w:themeColor="text1"/>
        </w:rPr>
        <w:t xml:space="preserve">, </w:t>
      </w:r>
      <w:r w:rsidRPr="005554ED">
        <w:rPr>
          <w:i/>
          <w:iCs/>
          <w:color w:val="000000" w:themeColor="text1"/>
        </w:rPr>
        <w:t>2</w:t>
      </w:r>
      <w:r w:rsidRPr="005554ED">
        <w:rPr>
          <w:color w:val="000000" w:themeColor="text1"/>
        </w:rPr>
        <w:t xml:space="preserve">(1), 29. </w:t>
      </w:r>
      <w:hyperlink r:id="rId192" w:history="1">
        <w:r w:rsidRPr="005554ED">
          <w:rPr>
            <w:rStyle w:val="Hyperlink"/>
            <w:rFonts w:eastAsia="Arial"/>
            <w:color w:val="000000" w:themeColor="text1"/>
          </w:rPr>
          <w:t>https://doi.org/10.1186/1753-2000-2-29</w:t>
        </w:r>
      </w:hyperlink>
    </w:p>
    <w:p w14:paraId="7DBEEC41" w14:textId="77777777" w:rsidR="00B76713" w:rsidRPr="005554ED" w:rsidRDefault="00B76713" w:rsidP="00B76713">
      <w:pPr>
        <w:pStyle w:val="Bibliography"/>
        <w:rPr>
          <w:color w:val="000000" w:themeColor="text1"/>
        </w:rPr>
      </w:pPr>
      <w:r w:rsidRPr="005554ED">
        <w:rPr>
          <w:color w:val="000000" w:themeColor="text1"/>
          <w:lang w:val="de-DE"/>
        </w:rPr>
        <w:t xml:space="preserve">Özdemir, Y., Kuzucu, Y., &amp; Ak, Ş. (2014). </w:t>
      </w:r>
      <w:r w:rsidRPr="005554ED">
        <w:rPr>
          <w:color w:val="000000" w:themeColor="text1"/>
        </w:rPr>
        <w:t xml:space="preserve">Depression, loneliness and Internet addiction: How important is low self-control? </w:t>
      </w:r>
      <w:r w:rsidRPr="005554ED">
        <w:rPr>
          <w:i/>
          <w:iCs/>
          <w:color w:val="000000" w:themeColor="text1"/>
        </w:rPr>
        <w:t>Computers in Human Behavior</w:t>
      </w:r>
      <w:r w:rsidRPr="005554ED">
        <w:rPr>
          <w:color w:val="000000" w:themeColor="text1"/>
        </w:rPr>
        <w:t xml:space="preserve">, </w:t>
      </w:r>
      <w:r w:rsidRPr="005554ED">
        <w:rPr>
          <w:i/>
          <w:iCs/>
          <w:color w:val="000000" w:themeColor="text1"/>
        </w:rPr>
        <w:t>34</w:t>
      </w:r>
      <w:r w:rsidRPr="005554ED">
        <w:rPr>
          <w:color w:val="000000" w:themeColor="text1"/>
        </w:rPr>
        <w:t xml:space="preserve">, 284–290. </w:t>
      </w:r>
      <w:hyperlink r:id="rId193" w:history="1">
        <w:r w:rsidRPr="005554ED">
          <w:rPr>
            <w:rStyle w:val="Hyperlink"/>
            <w:rFonts w:eastAsia="Arial"/>
            <w:color w:val="000000" w:themeColor="text1"/>
          </w:rPr>
          <w:t>https://doi.org/10.1016/j.chb.2014.02.009</w:t>
        </w:r>
      </w:hyperlink>
    </w:p>
    <w:p w14:paraId="207A7326" w14:textId="77777777" w:rsidR="00B76713" w:rsidRPr="005554ED" w:rsidRDefault="00B76713" w:rsidP="00B76713">
      <w:pPr>
        <w:pStyle w:val="Bibliography"/>
        <w:rPr>
          <w:color w:val="000000" w:themeColor="text1"/>
        </w:rPr>
      </w:pPr>
      <w:r w:rsidRPr="005554ED">
        <w:rPr>
          <w:color w:val="000000" w:themeColor="text1"/>
        </w:rPr>
        <w:t xml:space="preserve">Park, </w:t>
      </w:r>
      <w:proofErr w:type="spellStart"/>
      <w:r w:rsidRPr="005554ED">
        <w:rPr>
          <w:color w:val="000000" w:themeColor="text1"/>
        </w:rPr>
        <w:t>Namkee</w:t>
      </w:r>
      <w:proofErr w:type="spellEnd"/>
      <w:r w:rsidRPr="005554ED">
        <w:rPr>
          <w:color w:val="000000" w:themeColor="text1"/>
        </w:rPr>
        <w:t xml:space="preserve">, &amp; Noh, H. (2018). Effects of mobile instant messenger use on acculturative stress among international students in South Korea. </w:t>
      </w:r>
      <w:r w:rsidRPr="005554ED">
        <w:rPr>
          <w:i/>
          <w:iCs/>
          <w:color w:val="000000" w:themeColor="text1"/>
        </w:rPr>
        <w:t>Computers in Human Behavior</w:t>
      </w:r>
      <w:r w:rsidRPr="005554ED">
        <w:rPr>
          <w:color w:val="000000" w:themeColor="text1"/>
        </w:rPr>
        <w:t xml:space="preserve">, </w:t>
      </w:r>
      <w:r w:rsidRPr="005554ED">
        <w:rPr>
          <w:i/>
          <w:iCs/>
          <w:color w:val="000000" w:themeColor="text1"/>
        </w:rPr>
        <w:t>82</w:t>
      </w:r>
      <w:r w:rsidRPr="005554ED">
        <w:rPr>
          <w:color w:val="000000" w:themeColor="text1"/>
        </w:rPr>
        <w:t xml:space="preserve">, 34–43. </w:t>
      </w:r>
      <w:hyperlink r:id="rId194" w:history="1">
        <w:r w:rsidRPr="005554ED">
          <w:rPr>
            <w:rStyle w:val="Hyperlink"/>
            <w:rFonts w:eastAsia="Arial"/>
            <w:color w:val="000000" w:themeColor="text1"/>
          </w:rPr>
          <w:t>https://doi.org/10.1016/j.chb.2017.12.033</w:t>
        </w:r>
      </w:hyperlink>
    </w:p>
    <w:p w14:paraId="14A04443" w14:textId="77777777" w:rsidR="00B76713" w:rsidRPr="005554ED" w:rsidRDefault="00B76713" w:rsidP="00B76713">
      <w:pPr>
        <w:pStyle w:val="Bibliography"/>
        <w:rPr>
          <w:color w:val="000000" w:themeColor="text1"/>
        </w:rPr>
      </w:pPr>
      <w:r w:rsidRPr="005554ED">
        <w:rPr>
          <w:color w:val="000000" w:themeColor="text1"/>
        </w:rPr>
        <w:t xml:space="preserve">Park, </w:t>
      </w:r>
      <w:proofErr w:type="spellStart"/>
      <w:r w:rsidRPr="005554ED">
        <w:rPr>
          <w:color w:val="000000" w:themeColor="text1"/>
        </w:rPr>
        <w:t>Namsu</w:t>
      </w:r>
      <w:proofErr w:type="spellEnd"/>
      <w:r w:rsidRPr="005554ED">
        <w:rPr>
          <w:color w:val="000000" w:themeColor="text1"/>
        </w:rPr>
        <w:t xml:space="preserve">, &amp; Lee, H. (2012). Social implications of smartphone use: Korean college students’ smartphone use and psychological well-being. </w:t>
      </w:r>
      <w:r w:rsidRPr="005554ED">
        <w:rPr>
          <w:i/>
          <w:iCs/>
          <w:color w:val="000000" w:themeColor="text1"/>
        </w:rPr>
        <w:t>Cyberpsychology, Behavior and Social Networking</w:t>
      </w:r>
      <w:r w:rsidRPr="005554ED">
        <w:rPr>
          <w:color w:val="000000" w:themeColor="text1"/>
        </w:rPr>
        <w:t xml:space="preserve">, </w:t>
      </w:r>
      <w:r w:rsidRPr="005554ED">
        <w:rPr>
          <w:i/>
          <w:iCs/>
          <w:color w:val="000000" w:themeColor="text1"/>
        </w:rPr>
        <w:t>15</w:t>
      </w:r>
      <w:r w:rsidRPr="005554ED">
        <w:rPr>
          <w:color w:val="000000" w:themeColor="text1"/>
        </w:rPr>
        <w:t xml:space="preserve">(9), 491–497. </w:t>
      </w:r>
      <w:hyperlink r:id="rId195" w:history="1">
        <w:r w:rsidRPr="005554ED">
          <w:rPr>
            <w:rStyle w:val="Hyperlink"/>
            <w:rFonts w:eastAsia="Arial"/>
            <w:color w:val="000000" w:themeColor="text1"/>
          </w:rPr>
          <w:t>https://doi.org/10.1089/cyber.2011.0580</w:t>
        </w:r>
      </w:hyperlink>
    </w:p>
    <w:p w14:paraId="63676E71" w14:textId="77777777" w:rsidR="00B76713" w:rsidRPr="005554ED" w:rsidRDefault="00B76713" w:rsidP="00B76713">
      <w:pPr>
        <w:pStyle w:val="Bibliography"/>
        <w:rPr>
          <w:color w:val="000000" w:themeColor="text1"/>
        </w:rPr>
      </w:pPr>
      <w:r w:rsidRPr="005554ED">
        <w:rPr>
          <w:color w:val="000000" w:themeColor="text1"/>
        </w:rPr>
        <w:t xml:space="preserve">Pearl, D. S., &amp; Anderson, R. K. (2007). Social isolation and student voting behavior: How voting frequency is affected by individual perceptions of loneliness. </w:t>
      </w:r>
      <w:proofErr w:type="spellStart"/>
      <w:r w:rsidRPr="005554ED">
        <w:rPr>
          <w:i/>
          <w:iCs/>
          <w:color w:val="000000" w:themeColor="text1"/>
        </w:rPr>
        <w:t>Psicología</w:t>
      </w:r>
      <w:proofErr w:type="spellEnd"/>
      <w:r w:rsidRPr="005554ED">
        <w:rPr>
          <w:i/>
          <w:iCs/>
          <w:color w:val="000000" w:themeColor="text1"/>
        </w:rPr>
        <w:t xml:space="preserve"> </w:t>
      </w:r>
      <w:proofErr w:type="spellStart"/>
      <w:r w:rsidRPr="005554ED">
        <w:rPr>
          <w:i/>
          <w:iCs/>
          <w:color w:val="000000" w:themeColor="text1"/>
        </w:rPr>
        <w:t>Política</w:t>
      </w:r>
      <w:proofErr w:type="spellEnd"/>
      <w:r w:rsidRPr="005554ED">
        <w:rPr>
          <w:color w:val="000000" w:themeColor="text1"/>
        </w:rPr>
        <w:t xml:space="preserve">, </w:t>
      </w:r>
      <w:r w:rsidRPr="005554ED">
        <w:rPr>
          <w:i/>
          <w:iCs/>
          <w:color w:val="000000" w:themeColor="text1"/>
        </w:rPr>
        <w:t>35</w:t>
      </w:r>
      <w:r w:rsidRPr="005554ED">
        <w:rPr>
          <w:color w:val="000000" w:themeColor="text1"/>
        </w:rPr>
        <w:t>, 87–100.</w:t>
      </w:r>
    </w:p>
    <w:p w14:paraId="1204D66C" w14:textId="77777777" w:rsidR="00B76713" w:rsidRPr="005554ED" w:rsidRDefault="00B76713" w:rsidP="00B76713">
      <w:pPr>
        <w:pStyle w:val="Bibliography"/>
        <w:rPr>
          <w:color w:val="000000" w:themeColor="text1"/>
        </w:rPr>
      </w:pPr>
      <w:r w:rsidRPr="005554ED">
        <w:rPr>
          <w:color w:val="000000" w:themeColor="text1"/>
        </w:rPr>
        <w:t xml:space="preserve">Pels, F., &amp; Kleinert, J. (n.d.). Enhancing mental health: Effects of exercise on social well-being and social ill-being. In </w:t>
      </w:r>
      <w:r w:rsidRPr="005554ED">
        <w:rPr>
          <w:i/>
          <w:iCs/>
          <w:color w:val="000000" w:themeColor="text1"/>
        </w:rPr>
        <w:t>Exercise in Space: A holistic approach for the benefit of human health on Earth</w:t>
      </w:r>
      <w:r w:rsidRPr="005554ED">
        <w:rPr>
          <w:color w:val="000000" w:themeColor="text1"/>
        </w:rPr>
        <w:t xml:space="preserve"> (pp. 63–90). Springer.</w:t>
      </w:r>
    </w:p>
    <w:p w14:paraId="5EA299E4" w14:textId="77777777" w:rsidR="00B76713" w:rsidRPr="005554ED" w:rsidRDefault="00B76713" w:rsidP="00B76713">
      <w:pPr>
        <w:pStyle w:val="Bibliography"/>
        <w:rPr>
          <w:color w:val="000000" w:themeColor="text1"/>
        </w:rPr>
      </w:pPr>
      <w:r w:rsidRPr="005554ED">
        <w:rPr>
          <w:color w:val="000000" w:themeColor="text1"/>
        </w:rPr>
        <w:lastRenderedPageBreak/>
        <w:t xml:space="preserve">Pereira, M. G., </w:t>
      </w:r>
      <w:proofErr w:type="spellStart"/>
      <w:r w:rsidRPr="005554ED">
        <w:rPr>
          <w:color w:val="000000" w:themeColor="text1"/>
        </w:rPr>
        <w:t>Taysi</w:t>
      </w:r>
      <w:proofErr w:type="spellEnd"/>
      <w:r w:rsidRPr="005554ED">
        <w:rPr>
          <w:color w:val="000000" w:themeColor="text1"/>
        </w:rPr>
        <w:t xml:space="preserve">, E., </w:t>
      </w:r>
      <w:proofErr w:type="spellStart"/>
      <w:r w:rsidRPr="005554ED">
        <w:rPr>
          <w:color w:val="000000" w:themeColor="text1"/>
        </w:rPr>
        <w:t>Orcan</w:t>
      </w:r>
      <w:proofErr w:type="spellEnd"/>
      <w:r w:rsidRPr="005554ED">
        <w:rPr>
          <w:color w:val="000000" w:themeColor="text1"/>
        </w:rPr>
        <w:t xml:space="preserve">, F., &amp; Fincham, F. (2014). Attachment, infidelity, and loneliness in college students involved in a romantic relationship: The role of relationship satisfaction, morbidity, and prayer for partner. </w:t>
      </w:r>
      <w:r w:rsidRPr="005554ED">
        <w:rPr>
          <w:i/>
          <w:iCs/>
          <w:color w:val="000000" w:themeColor="text1"/>
        </w:rPr>
        <w:t>Contemporary Family Therapy</w:t>
      </w:r>
      <w:r w:rsidRPr="005554ED">
        <w:rPr>
          <w:color w:val="000000" w:themeColor="text1"/>
        </w:rPr>
        <w:t xml:space="preserve">, </w:t>
      </w:r>
      <w:r w:rsidRPr="005554ED">
        <w:rPr>
          <w:i/>
          <w:iCs/>
          <w:color w:val="000000" w:themeColor="text1"/>
        </w:rPr>
        <w:t>36</w:t>
      </w:r>
      <w:r w:rsidRPr="005554ED">
        <w:rPr>
          <w:color w:val="000000" w:themeColor="text1"/>
        </w:rPr>
        <w:t xml:space="preserve">(3), 333–350. </w:t>
      </w:r>
      <w:hyperlink r:id="rId196" w:history="1">
        <w:r w:rsidRPr="005554ED">
          <w:rPr>
            <w:rStyle w:val="Hyperlink"/>
            <w:rFonts w:eastAsia="Arial"/>
            <w:color w:val="000000" w:themeColor="text1"/>
          </w:rPr>
          <w:t>https://doi.org/10.1007/s10591-013-9289-8</w:t>
        </w:r>
      </w:hyperlink>
    </w:p>
    <w:p w14:paraId="1EF6A38F" w14:textId="77777777" w:rsidR="00B76713" w:rsidRPr="005554ED" w:rsidRDefault="00B76713" w:rsidP="00B76713">
      <w:pPr>
        <w:pStyle w:val="Bibliography"/>
        <w:rPr>
          <w:color w:val="000000" w:themeColor="text1"/>
        </w:rPr>
      </w:pPr>
      <w:proofErr w:type="spellStart"/>
      <w:r w:rsidRPr="005554ED">
        <w:rPr>
          <w:color w:val="000000" w:themeColor="text1"/>
        </w:rPr>
        <w:t>Petrocchi</w:t>
      </w:r>
      <w:proofErr w:type="spellEnd"/>
      <w:r w:rsidRPr="005554ED">
        <w:rPr>
          <w:color w:val="000000" w:themeColor="text1"/>
        </w:rPr>
        <w:t xml:space="preserve">, N., </w:t>
      </w:r>
      <w:proofErr w:type="spellStart"/>
      <w:r w:rsidRPr="005554ED">
        <w:rPr>
          <w:color w:val="000000" w:themeColor="text1"/>
        </w:rPr>
        <w:t>Asnaani</w:t>
      </w:r>
      <w:proofErr w:type="spellEnd"/>
      <w:r w:rsidRPr="005554ED">
        <w:rPr>
          <w:color w:val="000000" w:themeColor="text1"/>
        </w:rPr>
        <w:t xml:space="preserve">, A., Martinez, A. P., Nadkarni, A., &amp; Hofmann, S. G. (2015). Differences between people who use only Facebook and those who use Facebook plus Twitter. </w:t>
      </w:r>
      <w:r w:rsidRPr="005554ED">
        <w:rPr>
          <w:i/>
          <w:iCs/>
          <w:color w:val="000000" w:themeColor="text1"/>
        </w:rPr>
        <w:t>International Journal of Human-Computer Interaction</w:t>
      </w:r>
      <w:r w:rsidRPr="005554ED">
        <w:rPr>
          <w:color w:val="000000" w:themeColor="text1"/>
        </w:rPr>
        <w:t xml:space="preserve">, </w:t>
      </w:r>
      <w:r w:rsidRPr="005554ED">
        <w:rPr>
          <w:i/>
          <w:iCs/>
          <w:color w:val="000000" w:themeColor="text1"/>
        </w:rPr>
        <w:t>31</w:t>
      </w:r>
      <w:r w:rsidRPr="005554ED">
        <w:rPr>
          <w:color w:val="000000" w:themeColor="text1"/>
        </w:rPr>
        <w:t xml:space="preserve">(2), 157–165. </w:t>
      </w:r>
      <w:hyperlink r:id="rId197" w:history="1">
        <w:r w:rsidRPr="005554ED">
          <w:rPr>
            <w:rStyle w:val="Hyperlink"/>
            <w:rFonts w:eastAsia="Arial"/>
            <w:color w:val="000000" w:themeColor="text1"/>
          </w:rPr>
          <w:t>https://doi.org/10.1080/10447318.2014.986640</w:t>
        </w:r>
      </w:hyperlink>
    </w:p>
    <w:p w14:paraId="76ED75B8" w14:textId="77777777" w:rsidR="00B76713" w:rsidRPr="005554ED" w:rsidRDefault="00B76713" w:rsidP="00B76713">
      <w:pPr>
        <w:pStyle w:val="Bibliography"/>
        <w:rPr>
          <w:color w:val="000000" w:themeColor="text1"/>
        </w:rPr>
      </w:pPr>
      <w:proofErr w:type="spellStart"/>
      <w:r w:rsidRPr="005554ED">
        <w:rPr>
          <w:color w:val="000000" w:themeColor="text1"/>
        </w:rPr>
        <w:t>Phu</w:t>
      </w:r>
      <w:proofErr w:type="spellEnd"/>
      <w:r w:rsidRPr="005554ED">
        <w:rPr>
          <w:color w:val="000000" w:themeColor="text1"/>
        </w:rPr>
        <w:t xml:space="preserve">, B., &amp; </w:t>
      </w:r>
      <w:proofErr w:type="spellStart"/>
      <w:r w:rsidRPr="005554ED">
        <w:rPr>
          <w:color w:val="000000" w:themeColor="text1"/>
        </w:rPr>
        <w:t>Gow</w:t>
      </w:r>
      <w:proofErr w:type="spellEnd"/>
      <w:r w:rsidRPr="005554ED">
        <w:rPr>
          <w:color w:val="000000" w:themeColor="text1"/>
        </w:rPr>
        <w:t xml:space="preserve">, A. J. (2019). Facebook use and its association with subjective happiness and loneliness. </w:t>
      </w:r>
      <w:r w:rsidRPr="005554ED">
        <w:rPr>
          <w:i/>
          <w:iCs/>
          <w:color w:val="000000" w:themeColor="text1"/>
        </w:rPr>
        <w:t>Computers in Human Behavior</w:t>
      </w:r>
      <w:r w:rsidRPr="005554ED">
        <w:rPr>
          <w:color w:val="000000" w:themeColor="text1"/>
        </w:rPr>
        <w:t xml:space="preserve">, </w:t>
      </w:r>
      <w:r w:rsidRPr="005554ED">
        <w:rPr>
          <w:i/>
          <w:iCs/>
          <w:color w:val="000000" w:themeColor="text1"/>
        </w:rPr>
        <w:t>92</w:t>
      </w:r>
      <w:r w:rsidRPr="005554ED">
        <w:rPr>
          <w:color w:val="000000" w:themeColor="text1"/>
        </w:rPr>
        <w:t xml:space="preserve">, 151–159. </w:t>
      </w:r>
      <w:hyperlink r:id="rId198" w:history="1">
        <w:r w:rsidRPr="005554ED">
          <w:rPr>
            <w:rStyle w:val="Hyperlink"/>
            <w:rFonts w:eastAsia="Arial"/>
            <w:color w:val="000000" w:themeColor="text1"/>
          </w:rPr>
          <w:t>https://doi.org/10.1016/j.chb.2018.11.020</w:t>
        </w:r>
      </w:hyperlink>
    </w:p>
    <w:p w14:paraId="0ECA0CB5" w14:textId="77777777" w:rsidR="00B76713" w:rsidRPr="005554ED" w:rsidRDefault="00B76713" w:rsidP="00B76713">
      <w:pPr>
        <w:pStyle w:val="Bibliography"/>
        <w:rPr>
          <w:color w:val="000000" w:themeColor="text1"/>
        </w:rPr>
      </w:pPr>
      <w:proofErr w:type="spellStart"/>
      <w:r w:rsidRPr="005554ED">
        <w:rPr>
          <w:color w:val="000000" w:themeColor="text1"/>
        </w:rPr>
        <w:t>Phua</w:t>
      </w:r>
      <w:proofErr w:type="spellEnd"/>
      <w:r w:rsidRPr="005554ED">
        <w:rPr>
          <w:color w:val="000000" w:themeColor="text1"/>
        </w:rPr>
        <w:t xml:space="preserve">, D. Y., Meaney, M. J., Khor, C. C., Lau, I. Y. M., &amp; Hong, Y.-Y. (2017). Effects of bonding with parents and home culture on intercultural adaptations and the moderating role of genes. </w:t>
      </w:r>
      <w:proofErr w:type="spellStart"/>
      <w:r w:rsidRPr="005554ED">
        <w:rPr>
          <w:i/>
          <w:iCs/>
          <w:color w:val="000000" w:themeColor="text1"/>
        </w:rPr>
        <w:t>Behavioural</w:t>
      </w:r>
      <w:proofErr w:type="spellEnd"/>
      <w:r w:rsidRPr="005554ED">
        <w:rPr>
          <w:i/>
          <w:iCs/>
          <w:color w:val="000000" w:themeColor="text1"/>
        </w:rPr>
        <w:t xml:space="preserve"> Brain Research</w:t>
      </w:r>
      <w:r w:rsidRPr="005554ED">
        <w:rPr>
          <w:color w:val="000000" w:themeColor="text1"/>
        </w:rPr>
        <w:t xml:space="preserve">, </w:t>
      </w:r>
      <w:r w:rsidRPr="005554ED">
        <w:rPr>
          <w:i/>
          <w:iCs/>
          <w:color w:val="000000" w:themeColor="text1"/>
        </w:rPr>
        <w:t>325</w:t>
      </w:r>
      <w:r w:rsidRPr="005554ED">
        <w:rPr>
          <w:color w:val="000000" w:themeColor="text1"/>
        </w:rPr>
        <w:t xml:space="preserve">(Pt B), 223–236. </w:t>
      </w:r>
      <w:hyperlink r:id="rId199" w:history="1">
        <w:r w:rsidRPr="005554ED">
          <w:rPr>
            <w:rStyle w:val="Hyperlink"/>
            <w:rFonts w:eastAsia="Arial"/>
            <w:color w:val="000000" w:themeColor="text1"/>
          </w:rPr>
          <w:t>https://doi.org/10.1016/j.bbr.2017.02.012</w:t>
        </w:r>
      </w:hyperlink>
    </w:p>
    <w:p w14:paraId="78562EC7" w14:textId="77777777" w:rsidR="00B76713" w:rsidRPr="005554ED" w:rsidRDefault="00B76713" w:rsidP="00B76713">
      <w:pPr>
        <w:pStyle w:val="Bibliography"/>
        <w:rPr>
          <w:color w:val="000000" w:themeColor="text1"/>
        </w:rPr>
      </w:pPr>
      <w:proofErr w:type="spellStart"/>
      <w:r w:rsidRPr="005554ED">
        <w:rPr>
          <w:color w:val="000000" w:themeColor="text1"/>
        </w:rPr>
        <w:t>Poerio</w:t>
      </w:r>
      <w:proofErr w:type="spellEnd"/>
      <w:r w:rsidRPr="005554ED">
        <w:rPr>
          <w:color w:val="000000" w:themeColor="text1"/>
        </w:rPr>
        <w:t xml:space="preserve">, G. L., </w:t>
      </w:r>
      <w:proofErr w:type="spellStart"/>
      <w:r w:rsidRPr="005554ED">
        <w:rPr>
          <w:color w:val="000000" w:themeColor="text1"/>
        </w:rPr>
        <w:t>Totterdell</w:t>
      </w:r>
      <w:proofErr w:type="spellEnd"/>
      <w:r w:rsidRPr="005554ED">
        <w:rPr>
          <w:color w:val="000000" w:themeColor="text1"/>
        </w:rPr>
        <w:t xml:space="preserve">, P., Emerson, L.-M., &amp; Miles, E. (2016). Social daydreaming and adjustment: An experience-sampling study of socio-emotional adaptation during a life transition. </w:t>
      </w:r>
      <w:r w:rsidRPr="005554ED">
        <w:rPr>
          <w:i/>
          <w:iCs/>
          <w:color w:val="000000" w:themeColor="text1"/>
        </w:rPr>
        <w:t>Frontiers in Psychology</w:t>
      </w:r>
      <w:r w:rsidRPr="005554ED">
        <w:rPr>
          <w:color w:val="000000" w:themeColor="text1"/>
        </w:rPr>
        <w:t xml:space="preserve">, </w:t>
      </w:r>
      <w:r w:rsidRPr="005554ED">
        <w:rPr>
          <w:i/>
          <w:iCs/>
          <w:color w:val="000000" w:themeColor="text1"/>
        </w:rPr>
        <w:t>7</w:t>
      </w:r>
      <w:r w:rsidRPr="005554ED">
        <w:rPr>
          <w:color w:val="000000" w:themeColor="text1"/>
        </w:rPr>
        <w:t xml:space="preserve">, 13. </w:t>
      </w:r>
      <w:hyperlink r:id="rId200" w:history="1">
        <w:r w:rsidRPr="005554ED">
          <w:rPr>
            <w:rStyle w:val="Hyperlink"/>
            <w:rFonts w:eastAsia="Arial"/>
            <w:color w:val="000000" w:themeColor="text1"/>
          </w:rPr>
          <w:t>https://doi.org/10.3389/fpsyg.2016.00013</w:t>
        </w:r>
      </w:hyperlink>
    </w:p>
    <w:p w14:paraId="1D4D7CE2" w14:textId="77777777" w:rsidR="00B76713" w:rsidRPr="005554ED" w:rsidRDefault="00B76713" w:rsidP="00B76713">
      <w:pPr>
        <w:pStyle w:val="Bibliography"/>
        <w:rPr>
          <w:color w:val="000000" w:themeColor="text1"/>
        </w:rPr>
      </w:pPr>
      <w:proofErr w:type="spellStart"/>
      <w:r w:rsidRPr="005554ED">
        <w:rPr>
          <w:color w:val="000000" w:themeColor="text1"/>
        </w:rPr>
        <w:t>Ponzetti</w:t>
      </w:r>
      <w:proofErr w:type="spellEnd"/>
      <w:r w:rsidRPr="005554ED">
        <w:rPr>
          <w:color w:val="000000" w:themeColor="text1"/>
        </w:rPr>
        <w:t xml:space="preserve">, J. J., &amp; James, C. M. (1997). Loneliness and sibling relationships. </w:t>
      </w:r>
      <w:r w:rsidRPr="005554ED">
        <w:rPr>
          <w:i/>
          <w:iCs/>
          <w:color w:val="000000" w:themeColor="text1"/>
        </w:rPr>
        <w:t>Journal of Social Behavior and Personality</w:t>
      </w:r>
      <w:r w:rsidRPr="005554ED">
        <w:rPr>
          <w:color w:val="000000" w:themeColor="text1"/>
        </w:rPr>
        <w:t xml:space="preserve">, </w:t>
      </w:r>
      <w:r w:rsidRPr="005554ED">
        <w:rPr>
          <w:i/>
          <w:iCs/>
          <w:color w:val="000000" w:themeColor="text1"/>
        </w:rPr>
        <w:t>12</w:t>
      </w:r>
      <w:r w:rsidRPr="005554ED">
        <w:rPr>
          <w:color w:val="000000" w:themeColor="text1"/>
        </w:rPr>
        <w:t>(1), 103–112.</w:t>
      </w:r>
    </w:p>
    <w:p w14:paraId="40BCB5DB" w14:textId="77777777" w:rsidR="00B76713" w:rsidRPr="005554ED" w:rsidRDefault="00B76713" w:rsidP="00B76713">
      <w:pPr>
        <w:pStyle w:val="Bibliography"/>
        <w:rPr>
          <w:color w:val="000000" w:themeColor="text1"/>
        </w:rPr>
      </w:pPr>
      <w:proofErr w:type="spellStart"/>
      <w:r w:rsidRPr="005554ED">
        <w:rPr>
          <w:color w:val="000000" w:themeColor="text1"/>
        </w:rPr>
        <w:t>Pornsakulvanich</w:t>
      </w:r>
      <w:proofErr w:type="spellEnd"/>
      <w:r w:rsidRPr="005554ED">
        <w:rPr>
          <w:color w:val="000000" w:themeColor="text1"/>
        </w:rPr>
        <w:t xml:space="preserve">, V., </w:t>
      </w:r>
      <w:proofErr w:type="spellStart"/>
      <w:r w:rsidRPr="005554ED">
        <w:rPr>
          <w:color w:val="000000" w:themeColor="text1"/>
        </w:rPr>
        <w:t>Haridakis</w:t>
      </w:r>
      <w:proofErr w:type="spellEnd"/>
      <w:r w:rsidRPr="005554ED">
        <w:rPr>
          <w:color w:val="000000" w:themeColor="text1"/>
        </w:rPr>
        <w:t xml:space="preserve">, P., &amp; Rubin, A. M. (2008). The influence of dispositions and Internet motivation on online communication satisfaction and relationship closeness. </w:t>
      </w:r>
      <w:r w:rsidRPr="005554ED">
        <w:rPr>
          <w:i/>
          <w:iCs/>
          <w:color w:val="000000" w:themeColor="text1"/>
        </w:rPr>
        <w:lastRenderedPageBreak/>
        <w:t>Computers in Human Behavior</w:t>
      </w:r>
      <w:r w:rsidRPr="005554ED">
        <w:rPr>
          <w:color w:val="000000" w:themeColor="text1"/>
        </w:rPr>
        <w:t xml:space="preserve">, </w:t>
      </w:r>
      <w:r w:rsidRPr="005554ED">
        <w:rPr>
          <w:i/>
          <w:iCs/>
          <w:color w:val="000000" w:themeColor="text1"/>
        </w:rPr>
        <w:t>24</w:t>
      </w:r>
      <w:r w:rsidRPr="005554ED">
        <w:rPr>
          <w:color w:val="000000" w:themeColor="text1"/>
        </w:rPr>
        <w:t xml:space="preserve">(5), 2292–2310. </w:t>
      </w:r>
      <w:hyperlink r:id="rId201" w:history="1">
        <w:r w:rsidRPr="005554ED">
          <w:rPr>
            <w:rStyle w:val="Hyperlink"/>
            <w:rFonts w:eastAsia="Arial"/>
            <w:color w:val="000000" w:themeColor="text1"/>
          </w:rPr>
          <w:t>https://doi.org/10.1016/j.chb.2007.11.003</w:t>
        </w:r>
      </w:hyperlink>
    </w:p>
    <w:p w14:paraId="22995E8A" w14:textId="77777777" w:rsidR="00B76713" w:rsidRPr="005554ED" w:rsidRDefault="00B76713" w:rsidP="00B76713">
      <w:pPr>
        <w:pStyle w:val="Bibliography"/>
        <w:rPr>
          <w:color w:val="000000" w:themeColor="text1"/>
        </w:rPr>
      </w:pPr>
      <w:r w:rsidRPr="005554ED">
        <w:rPr>
          <w:color w:val="000000" w:themeColor="text1"/>
        </w:rPr>
        <w:t xml:space="preserve">Pretorius, T. B. (1993). The metric equivalence of the </w:t>
      </w:r>
      <w:proofErr w:type="spellStart"/>
      <w:r w:rsidRPr="005554ED">
        <w:rPr>
          <w:color w:val="000000" w:themeColor="text1"/>
        </w:rPr>
        <w:t>Ucla</w:t>
      </w:r>
      <w:proofErr w:type="spellEnd"/>
      <w:r w:rsidRPr="005554ED">
        <w:rPr>
          <w:color w:val="000000" w:themeColor="text1"/>
        </w:rPr>
        <w:t xml:space="preserve"> Loneliness Scale for a sample of South African students. </w:t>
      </w:r>
      <w:r w:rsidRPr="005554ED">
        <w:rPr>
          <w:i/>
          <w:iCs/>
          <w:color w:val="000000" w:themeColor="text1"/>
        </w:rPr>
        <w:t>Educational and Psychological Measurement</w:t>
      </w:r>
      <w:r w:rsidRPr="005554ED">
        <w:rPr>
          <w:color w:val="000000" w:themeColor="text1"/>
        </w:rPr>
        <w:t xml:space="preserve">, </w:t>
      </w:r>
      <w:r w:rsidRPr="005554ED">
        <w:rPr>
          <w:i/>
          <w:iCs/>
          <w:color w:val="000000" w:themeColor="text1"/>
        </w:rPr>
        <w:t>53</w:t>
      </w:r>
      <w:r w:rsidRPr="005554ED">
        <w:rPr>
          <w:color w:val="000000" w:themeColor="text1"/>
        </w:rPr>
        <w:t xml:space="preserve">(1), 233–239. </w:t>
      </w:r>
      <w:hyperlink r:id="rId202" w:history="1">
        <w:r w:rsidRPr="005554ED">
          <w:rPr>
            <w:rStyle w:val="Hyperlink"/>
            <w:rFonts w:eastAsia="Arial"/>
            <w:color w:val="000000" w:themeColor="text1"/>
          </w:rPr>
          <w:t>https://doi.org/10.1177/0013164493053001026</w:t>
        </w:r>
      </w:hyperlink>
    </w:p>
    <w:p w14:paraId="70CC8EA6" w14:textId="77777777" w:rsidR="00B76713" w:rsidRPr="005554ED" w:rsidRDefault="00B76713" w:rsidP="00B76713">
      <w:pPr>
        <w:pStyle w:val="Bibliography"/>
        <w:rPr>
          <w:color w:val="000000" w:themeColor="text1"/>
        </w:rPr>
      </w:pPr>
      <w:r w:rsidRPr="005554ED">
        <w:rPr>
          <w:color w:val="000000" w:themeColor="text1"/>
        </w:rPr>
        <w:t xml:space="preserve">Psylla, I., </w:t>
      </w:r>
      <w:proofErr w:type="spellStart"/>
      <w:r w:rsidRPr="005554ED">
        <w:rPr>
          <w:color w:val="000000" w:themeColor="text1"/>
        </w:rPr>
        <w:t>Sapiezynski</w:t>
      </w:r>
      <w:proofErr w:type="spellEnd"/>
      <w:r w:rsidRPr="005554ED">
        <w:rPr>
          <w:color w:val="000000" w:themeColor="text1"/>
        </w:rPr>
        <w:t xml:space="preserve">, P., </w:t>
      </w:r>
      <w:proofErr w:type="spellStart"/>
      <w:r w:rsidRPr="005554ED">
        <w:rPr>
          <w:color w:val="000000" w:themeColor="text1"/>
        </w:rPr>
        <w:t>Mones</w:t>
      </w:r>
      <w:proofErr w:type="spellEnd"/>
      <w:r w:rsidRPr="005554ED">
        <w:rPr>
          <w:color w:val="000000" w:themeColor="text1"/>
        </w:rPr>
        <w:t xml:space="preserve">, E., &amp; Lehmann, S. (2017). The role of gender in social network organization. </w:t>
      </w:r>
      <w:proofErr w:type="spellStart"/>
      <w:r w:rsidRPr="005554ED">
        <w:rPr>
          <w:i/>
          <w:iCs/>
          <w:color w:val="000000" w:themeColor="text1"/>
        </w:rPr>
        <w:t>PloS</w:t>
      </w:r>
      <w:proofErr w:type="spellEnd"/>
      <w:r w:rsidRPr="005554ED">
        <w:rPr>
          <w:i/>
          <w:iCs/>
          <w:color w:val="000000" w:themeColor="text1"/>
        </w:rPr>
        <w:t xml:space="preserve"> One</w:t>
      </w:r>
      <w:r w:rsidRPr="005554ED">
        <w:rPr>
          <w:color w:val="000000" w:themeColor="text1"/>
        </w:rPr>
        <w:t xml:space="preserve">, </w:t>
      </w:r>
      <w:r w:rsidRPr="005554ED">
        <w:rPr>
          <w:i/>
          <w:iCs/>
          <w:color w:val="000000" w:themeColor="text1"/>
        </w:rPr>
        <w:t>12</w:t>
      </w:r>
      <w:r w:rsidRPr="005554ED">
        <w:rPr>
          <w:color w:val="000000" w:themeColor="text1"/>
        </w:rPr>
        <w:t xml:space="preserve">(12), e0189873. </w:t>
      </w:r>
      <w:hyperlink r:id="rId203" w:history="1">
        <w:r w:rsidRPr="005554ED">
          <w:rPr>
            <w:rStyle w:val="Hyperlink"/>
            <w:rFonts w:eastAsia="Arial"/>
            <w:color w:val="000000" w:themeColor="text1"/>
          </w:rPr>
          <w:t>https://doi.org/10.1371/journal.pone.0189873</w:t>
        </w:r>
      </w:hyperlink>
    </w:p>
    <w:p w14:paraId="7289712F" w14:textId="77777777" w:rsidR="00B76713" w:rsidRPr="005554ED" w:rsidRDefault="00B76713" w:rsidP="00B76713">
      <w:pPr>
        <w:pStyle w:val="Bibliography"/>
        <w:rPr>
          <w:color w:val="000000" w:themeColor="text1"/>
        </w:rPr>
      </w:pPr>
      <w:r w:rsidRPr="005554ED">
        <w:rPr>
          <w:color w:val="000000" w:themeColor="text1"/>
        </w:rPr>
        <w:t xml:space="preserve">Raymond, K. (2018). </w:t>
      </w:r>
      <w:r w:rsidRPr="005554ED">
        <w:rPr>
          <w:i/>
          <w:iCs/>
          <w:color w:val="000000" w:themeColor="text1"/>
        </w:rPr>
        <w:t>Mindfulness, self-compassion and threat related attentional bias: Implications for social anxiety and loneliness in late adolescent college students</w:t>
      </w:r>
      <w:r w:rsidRPr="005554ED">
        <w:rPr>
          <w:color w:val="000000" w:themeColor="text1"/>
        </w:rPr>
        <w:t>. Syracuse University.</w:t>
      </w:r>
    </w:p>
    <w:p w14:paraId="1DC81415" w14:textId="77777777" w:rsidR="00B76713" w:rsidRPr="005554ED" w:rsidRDefault="00B76713" w:rsidP="00B76713">
      <w:pPr>
        <w:pStyle w:val="Bibliography"/>
        <w:rPr>
          <w:color w:val="000000" w:themeColor="text1"/>
        </w:rPr>
      </w:pPr>
      <w:r w:rsidRPr="005554ED">
        <w:rPr>
          <w:color w:val="000000" w:themeColor="text1"/>
        </w:rPr>
        <w:t xml:space="preserve">Reed, P., Giles, A., Gavin, M., Carter, N., &amp; Osborne, L. A. (2016). Loneliness and social anxiety mediate the relationship between autism quotient and quality of life in university students. </w:t>
      </w:r>
      <w:r w:rsidRPr="005554ED">
        <w:rPr>
          <w:i/>
          <w:iCs/>
          <w:color w:val="000000" w:themeColor="text1"/>
        </w:rPr>
        <w:t>Journal of Developmental and Physical Disabilities</w:t>
      </w:r>
      <w:r w:rsidRPr="005554ED">
        <w:rPr>
          <w:color w:val="000000" w:themeColor="text1"/>
        </w:rPr>
        <w:t xml:space="preserve">, </w:t>
      </w:r>
      <w:r w:rsidRPr="005554ED">
        <w:rPr>
          <w:i/>
          <w:iCs/>
          <w:color w:val="000000" w:themeColor="text1"/>
        </w:rPr>
        <w:t>28</w:t>
      </w:r>
      <w:r w:rsidRPr="005554ED">
        <w:rPr>
          <w:color w:val="000000" w:themeColor="text1"/>
        </w:rPr>
        <w:t xml:space="preserve">(5), 723–733. </w:t>
      </w:r>
      <w:hyperlink r:id="rId204" w:history="1">
        <w:r w:rsidRPr="005554ED">
          <w:rPr>
            <w:rStyle w:val="Hyperlink"/>
            <w:rFonts w:eastAsia="Arial"/>
            <w:color w:val="000000" w:themeColor="text1"/>
          </w:rPr>
          <w:t>https://doi.org/10.1007/s10882-016-9504-2</w:t>
        </w:r>
      </w:hyperlink>
    </w:p>
    <w:p w14:paraId="1FB734C9" w14:textId="77777777" w:rsidR="00B76713" w:rsidRPr="005554ED" w:rsidRDefault="00B76713" w:rsidP="00B76713">
      <w:pPr>
        <w:pStyle w:val="Bibliography"/>
        <w:rPr>
          <w:color w:val="000000" w:themeColor="text1"/>
        </w:rPr>
      </w:pPr>
      <w:r w:rsidRPr="005554ED">
        <w:rPr>
          <w:color w:val="000000" w:themeColor="text1"/>
        </w:rPr>
        <w:t xml:space="preserve">Reis, H. T. (2020). </w:t>
      </w:r>
      <w:r w:rsidRPr="005554ED">
        <w:rPr>
          <w:i/>
          <w:iCs/>
          <w:color w:val="000000" w:themeColor="text1"/>
        </w:rPr>
        <w:t>Loneliness in a psychology course at the University of Rochester over two decades</w:t>
      </w:r>
      <w:r w:rsidRPr="005554ED">
        <w:rPr>
          <w:color w:val="000000" w:themeColor="text1"/>
        </w:rPr>
        <w:t xml:space="preserve"> [Unpublished raw data].</w:t>
      </w:r>
    </w:p>
    <w:p w14:paraId="5270BD9D" w14:textId="77777777" w:rsidR="00B76713" w:rsidRPr="005554ED" w:rsidRDefault="00B76713" w:rsidP="00B76713">
      <w:pPr>
        <w:pStyle w:val="Bibliography"/>
        <w:rPr>
          <w:color w:val="000000" w:themeColor="text1"/>
        </w:rPr>
      </w:pPr>
      <w:r w:rsidRPr="005554ED">
        <w:rPr>
          <w:color w:val="000000" w:themeColor="text1"/>
        </w:rPr>
        <w:t xml:space="preserve">Reis, H. T., O’Keefe, S. D., &amp; Lane, R. D. (2017). Fun is more fun when others are involved. </w:t>
      </w:r>
      <w:r w:rsidRPr="005554ED">
        <w:rPr>
          <w:i/>
          <w:iCs/>
          <w:color w:val="000000" w:themeColor="text1"/>
        </w:rPr>
        <w:t>The Journal of Positive Psychology</w:t>
      </w:r>
      <w:r w:rsidRPr="005554ED">
        <w:rPr>
          <w:color w:val="000000" w:themeColor="text1"/>
        </w:rPr>
        <w:t xml:space="preserve">, </w:t>
      </w:r>
      <w:r w:rsidRPr="005554ED">
        <w:rPr>
          <w:i/>
          <w:iCs/>
          <w:color w:val="000000" w:themeColor="text1"/>
        </w:rPr>
        <w:t>12</w:t>
      </w:r>
      <w:r w:rsidRPr="005554ED">
        <w:rPr>
          <w:color w:val="000000" w:themeColor="text1"/>
        </w:rPr>
        <w:t xml:space="preserve">(6), 547–557. </w:t>
      </w:r>
      <w:hyperlink r:id="rId205" w:history="1">
        <w:r w:rsidRPr="005554ED">
          <w:rPr>
            <w:rStyle w:val="Hyperlink"/>
            <w:rFonts w:eastAsia="Arial"/>
            <w:color w:val="000000" w:themeColor="text1"/>
          </w:rPr>
          <w:t>https://doi.org/10.1080/17439760.2016.1221123</w:t>
        </w:r>
      </w:hyperlink>
    </w:p>
    <w:p w14:paraId="4A270B86" w14:textId="77777777" w:rsidR="00B76713" w:rsidRPr="005554ED" w:rsidRDefault="00B76713" w:rsidP="00B76713">
      <w:pPr>
        <w:pStyle w:val="Bibliography"/>
        <w:rPr>
          <w:color w:val="000000" w:themeColor="text1"/>
        </w:rPr>
      </w:pPr>
      <w:r w:rsidRPr="005554ED">
        <w:rPr>
          <w:color w:val="000000" w:themeColor="text1"/>
        </w:rPr>
        <w:t xml:space="preserve">Renshaw, T. L., Eklund, K. R., </w:t>
      </w:r>
      <w:proofErr w:type="spellStart"/>
      <w:r w:rsidRPr="005554ED">
        <w:rPr>
          <w:color w:val="000000" w:themeColor="text1"/>
        </w:rPr>
        <w:t>Bolognino</w:t>
      </w:r>
      <w:proofErr w:type="spellEnd"/>
      <w:r w:rsidRPr="005554ED">
        <w:rPr>
          <w:color w:val="000000" w:themeColor="text1"/>
        </w:rPr>
        <w:t xml:space="preserve">, S. J., &amp; </w:t>
      </w:r>
      <w:proofErr w:type="spellStart"/>
      <w:r w:rsidRPr="005554ED">
        <w:rPr>
          <w:color w:val="000000" w:themeColor="text1"/>
        </w:rPr>
        <w:t>Adodo</w:t>
      </w:r>
      <w:proofErr w:type="spellEnd"/>
      <w:r w:rsidRPr="005554ED">
        <w:rPr>
          <w:color w:val="000000" w:themeColor="text1"/>
        </w:rPr>
        <w:t xml:space="preserve">, I. (2016). Bidimensional emotional health in college students: A comparison of categorical and continuous analytic </w:t>
      </w:r>
      <w:r w:rsidRPr="005554ED">
        <w:rPr>
          <w:color w:val="000000" w:themeColor="text1"/>
        </w:rPr>
        <w:lastRenderedPageBreak/>
        <w:t xml:space="preserve">approaches. </w:t>
      </w:r>
      <w:r w:rsidRPr="005554ED">
        <w:rPr>
          <w:i/>
          <w:iCs/>
          <w:color w:val="000000" w:themeColor="text1"/>
        </w:rPr>
        <w:t>Journal of Psychopathology and Behavioral Assessment</w:t>
      </w:r>
      <w:r w:rsidRPr="005554ED">
        <w:rPr>
          <w:color w:val="000000" w:themeColor="text1"/>
        </w:rPr>
        <w:t xml:space="preserve">, </w:t>
      </w:r>
      <w:r w:rsidRPr="005554ED">
        <w:rPr>
          <w:i/>
          <w:iCs/>
          <w:color w:val="000000" w:themeColor="text1"/>
        </w:rPr>
        <w:t>38</w:t>
      </w:r>
      <w:r w:rsidRPr="005554ED">
        <w:rPr>
          <w:color w:val="000000" w:themeColor="text1"/>
        </w:rPr>
        <w:t xml:space="preserve">(4), 681–694. </w:t>
      </w:r>
      <w:hyperlink r:id="rId206" w:history="1">
        <w:r w:rsidRPr="005554ED">
          <w:rPr>
            <w:rStyle w:val="Hyperlink"/>
            <w:rFonts w:eastAsia="Arial"/>
            <w:color w:val="000000" w:themeColor="text1"/>
          </w:rPr>
          <w:t>https://doi.org/10.1007/s10862-016-9558-6</w:t>
        </w:r>
      </w:hyperlink>
    </w:p>
    <w:p w14:paraId="56F1E533" w14:textId="77777777" w:rsidR="00B76713" w:rsidRPr="005554ED" w:rsidRDefault="00B76713" w:rsidP="00B76713">
      <w:pPr>
        <w:pStyle w:val="Bibliography"/>
        <w:rPr>
          <w:color w:val="000000" w:themeColor="text1"/>
        </w:rPr>
      </w:pPr>
      <w:r w:rsidRPr="006A16A9">
        <w:rPr>
          <w:color w:val="000000" w:themeColor="text1"/>
        </w:rPr>
        <w:t xml:space="preserve">Richardson, T., Elliott, P., &amp; Roberts, R. (2017). </w:t>
      </w:r>
      <w:r w:rsidRPr="005554ED">
        <w:rPr>
          <w:color w:val="000000" w:themeColor="text1"/>
        </w:rPr>
        <w:t xml:space="preserve">Relationship between loneliness and mental health in students. </w:t>
      </w:r>
      <w:r w:rsidRPr="005554ED">
        <w:rPr>
          <w:i/>
          <w:iCs/>
          <w:color w:val="000000" w:themeColor="text1"/>
        </w:rPr>
        <w:t>Journal of Public Mental Health</w:t>
      </w:r>
      <w:r w:rsidRPr="005554ED">
        <w:rPr>
          <w:color w:val="000000" w:themeColor="text1"/>
        </w:rPr>
        <w:t xml:space="preserve">, </w:t>
      </w:r>
      <w:r w:rsidRPr="005554ED">
        <w:rPr>
          <w:i/>
          <w:iCs/>
          <w:color w:val="000000" w:themeColor="text1"/>
        </w:rPr>
        <w:t>16</w:t>
      </w:r>
      <w:r w:rsidRPr="005554ED">
        <w:rPr>
          <w:color w:val="000000" w:themeColor="text1"/>
        </w:rPr>
        <w:t xml:space="preserve">(2), 48–54. </w:t>
      </w:r>
      <w:hyperlink r:id="rId207" w:history="1">
        <w:r w:rsidRPr="005554ED">
          <w:rPr>
            <w:rStyle w:val="Hyperlink"/>
            <w:rFonts w:eastAsia="Arial"/>
            <w:color w:val="000000" w:themeColor="text1"/>
          </w:rPr>
          <w:t>https://doi.org/10.1108/JPMH-03-2016-0013</w:t>
        </w:r>
      </w:hyperlink>
    </w:p>
    <w:p w14:paraId="18F2C759" w14:textId="77777777" w:rsidR="00B76713" w:rsidRPr="005554ED" w:rsidRDefault="00B76713" w:rsidP="00B76713">
      <w:pPr>
        <w:pStyle w:val="Bibliography"/>
        <w:rPr>
          <w:color w:val="000000" w:themeColor="text1"/>
        </w:rPr>
      </w:pPr>
      <w:r w:rsidRPr="005554ED">
        <w:rPr>
          <w:color w:val="000000" w:themeColor="text1"/>
        </w:rPr>
        <w:t xml:space="preserve">Riggio, H. R., &amp; </w:t>
      </w:r>
      <w:proofErr w:type="spellStart"/>
      <w:r w:rsidRPr="005554ED">
        <w:rPr>
          <w:color w:val="000000" w:themeColor="text1"/>
        </w:rPr>
        <w:t>Kwong</w:t>
      </w:r>
      <w:proofErr w:type="spellEnd"/>
      <w:r w:rsidRPr="005554ED">
        <w:rPr>
          <w:color w:val="000000" w:themeColor="text1"/>
        </w:rPr>
        <w:t xml:space="preserve">, W. Y. (2009). Social skills, paranoid thinking, and social outcomes among young adults. </w:t>
      </w:r>
      <w:r w:rsidRPr="005554ED">
        <w:rPr>
          <w:i/>
          <w:iCs/>
          <w:color w:val="000000" w:themeColor="text1"/>
        </w:rPr>
        <w:t>Personality and Individual Differences</w:t>
      </w:r>
      <w:r w:rsidRPr="005554ED">
        <w:rPr>
          <w:color w:val="000000" w:themeColor="text1"/>
        </w:rPr>
        <w:t xml:space="preserve">, </w:t>
      </w:r>
      <w:r w:rsidRPr="005554ED">
        <w:rPr>
          <w:i/>
          <w:iCs/>
          <w:color w:val="000000" w:themeColor="text1"/>
        </w:rPr>
        <w:t>47</w:t>
      </w:r>
      <w:r w:rsidRPr="005554ED">
        <w:rPr>
          <w:color w:val="000000" w:themeColor="text1"/>
        </w:rPr>
        <w:t xml:space="preserve">(5), 492–497. </w:t>
      </w:r>
      <w:hyperlink r:id="rId208" w:history="1">
        <w:r w:rsidRPr="005554ED">
          <w:rPr>
            <w:rStyle w:val="Hyperlink"/>
            <w:rFonts w:eastAsia="Arial"/>
            <w:color w:val="000000" w:themeColor="text1"/>
          </w:rPr>
          <w:t>https://doi.org/10.1016/j.paid.2009.04.026</w:t>
        </w:r>
      </w:hyperlink>
    </w:p>
    <w:p w14:paraId="34D65170" w14:textId="77777777" w:rsidR="00B76713" w:rsidRPr="005554ED" w:rsidRDefault="00B76713" w:rsidP="00B76713">
      <w:pPr>
        <w:pStyle w:val="Bibliography"/>
        <w:rPr>
          <w:color w:val="000000" w:themeColor="text1"/>
        </w:rPr>
      </w:pPr>
      <w:r w:rsidRPr="005554ED">
        <w:rPr>
          <w:color w:val="000000" w:themeColor="text1"/>
        </w:rPr>
        <w:t xml:space="preserve">Riggio, H. R., &amp; </w:t>
      </w:r>
      <w:proofErr w:type="spellStart"/>
      <w:r w:rsidRPr="005554ED">
        <w:rPr>
          <w:color w:val="000000" w:themeColor="text1"/>
        </w:rPr>
        <w:t>Kwong</w:t>
      </w:r>
      <w:proofErr w:type="spellEnd"/>
      <w:r w:rsidRPr="005554ED">
        <w:rPr>
          <w:color w:val="000000" w:themeColor="text1"/>
        </w:rPr>
        <w:t xml:space="preserve">, W. Y. (2011). Paranoid thinking, quality of relationships with parents, and social outcomes among young adults. </w:t>
      </w:r>
      <w:r w:rsidRPr="005554ED">
        <w:rPr>
          <w:i/>
          <w:iCs/>
          <w:color w:val="000000" w:themeColor="text1"/>
        </w:rPr>
        <w:t>Journal of Family Issues</w:t>
      </w:r>
      <w:r w:rsidRPr="005554ED">
        <w:rPr>
          <w:color w:val="000000" w:themeColor="text1"/>
        </w:rPr>
        <w:t xml:space="preserve">, </w:t>
      </w:r>
      <w:r w:rsidRPr="005554ED">
        <w:rPr>
          <w:i/>
          <w:iCs/>
          <w:color w:val="000000" w:themeColor="text1"/>
        </w:rPr>
        <w:t>32</w:t>
      </w:r>
      <w:r w:rsidRPr="005554ED">
        <w:rPr>
          <w:color w:val="000000" w:themeColor="text1"/>
        </w:rPr>
        <w:t xml:space="preserve">(8), 1030–1049. </w:t>
      </w:r>
      <w:hyperlink r:id="rId209" w:history="1">
        <w:r w:rsidRPr="005554ED">
          <w:rPr>
            <w:rStyle w:val="Hyperlink"/>
            <w:rFonts w:eastAsia="Arial"/>
            <w:color w:val="000000" w:themeColor="text1"/>
          </w:rPr>
          <w:t>https://doi.org/10.1177/0192513X11403281</w:t>
        </w:r>
      </w:hyperlink>
    </w:p>
    <w:p w14:paraId="1CFF00B1" w14:textId="77777777" w:rsidR="00B76713" w:rsidRPr="005554ED" w:rsidRDefault="00B76713" w:rsidP="00B76713">
      <w:pPr>
        <w:pStyle w:val="Bibliography"/>
        <w:rPr>
          <w:color w:val="000000" w:themeColor="text1"/>
        </w:rPr>
      </w:pPr>
      <w:r w:rsidRPr="005554ED">
        <w:rPr>
          <w:color w:val="000000" w:themeColor="text1"/>
        </w:rPr>
        <w:t xml:space="preserve">Ross, J., </w:t>
      </w:r>
      <w:proofErr w:type="spellStart"/>
      <w:r w:rsidRPr="005554ED">
        <w:rPr>
          <w:color w:val="000000" w:themeColor="text1"/>
        </w:rPr>
        <w:t>Baník</w:t>
      </w:r>
      <w:proofErr w:type="spellEnd"/>
      <w:r w:rsidRPr="005554ED">
        <w:rPr>
          <w:color w:val="000000" w:themeColor="text1"/>
        </w:rPr>
        <w:t xml:space="preserve">, G., </w:t>
      </w:r>
      <w:proofErr w:type="spellStart"/>
      <w:r w:rsidRPr="005554ED">
        <w:rPr>
          <w:color w:val="000000" w:themeColor="text1"/>
        </w:rPr>
        <w:t>Dědová</w:t>
      </w:r>
      <w:proofErr w:type="spellEnd"/>
      <w:r w:rsidRPr="005554ED">
        <w:rPr>
          <w:color w:val="000000" w:themeColor="text1"/>
        </w:rPr>
        <w:t xml:space="preserve">, M., </w:t>
      </w:r>
      <w:proofErr w:type="spellStart"/>
      <w:r w:rsidRPr="005554ED">
        <w:rPr>
          <w:color w:val="000000" w:themeColor="text1"/>
        </w:rPr>
        <w:t>Mikulášková</w:t>
      </w:r>
      <w:proofErr w:type="spellEnd"/>
      <w:r w:rsidRPr="005554ED">
        <w:rPr>
          <w:color w:val="000000" w:themeColor="text1"/>
        </w:rPr>
        <w:t xml:space="preserve">, G., &amp; </w:t>
      </w:r>
      <w:proofErr w:type="spellStart"/>
      <w:r w:rsidRPr="005554ED">
        <w:rPr>
          <w:color w:val="000000" w:themeColor="text1"/>
        </w:rPr>
        <w:t>Armour</w:t>
      </w:r>
      <w:proofErr w:type="spellEnd"/>
      <w:r w:rsidRPr="005554ED">
        <w:rPr>
          <w:color w:val="000000" w:themeColor="text1"/>
        </w:rPr>
        <w:t xml:space="preserve">, C. (2018). Assessing the structure and meaningfulness of the dissociative subtype of PTSD. </w:t>
      </w:r>
      <w:r w:rsidRPr="005554ED">
        <w:rPr>
          <w:i/>
          <w:iCs/>
          <w:color w:val="000000" w:themeColor="text1"/>
        </w:rPr>
        <w:t>Social Psychiatry and Psychiatric Epidemiology</w:t>
      </w:r>
      <w:r w:rsidRPr="005554ED">
        <w:rPr>
          <w:color w:val="000000" w:themeColor="text1"/>
        </w:rPr>
        <w:t xml:space="preserve">, </w:t>
      </w:r>
      <w:r w:rsidRPr="005554ED">
        <w:rPr>
          <w:i/>
          <w:iCs/>
          <w:color w:val="000000" w:themeColor="text1"/>
        </w:rPr>
        <w:t>53</w:t>
      </w:r>
      <w:r w:rsidRPr="005554ED">
        <w:rPr>
          <w:color w:val="000000" w:themeColor="text1"/>
        </w:rPr>
        <w:t xml:space="preserve">(1), 87–97. </w:t>
      </w:r>
      <w:hyperlink r:id="rId210" w:history="1">
        <w:r w:rsidRPr="005554ED">
          <w:rPr>
            <w:rStyle w:val="Hyperlink"/>
            <w:rFonts w:eastAsia="Arial"/>
            <w:color w:val="000000" w:themeColor="text1"/>
          </w:rPr>
          <w:t>https://doi.org/10.1007/s00127-017-1445-2</w:t>
        </w:r>
      </w:hyperlink>
    </w:p>
    <w:p w14:paraId="7DCA5951" w14:textId="77777777" w:rsidR="00B76713" w:rsidRPr="005554ED" w:rsidRDefault="00B76713" w:rsidP="00B76713">
      <w:pPr>
        <w:pStyle w:val="Bibliography"/>
        <w:rPr>
          <w:color w:val="000000" w:themeColor="text1"/>
        </w:rPr>
      </w:pPr>
      <w:r w:rsidRPr="005554ED">
        <w:rPr>
          <w:color w:val="000000" w:themeColor="text1"/>
        </w:rPr>
        <w:t xml:space="preserve">Rotenberg, K. J., Bharathi, C., Davies, H., &amp; Finch, T. (2017). Obesity and the Social Withdrawal Syndrome. </w:t>
      </w:r>
      <w:r w:rsidRPr="005554ED">
        <w:rPr>
          <w:i/>
          <w:iCs/>
          <w:color w:val="000000" w:themeColor="text1"/>
        </w:rPr>
        <w:t>Eating Behaviors</w:t>
      </w:r>
      <w:r w:rsidRPr="005554ED">
        <w:rPr>
          <w:color w:val="000000" w:themeColor="text1"/>
        </w:rPr>
        <w:t xml:space="preserve">, </w:t>
      </w:r>
      <w:r w:rsidRPr="005554ED">
        <w:rPr>
          <w:i/>
          <w:iCs/>
          <w:color w:val="000000" w:themeColor="text1"/>
        </w:rPr>
        <w:t>26</w:t>
      </w:r>
      <w:r w:rsidRPr="005554ED">
        <w:rPr>
          <w:color w:val="000000" w:themeColor="text1"/>
        </w:rPr>
        <w:t xml:space="preserve">, 167–170. </w:t>
      </w:r>
      <w:hyperlink r:id="rId211" w:history="1">
        <w:r w:rsidRPr="005554ED">
          <w:rPr>
            <w:rStyle w:val="Hyperlink"/>
            <w:rFonts w:eastAsia="Arial"/>
            <w:color w:val="000000" w:themeColor="text1"/>
          </w:rPr>
          <w:t>https://doi.org/10.1016/j.eatbeh.2017.03.006</w:t>
        </w:r>
      </w:hyperlink>
    </w:p>
    <w:p w14:paraId="56D18284" w14:textId="77777777" w:rsidR="00B76713" w:rsidRPr="005554ED" w:rsidRDefault="00B76713" w:rsidP="00B76713">
      <w:pPr>
        <w:pStyle w:val="Bibliography"/>
        <w:rPr>
          <w:color w:val="000000" w:themeColor="text1"/>
        </w:rPr>
      </w:pPr>
      <w:r w:rsidRPr="005554ED">
        <w:rPr>
          <w:color w:val="000000" w:themeColor="text1"/>
        </w:rPr>
        <w:t xml:space="preserve">Russell, D., </w:t>
      </w:r>
      <w:proofErr w:type="spellStart"/>
      <w:r w:rsidRPr="005554ED">
        <w:rPr>
          <w:color w:val="000000" w:themeColor="text1"/>
        </w:rPr>
        <w:t>Cutrona</w:t>
      </w:r>
      <w:proofErr w:type="spellEnd"/>
      <w:r w:rsidRPr="005554ED">
        <w:rPr>
          <w:color w:val="000000" w:themeColor="text1"/>
        </w:rPr>
        <w:t xml:space="preserve">, C. E., Rose, J., &amp; </w:t>
      </w:r>
      <w:proofErr w:type="spellStart"/>
      <w:r w:rsidRPr="005554ED">
        <w:rPr>
          <w:color w:val="000000" w:themeColor="text1"/>
        </w:rPr>
        <w:t>Yurko</w:t>
      </w:r>
      <w:proofErr w:type="spellEnd"/>
      <w:r w:rsidRPr="005554ED">
        <w:rPr>
          <w:color w:val="000000" w:themeColor="text1"/>
        </w:rPr>
        <w:t xml:space="preserve">, K. (1984). Social and emotional loneliness: An examination of Weiss’s typology of loneliness. </w:t>
      </w:r>
      <w:r w:rsidRPr="005554ED">
        <w:rPr>
          <w:i/>
          <w:iCs/>
          <w:color w:val="000000" w:themeColor="text1"/>
        </w:rPr>
        <w:t>Journal of Personality and Social Psychology</w:t>
      </w:r>
      <w:r w:rsidRPr="005554ED">
        <w:rPr>
          <w:color w:val="000000" w:themeColor="text1"/>
        </w:rPr>
        <w:t xml:space="preserve">, </w:t>
      </w:r>
      <w:r w:rsidRPr="005554ED">
        <w:rPr>
          <w:i/>
          <w:iCs/>
          <w:color w:val="000000" w:themeColor="text1"/>
        </w:rPr>
        <w:t>46</w:t>
      </w:r>
      <w:r w:rsidRPr="005554ED">
        <w:rPr>
          <w:color w:val="000000" w:themeColor="text1"/>
        </w:rPr>
        <w:t xml:space="preserve">(6), 1313–1321. </w:t>
      </w:r>
      <w:hyperlink r:id="rId212" w:history="1">
        <w:r w:rsidRPr="005554ED">
          <w:rPr>
            <w:rStyle w:val="Hyperlink"/>
            <w:rFonts w:eastAsia="Arial"/>
            <w:color w:val="000000" w:themeColor="text1"/>
          </w:rPr>
          <w:t>https://doi.org/10.1037/0022-3514.46.6.1313</w:t>
        </w:r>
      </w:hyperlink>
    </w:p>
    <w:p w14:paraId="3E88F92A" w14:textId="77777777" w:rsidR="00B76713" w:rsidRPr="005554ED" w:rsidRDefault="00B76713" w:rsidP="00B76713">
      <w:pPr>
        <w:pStyle w:val="Bibliography"/>
        <w:rPr>
          <w:color w:val="000000" w:themeColor="text1"/>
        </w:rPr>
      </w:pPr>
      <w:r w:rsidRPr="005554ED">
        <w:rPr>
          <w:color w:val="000000" w:themeColor="text1"/>
        </w:rPr>
        <w:t xml:space="preserve">Russell, D., Peplau, L. A., &amp; </w:t>
      </w:r>
      <w:proofErr w:type="spellStart"/>
      <w:r w:rsidRPr="005554ED">
        <w:rPr>
          <w:color w:val="000000" w:themeColor="text1"/>
        </w:rPr>
        <w:t>Cutrona</w:t>
      </w:r>
      <w:proofErr w:type="spellEnd"/>
      <w:r w:rsidRPr="005554ED">
        <w:rPr>
          <w:color w:val="000000" w:themeColor="text1"/>
        </w:rPr>
        <w:t xml:space="preserve">, C. E. (1980). The revised UCLA Loneliness Scale: Concurrent and discriminant validity evidence. </w:t>
      </w:r>
      <w:r w:rsidRPr="005554ED">
        <w:rPr>
          <w:i/>
          <w:iCs/>
          <w:color w:val="000000" w:themeColor="text1"/>
        </w:rPr>
        <w:t>Journal of Personality and Social Psychology</w:t>
      </w:r>
      <w:r w:rsidRPr="005554ED">
        <w:rPr>
          <w:color w:val="000000" w:themeColor="text1"/>
        </w:rPr>
        <w:t xml:space="preserve">, </w:t>
      </w:r>
      <w:r w:rsidRPr="005554ED">
        <w:rPr>
          <w:i/>
          <w:iCs/>
          <w:color w:val="000000" w:themeColor="text1"/>
        </w:rPr>
        <w:t>39</w:t>
      </w:r>
      <w:r w:rsidRPr="005554ED">
        <w:rPr>
          <w:color w:val="000000" w:themeColor="text1"/>
        </w:rPr>
        <w:t xml:space="preserve">(3), 472–480. </w:t>
      </w:r>
      <w:hyperlink r:id="rId213" w:history="1">
        <w:r w:rsidRPr="005554ED">
          <w:rPr>
            <w:rStyle w:val="Hyperlink"/>
            <w:rFonts w:eastAsia="Arial"/>
            <w:color w:val="000000" w:themeColor="text1"/>
          </w:rPr>
          <w:t>https://doi.org/10.1037/0022-3514.39.3.472</w:t>
        </w:r>
      </w:hyperlink>
    </w:p>
    <w:p w14:paraId="27CB99B9" w14:textId="77777777" w:rsidR="00B76713" w:rsidRPr="005554ED" w:rsidRDefault="00B76713" w:rsidP="00B76713">
      <w:pPr>
        <w:pStyle w:val="Bibliography"/>
        <w:rPr>
          <w:color w:val="000000" w:themeColor="text1"/>
        </w:rPr>
      </w:pPr>
      <w:r w:rsidRPr="005554ED">
        <w:rPr>
          <w:color w:val="000000" w:themeColor="text1"/>
        </w:rPr>
        <w:lastRenderedPageBreak/>
        <w:t xml:space="preserve">Russell, D., Peplau, L. A., &amp; Ferguson, M. L. (1978). Developing a measure of loneliness. </w:t>
      </w:r>
      <w:r w:rsidRPr="005554ED">
        <w:rPr>
          <w:i/>
          <w:iCs/>
          <w:color w:val="000000" w:themeColor="text1"/>
        </w:rPr>
        <w:t>Journal of Personality Assessment</w:t>
      </w:r>
      <w:r w:rsidRPr="005554ED">
        <w:rPr>
          <w:color w:val="000000" w:themeColor="text1"/>
        </w:rPr>
        <w:t xml:space="preserve">, </w:t>
      </w:r>
      <w:r w:rsidRPr="005554ED">
        <w:rPr>
          <w:i/>
          <w:iCs/>
          <w:color w:val="000000" w:themeColor="text1"/>
        </w:rPr>
        <w:t>42</w:t>
      </w:r>
      <w:r w:rsidRPr="005554ED">
        <w:rPr>
          <w:color w:val="000000" w:themeColor="text1"/>
        </w:rPr>
        <w:t xml:space="preserve">(3), 290–294. </w:t>
      </w:r>
      <w:hyperlink r:id="rId214" w:history="1">
        <w:r w:rsidRPr="005554ED">
          <w:rPr>
            <w:rStyle w:val="Hyperlink"/>
            <w:rFonts w:eastAsia="Arial"/>
            <w:color w:val="000000" w:themeColor="text1"/>
          </w:rPr>
          <w:t>https://doi.org/10.1207/s15327752jpa4203_11</w:t>
        </w:r>
      </w:hyperlink>
    </w:p>
    <w:p w14:paraId="48D52366" w14:textId="77777777" w:rsidR="00B76713" w:rsidRPr="005554ED" w:rsidRDefault="00B76713" w:rsidP="00B76713">
      <w:pPr>
        <w:pStyle w:val="Bibliography"/>
        <w:rPr>
          <w:color w:val="000000" w:themeColor="text1"/>
        </w:rPr>
      </w:pPr>
      <w:r w:rsidRPr="005554ED">
        <w:rPr>
          <w:color w:val="000000" w:themeColor="text1"/>
        </w:rPr>
        <w:t xml:space="preserve">Russell, D. W. (1996). UCLA Loneliness Scale (Version 3): Reliability, validity, and factor structure. </w:t>
      </w:r>
      <w:r w:rsidRPr="005554ED">
        <w:rPr>
          <w:i/>
          <w:iCs/>
          <w:color w:val="000000" w:themeColor="text1"/>
        </w:rPr>
        <w:t>Journal of Personality Assessment</w:t>
      </w:r>
      <w:r w:rsidRPr="005554ED">
        <w:rPr>
          <w:color w:val="000000" w:themeColor="text1"/>
        </w:rPr>
        <w:t xml:space="preserve">, </w:t>
      </w:r>
      <w:r w:rsidRPr="005554ED">
        <w:rPr>
          <w:i/>
          <w:iCs/>
          <w:color w:val="000000" w:themeColor="text1"/>
        </w:rPr>
        <w:t>66</w:t>
      </w:r>
      <w:r w:rsidRPr="005554ED">
        <w:rPr>
          <w:color w:val="000000" w:themeColor="text1"/>
        </w:rPr>
        <w:t xml:space="preserve">(1), 20–40. </w:t>
      </w:r>
      <w:hyperlink r:id="rId215" w:history="1">
        <w:r w:rsidRPr="005554ED">
          <w:rPr>
            <w:rStyle w:val="Hyperlink"/>
            <w:rFonts w:eastAsia="Arial"/>
            <w:color w:val="000000" w:themeColor="text1"/>
          </w:rPr>
          <w:t>https://doi.org/10.1207/s15327752jpa6601_2</w:t>
        </w:r>
      </w:hyperlink>
    </w:p>
    <w:p w14:paraId="33BBEE0D" w14:textId="77777777" w:rsidR="00B76713" w:rsidRPr="005554ED" w:rsidRDefault="00B76713" w:rsidP="00B76713">
      <w:pPr>
        <w:pStyle w:val="Bibliography"/>
        <w:rPr>
          <w:color w:val="000000" w:themeColor="text1"/>
          <w:lang w:val="de-DE"/>
        </w:rPr>
      </w:pPr>
      <w:proofErr w:type="spellStart"/>
      <w:r w:rsidRPr="005554ED">
        <w:rPr>
          <w:color w:val="000000" w:themeColor="text1"/>
        </w:rPr>
        <w:t>Sagoe</w:t>
      </w:r>
      <w:proofErr w:type="spellEnd"/>
      <w:r w:rsidRPr="005554ED">
        <w:rPr>
          <w:color w:val="000000" w:themeColor="text1"/>
        </w:rPr>
        <w:t xml:space="preserve">, D., </w:t>
      </w:r>
      <w:proofErr w:type="spellStart"/>
      <w:r w:rsidRPr="005554ED">
        <w:rPr>
          <w:color w:val="000000" w:themeColor="text1"/>
        </w:rPr>
        <w:t>Pallesen</w:t>
      </w:r>
      <w:proofErr w:type="spellEnd"/>
      <w:r w:rsidRPr="005554ED">
        <w:rPr>
          <w:color w:val="000000" w:themeColor="text1"/>
        </w:rPr>
        <w:t xml:space="preserve">, S., </w:t>
      </w:r>
      <w:proofErr w:type="spellStart"/>
      <w:r w:rsidRPr="005554ED">
        <w:rPr>
          <w:color w:val="000000" w:themeColor="text1"/>
        </w:rPr>
        <w:t>Hanss</w:t>
      </w:r>
      <w:proofErr w:type="spellEnd"/>
      <w:r w:rsidRPr="005554ED">
        <w:rPr>
          <w:color w:val="000000" w:themeColor="text1"/>
        </w:rPr>
        <w:t xml:space="preserve">, D., </w:t>
      </w:r>
      <w:proofErr w:type="spellStart"/>
      <w:r w:rsidRPr="005554ED">
        <w:rPr>
          <w:color w:val="000000" w:themeColor="text1"/>
        </w:rPr>
        <w:t>Leino</w:t>
      </w:r>
      <w:proofErr w:type="spellEnd"/>
      <w:r w:rsidRPr="005554ED">
        <w:rPr>
          <w:color w:val="000000" w:themeColor="text1"/>
        </w:rPr>
        <w:t xml:space="preserve">, T., </w:t>
      </w:r>
      <w:proofErr w:type="spellStart"/>
      <w:r w:rsidRPr="005554ED">
        <w:rPr>
          <w:color w:val="000000" w:themeColor="text1"/>
        </w:rPr>
        <w:t>Molde</w:t>
      </w:r>
      <w:proofErr w:type="spellEnd"/>
      <w:r w:rsidRPr="005554ED">
        <w:rPr>
          <w:color w:val="000000" w:themeColor="text1"/>
        </w:rPr>
        <w:t xml:space="preserve">, H., </w:t>
      </w:r>
      <w:proofErr w:type="spellStart"/>
      <w:r w:rsidRPr="005554ED">
        <w:rPr>
          <w:color w:val="000000" w:themeColor="text1"/>
        </w:rPr>
        <w:t>Mentzoni</w:t>
      </w:r>
      <w:proofErr w:type="spellEnd"/>
      <w:r w:rsidRPr="005554ED">
        <w:rPr>
          <w:color w:val="000000" w:themeColor="text1"/>
        </w:rPr>
        <w:t xml:space="preserve">, R. A., &amp; </w:t>
      </w:r>
      <w:proofErr w:type="spellStart"/>
      <w:r w:rsidRPr="005554ED">
        <w:rPr>
          <w:color w:val="000000" w:themeColor="text1"/>
        </w:rPr>
        <w:t>Torsheim</w:t>
      </w:r>
      <w:proofErr w:type="spellEnd"/>
      <w:r w:rsidRPr="005554ED">
        <w:rPr>
          <w:color w:val="000000" w:themeColor="text1"/>
        </w:rPr>
        <w:t xml:space="preserve">, T. (2017). The relationships between mental health symptoms and gambling behavior in the transition from adolescence to emerging adulthood. </w:t>
      </w:r>
      <w:r w:rsidRPr="005554ED">
        <w:rPr>
          <w:i/>
          <w:iCs/>
          <w:color w:val="000000" w:themeColor="text1"/>
          <w:lang w:val="de-DE"/>
        </w:rPr>
        <w:t>Frontiers in Psychology</w:t>
      </w:r>
      <w:r w:rsidRPr="005554ED">
        <w:rPr>
          <w:color w:val="000000" w:themeColor="text1"/>
          <w:lang w:val="de-DE"/>
        </w:rPr>
        <w:t xml:space="preserve">, </w:t>
      </w:r>
      <w:r w:rsidRPr="005554ED">
        <w:rPr>
          <w:i/>
          <w:iCs/>
          <w:color w:val="000000" w:themeColor="text1"/>
          <w:lang w:val="de-DE"/>
        </w:rPr>
        <w:t>8</w:t>
      </w:r>
      <w:r w:rsidRPr="005554ED">
        <w:rPr>
          <w:color w:val="000000" w:themeColor="text1"/>
          <w:lang w:val="de-DE"/>
        </w:rPr>
        <w:t xml:space="preserve">, 478. </w:t>
      </w:r>
      <w:hyperlink r:id="rId216" w:history="1">
        <w:r w:rsidRPr="005554ED">
          <w:rPr>
            <w:rStyle w:val="Hyperlink"/>
            <w:rFonts w:eastAsia="Arial"/>
            <w:color w:val="000000" w:themeColor="text1"/>
            <w:lang w:val="de-DE"/>
          </w:rPr>
          <w:t>https://doi.org/10.3389/fpsyg.2017.00478</w:t>
        </w:r>
      </w:hyperlink>
    </w:p>
    <w:p w14:paraId="4BA83513" w14:textId="77777777" w:rsidR="00B76713" w:rsidRPr="005554ED" w:rsidRDefault="00B76713" w:rsidP="00B76713">
      <w:pPr>
        <w:pStyle w:val="Bibliography"/>
        <w:rPr>
          <w:color w:val="000000" w:themeColor="text1"/>
        </w:rPr>
      </w:pPr>
      <w:r w:rsidRPr="005554ED">
        <w:rPr>
          <w:color w:val="000000" w:themeColor="text1"/>
          <w:lang w:val="de-DE"/>
        </w:rPr>
        <w:t xml:space="preserve">Saklofske, D. H., &amp; Yackulic, R. A. (1989). </w:t>
      </w:r>
      <w:r w:rsidRPr="005554ED">
        <w:rPr>
          <w:color w:val="000000" w:themeColor="text1"/>
        </w:rPr>
        <w:t xml:space="preserve">Personality predictors of loneliness. </w:t>
      </w:r>
      <w:r w:rsidRPr="005554ED">
        <w:rPr>
          <w:i/>
          <w:iCs/>
          <w:color w:val="000000" w:themeColor="text1"/>
        </w:rPr>
        <w:t>Personality and Individual Differences</w:t>
      </w:r>
      <w:r w:rsidRPr="005554ED">
        <w:rPr>
          <w:color w:val="000000" w:themeColor="text1"/>
        </w:rPr>
        <w:t xml:space="preserve">, </w:t>
      </w:r>
      <w:r w:rsidRPr="005554ED">
        <w:rPr>
          <w:i/>
          <w:iCs/>
          <w:color w:val="000000" w:themeColor="text1"/>
        </w:rPr>
        <w:t>10</w:t>
      </w:r>
      <w:r w:rsidRPr="005554ED">
        <w:rPr>
          <w:color w:val="000000" w:themeColor="text1"/>
        </w:rPr>
        <w:t xml:space="preserve">(4), 467–472. </w:t>
      </w:r>
      <w:hyperlink r:id="rId217" w:history="1">
        <w:r w:rsidRPr="005554ED">
          <w:rPr>
            <w:rStyle w:val="Hyperlink"/>
            <w:rFonts w:eastAsia="Arial"/>
            <w:color w:val="000000" w:themeColor="text1"/>
          </w:rPr>
          <w:t>https://doi.org/10.1016/0191-8869(89)90011-1</w:t>
        </w:r>
      </w:hyperlink>
    </w:p>
    <w:p w14:paraId="0F08F744" w14:textId="77777777" w:rsidR="00B76713" w:rsidRPr="005554ED" w:rsidRDefault="00B76713" w:rsidP="00B76713">
      <w:pPr>
        <w:pStyle w:val="Bibliography"/>
        <w:rPr>
          <w:color w:val="000000" w:themeColor="text1"/>
        </w:rPr>
      </w:pPr>
      <w:r w:rsidRPr="005554ED">
        <w:rPr>
          <w:color w:val="000000" w:themeColor="text1"/>
        </w:rPr>
        <w:t xml:space="preserve">Sandstrom, G., &amp; Dunn, E. W. (2010). </w:t>
      </w:r>
      <w:r w:rsidRPr="005554ED">
        <w:rPr>
          <w:i/>
          <w:iCs/>
          <w:color w:val="000000" w:themeColor="text1"/>
        </w:rPr>
        <w:t>Loneliness in a Facebook study</w:t>
      </w:r>
      <w:r w:rsidRPr="005554ED">
        <w:rPr>
          <w:color w:val="000000" w:themeColor="text1"/>
        </w:rPr>
        <w:t xml:space="preserve"> [Unpublished raw data].</w:t>
      </w:r>
    </w:p>
    <w:p w14:paraId="6602AB9D" w14:textId="77777777" w:rsidR="00B76713" w:rsidRPr="005554ED" w:rsidRDefault="00B76713" w:rsidP="00B76713">
      <w:pPr>
        <w:pStyle w:val="Bibliography"/>
        <w:rPr>
          <w:color w:val="000000" w:themeColor="text1"/>
        </w:rPr>
      </w:pPr>
      <w:r w:rsidRPr="005554ED">
        <w:rPr>
          <w:color w:val="000000" w:themeColor="text1"/>
          <w:lang w:val="de-DE"/>
        </w:rPr>
        <w:t xml:space="preserve">Sandstrom, G., &amp; Dunn, E. W. (2012). </w:t>
      </w:r>
      <w:r w:rsidRPr="005554ED">
        <w:rPr>
          <w:i/>
          <w:iCs/>
          <w:color w:val="000000" w:themeColor="text1"/>
        </w:rPr>
        <w:t xml:space="preserve">Loneliness in an </w:t>
      </w:r>
      <w:proofErr w:type="gramStart"/>
      <w:r w:rsidRPr="005554ED">
        <w:rPr>
          <w:i/>
          <w:iCs/>
          <w:color w:val="000000" w:themeColor="text1"/>
        </w:rPr>
        <w:t>interactions</w:t>
      </w:r>
      <w:proofErr w:type="gramEnd"/>
      <w:r w:rsidRPr="005554ED">
        <w:rPr>
          <w:i/>
          <w:iCs/>
          <w:color w:val="000000" w:themeColor="text1"/>
        </w:rPr>
        <w:t xml:space="preserve"> intervention study</w:t>
      </w:r>
      <w:r w:rsidRPr="005554ED">
        <w:rPr>
          <w:color w:val="000000" w:themeColor="text1"/>
        </w:rPr>
        <w:t xml:space="preserve"> [Unpublished raw data].</w:t>
      </w:r>
    </w:p>
    <w:p w14:paraId="0F7EA3EB" w14:textId="77777777" w:rsidR="00B76713" w:rsidRPr="005554ED" w:rsidRDefault="00B76713" w:rsidP="00B76713">
      <w:pPr>
        <w:pStyle w:val="Bibliography"/>
        <w:rPr>
          <w:color w:val="000000" w:themeColor="text1"/>
        </w:rPr>
      </w:pPr>
      <w:r w:rsidRPr="005554ED">
        <w:rPr>
          <w:color w:val="000000" w:themeColor="text1"/>
          <w:lang w:val="de-DE"/>
        </w:rPr>
        <w:t xml:space="preserve">Sandstrom, G. M., &amp; Dunn, E. W. (2014a). </w:t>
      </w:r>
      <w:r w:rsidRPr="005554ED">
        <w:rPr>
          <w:color w:val="000000" w:themeColor="text1"/>
        </w:rPr>
        <w:t xml:space="preserve">Social interactions and well-being: The surprising power of weak ties. </w:t>
      </w:r>
      <w:r w:rsidRPr="005554ED">
        <w:rPr>
          <w:i/>
          <w:iCs/>
          <w:color w:val="000000" w:themeColor="text1"/>
        </w:rPr>
        <w:t>Personality &amp; Social Psychology Bulletin</w:t>
      </w:r>
      <w:r w:rsidRPr="005554ED">
        <w:rPr>
          <w:color w:val="000000" w:themeColor="text1"/>
        </w:rPr>
        <w:t xml:space="preserve">, </w:t>
      </w:r>
      <w:r w:rsidRPr="005554ED">
        <w:rPr>
          <w:i/>
          <w:iCs/>
          <w:color w:val="000000" w:themeColor="text1"/>
        </w:rPr>
        <w:t>40</w:t>
      </w:r>
      <w:r w:rsidRPr="005554ED">
        <w:rPr>
          <w:color w:val="000000" w:themeColor="text1"/>
        </w:rPr>
        <w:t xml:space="preserve">(7), 910–922. </w:t>
      </w:r>
      <w:hyperlink r:id="rId218" w:history="1">
        <w:r w:rsidRPr="005554ED">
          <w:rPr>
            <w:rStyle w:val="Hyperlink"/>
            <w:rFonts w:eastAsia="Arial"/>
            <w:color w:val="000000" w:themeColor="text1"/>
          </w:rPr>
          <w:t>https://doi.org/10.1177/0146167214529799</w:t>
        </w:r>
      </w:hyperlink>
    </w:p>
    <w:p w14:paraId="086327D8" w14:textId="77777777" w:rsidR="00B76713" w:rsidRPr="005554ED" w:rsidRDefault="00B76713" w:rsidP="00B76713">
      <w:pPr>
        <w:pStyle w:val="Bibliography"/>
        <w:rPr>
          <w:color w:val="000000" w:themeColor="text1"/>
        </w:rPr>
      </w:pPr>
      <w:r w:rsidRPr="005554ED">
        <w:rPr>
          <w:color w:val="000000" w:themeColor="text1"/>
        </w:rPr>
        <w:t xml:space="preserve">Sandstrom, G. M., &amp; Dunn, E. W. (2014b). Social interactions and well-being: The surprising power of weak ties. </w:t>
      </w:r>
      <w:r w:rsidRPr="005554ED">
        <w:rPr>
          <w:i/>
          <w:iCs/>
          <w:color w:val="000000" w:themeColor="text1"/>
        </w:rPr>
        <w:t>Personality and Social Psychology Bulletin</w:t>
      </w:r>
      <w:r w:rsidRPr="005554ED">
        <w:rPr>
          <w:color w:val="000000" w:themeColor="text1"/>
        </w:rPr>
        <w:t xml:space="preserve">, </w:t>
      </w:r>
      <w:r w:rsidRPr="005554ED">
        <w:rPr>
          <w:i/>
          <w:iCs/>
          <w:color w:val="000000" w:themeColor="text1"/>
        </w:rPr>
        <w:t>40</w:t>
      </w:r>
      <w:r w:rsidRPr="005554ED">
        <w:rPr>
          <w:color w:val="000000" w:themeColor="text1"/>
        </w:rPr>
        <w:t xml:space="preserve">(7), 910–922. </w:t>
      </w:r>
      <w:hyperlink r:id="rId219" w:history="1">
        <w:r w:rsidRPr="005554ED">
          <w:rPr>
            <w:rStyle w:val="Hyperlink"/>
            <w:rFonts w:eastAsia="Arial"/>
            <w:color w:val="000000" w:themeColor="text1"/>
          </w:rPr>
          <w:t>https://doi.org/10.1177/0146167214529799</w:t>
        </w:r>
      </w:hyperlink>
    </w:p>
    <w:p w14:paraId="5EFC4928" w14:textId="77777777" w:rsidR="00B76713" w:rsidRPr="005554ED" w:rsidRDefault="00B76713" w:rsidP="00B76713">
      <w:pPr>
        <w:pStyle w:val="Bibliography"/>
        <w:rPr>
          <w:color w:val="000000" w:themeColor="text1"/>
        </w:rPr>
      </w:pPr>
      <w:r w:rsidRPr="005554ED">
        <w:rPr>
          <w:color w:val="000000" w:themeColor="text1"/>
        </w:rPr>
        <w:t xml:space="preserve">Sandstrom, G. M., &amp; </w:t>
      </w:r>
      <w:proofErr w:type="spellStart"/>
      <w:r w:rsidRPr="005554ED">
        <w:rPr>
          <w:color w:val="000000" w:themeColor="text1"/>
        </w:rPr>
        <w:t>Rawn</w:t>
      </w:r>
      <w:proofErr w:type="spellEnd"/>
      <w:r w:rsidRPr="005554ED">
        <w:rPr>
          <w:color w:val="000000" w:themeColor="text1"/>
        </w:rPr>
        <w:t xml:space="preserve">, C. D. (2015). Embrace chattering students. </w:t>
      </w:r>
      <w:r w:rsidRPr="005554ED">
        <w:rPr>
          <w:i/>
          <w:iCs/>
          <w:color w:val="000000" w:themeColor="text1"/>
        </w:rPr>
        <w:t>Teaching of Psychology</w:t>
      </w:r>
      <w:r w:rsidRPr="005554ED">
        <w:rPr>
          <w:color w:val="000000" w:themeColor="text1"/>
        </w:rPr>
        <w:t xml:space="preserve">, </w:t>
      </w:r>
      <w:r w:rsidRPr="005554ED">
        <w:rPr>
          <w:i/>
          <w:iCs/>
          <w:color w:val="000000" w:themeColor="text1"/>
        </w:rPr>
        <w:t>42</w:t>
      </w:r>
      <w:r w:rsidRPr="005554ED">
        <w:rPr>
          <w:color w:val="000000" w:themeColor="text1"/>
        </w:rPr>
        <w:t xml:space="preserve">(3), 227–233. </w:t>
      </w:r>
      <w:hyperlink r:id="rId220" w:history="1">
        <w:r w:rsidRPr="005554ED">
          <w:rPr>
            <w:rStyle w:val="Hyperlink"/>
            <w:rFonts w:eastAsia="Arial"/>
            <w:color w:val="000000" w:themeColor="text1"/>
          </w:rPr>
          <w:t>https://doi.org/10.1177/0098628315587620</w:t>
        </w:r>
      </w:hyperlink>
    </w:p>
    <w:p w14:paraId="0F8F6C82" w14:textId="77777777" w:rsidR="00B76713" w:rsidRPr="005554ED" w:rsidRDefault="00B76713" w:rsidP="00B76713">
      <w:pPr>
        <w:pStyle w:val="Bibliography"/>
        <w:rPr>
          <w:color w:val="000000" w:themeColor="text1"/>
        </w:rPr>
      </w:pPr>
      <w:r w:rsidRPr="005554ED">
        <w:rPr>
          <w:color w:val="000000" w:themeColor="text1"/>
        </w:rPr>
        <w:lastRenderedPageBreak/>
        <w:t xml:space="preserve">Sandstrom, G., Tseng, V. W., Costa, J., Okeke, F., Choudhury, T., &amp; Dunn, E. W. (2013). </w:t>
      </w:r>
      <w:r w:rsidRPr="005554ED">
        <w:rPr>
          <w:i/>
          <w:iCs/>
          <w:color w:val="000000" w:themeColor="text1"/>
        </w:rPr>
        <w:t>Loneliness in a mobile sensing pilot study</w:t>
      </w:r>
      <w:r w:rsidRPr="005554ED">
        <w:rPr>
          <w:color w:val="000000" w:themeColor="text1"/>
        </w:rPr>
        <w:t xml:space="preserve"> [Unpublished raw data].</w:t>
      </w:r>
    </w:p>
    <w:p w14:paraId="0C427D10" w14:textId="77777777" w:rsidR="00B76713" w:rsidRPr="005554ED" w:rsidRDefault="00B76713" w:rsidP="00B76713">
      <w:pPr>
        <w:pStyle w:val="Bibliography"/>
        <w:rPr>
          <w:color w:val="000000" w:themeColor="text1"/>
        </w:rPr>
      </w:pPr>
      <w:proofErr w:type="spellStart"/>
      <w:r w:rsidRPr="005554ED">
        <w:rPr>
          <w:color w:val="000000" w:themeColor="text1"/>
        </w:rPr>
        <w:t>Satici</w:t>
      </w:r>
      <w:proofErr w:type="spellEnd"/>
      <w:r w:rsidRPr="005554ED">
        <w:rPr>
          <w:color w:val="000000" w:themeColor="text1"/>
        </w:rPr>
        <w:t xml:space="preserve">, S. A., </w:t>
      </w:r>
      <w:proofErr w:type="spellStart"/>
      <w:r w:rsidRPr="005554ED">
        <w:rPr>
          <w:color w:val="000000" w:themeColor="text1"/>
        </w:rPr>
        <w:t>Uysal</w:t>
      </w:r>
      <w:proofErr w:type="spellEnd"/>
      <w:r w:rsidRPr="005554ED">
        <w:rPr>
          <w:color w:val="000000" w:themeColor="text1"/>
        </w:rPr>
        <w:t xml:space="preserve">, R., &amp; Deniz, M. E. (2016). Linking social connectedness to loneliness: The mediating role of subjective happiness. </w:t>
      </w:r>
      <w:r w:rsidRPr="005554ED">
        <w:rPr>
          <w:i/>
          <w:iCs/>
          <w:color w:val="000000" w:themeColor="text1"/>
        </w:rPr>
        <w:t>Personality and Individual Differences</w:t>
      </w:r>
      <w:r w:rsidRPr="005554ED">
        <w:rPr>
          <w:color w:val="000000" w:themeColor="text1"/>
        </w:rPr>
        <w:t xml:space="preserve">, </w:t>
      </w:r>
      <w:r w:rsidRPr="005554ED">
        <w:rPr>
          <w:i/>
          <w:iCs/>
          <w:color w:val="000000" w:themeColor="text1"/>
        </w:rPr>
        <w:t>97</w:t>
      </w:r>
      <w:r w:rsidRPr="005554ED">
        <w:rPr>
          <w:color w:val="000000" w:themeColor="text1"/>
        </w:rPr>
        <w:t xml:space="preserve">, 306–310. </w:t>
      </w:r>
      <w:hyperlink r:id="rId221" w:history="1">
        <w:r w:rsidRPr="005554ED">
          <w:rPr>
            <w:rStyle w:val="Hyperlink"/>
            <w:rFonts w:eastAsia="Arial"/>
            <w:color w:val="000000" w:themeColor="text1"/>
          </w:rPr>
          <w:t>https://doi.org/10.1016/j.paid.2015.11.035</w:t>
        </w:r>
      </w:hyperlink>
    </w:p>
    <w:p w14:paraId="6DC48D60" w14:textId="77777777" w:rsidR="00B76713" w:rsidRPr="005554ED" w:rsidRDefault="00B76713" w:rsidP="00B76713">
      <w:pPr>
        <w:pStyle w:val="Bibliography"/>
        <w:rPr>
          <w:color w:val="000000" w:themeColor="text1"/>
        </w:rPr>
      </w:pPr>
      <w:r w:rsidRPr="005554ED">
        <w:rPr>
          <w:color w:val="000000" w:themeColor="text1"/>
        </w:rPr>
        <w:t xml:space="preserve">Schindler, I. (2010). </w:t>
      </w:r>
      <w:r w:rsidRPr="005554ED">
        <w:rPr>
          <w:i/>
          <w:iCs/>
          <w:color w:val="000000" w:themeColor="text1"/>
        </w:rPr>
        <w:t>Study „Emotion and Life Composition" (SEULE): First wave</w:t>
      </w:r>
      <w:r w:rsidRPr="005554ED">
        <w:rPr>
          <w:color w:val="000000" w:themeColor="text1"/>
        </w:rPr>
        <w:t xml:space="preserve"> [Unpublished raw data].</w:t>
      </w:r>
    </w:p>
    <w:p w14:paraId="28708F6B" w14:textId="77777777" w:rsidR="00B76713" w:rsidRPr="005554ED" w:rsidRDefault="00B76713" w:rsidP="00B76713">
      <w:pPr>
        <w:pStyle w:val="Bibliography"/>
        <w:rPr>
          <w:color w:val="000000" w:themeColor="text1"/>
        </w:rPr>
      </w:pPr>
      <w:r w:rsidRPr="005554ED">
        <w:rPr>
          <w:color w:val="000000" w:themeColor="text1"/>
        </w:rPr>
        <w:t xml:space="preserve">Schneider, W., &amp; </w:t>
      </w:r>
      <w:proofErr w:type="spellStart"/>
      <w:r w:rsidRPr="005554ED">
        <w:rPr>
          <w:color w:val="000000" w:themeColor="text1"/>
        </w:rPr>
        <w:t>Stefanek</w:t>
      </w:r>
      <w:proofErr w:type="spellEnd"/>
      <w:r w:rsidRPr="005554ED">
        <w:rPr>
          <w:color w:val="000000" w:themeColor="text1"/>
        </w:rPr>
        <w:t xml:space="preserve">, J. (2006). </w:t>
      </w:r>
      <w:r w:rsidRPr="005554ED">
        <w:rPr>
          <w:i/>
          <w:iCs/>
          <w:color w:val="000000" w:themeColor="text1"/>
        </w:rPr>
        <w:t>LOGIC Report No. 14: Assessment procedures and results of wave eleven.</w:t>
      </w:r>
      <w:r w:rsidRPr="005554ED">
        <w:rPr>
          <w:color w:val="000000" w:themeColor="text1"/>
        </w:rPr>
        <w:t xml:space="preserve"> [Technical Report, MPI for Human Cognitive and Brain Sciences].</w:t>
      </w:r>
    </w:p>
    <w:p w14:paraId="013AB2F3" w14:textId="77777777" w:rsidR="00B76713" w:rsidRPr="005554ED" w:rsidRDefault="00B76713" w:rsidP="00B76713">
      <w:pPr>
        <w:pStyle w:val="Bibliography"/>
        <w:rPr>
          <w:color w:val="000000" w:themeColor="text1"/>
        </w:rPr>
      </w:pPr>
      <w:r w:rsidRPr="005554ED">
        <w:rPr>
          <w:color w:val="000000" w:themeColor="text1"/>
        </w:rPr>
        <w:t xml:space="preserve">Schofield, M. J., O’Halloran, P., McLean, S. A., Forrester-Knauss, C., &amp; Paxton, S. J. (2016). Depressive symptoms among Australian university students: Who is at risk? </w:t>
      </w:r>
      <w:r w:rsidRPr="005554ED">
        <w:rPr>
          <w:i/>
          <w:iCs/>
          <w:color w:val="000000" w:themeColor="text1"/>
        </w:rPr>
        <w:t>Australian Psychologist</w:t>
      </w:r>
      <w:r w:rsidRPr="005554ED">
        <w:rPr>
          <w:color w:val="000000" w:themeColor="text1"/>
        </w:rPr>
        <w:t xml:space="preserve">, </w:t>
      </w:r>
      <w:r w:rsidRPr="005554ED">
        <w:rPr>
          <w:i/>
          <w:iCs/>
          <w:color w:val="000000" w:themeColor="text1"/>
        </w:rPr>
        <w:t>51</w:t>
      </w:r>
      <w:r w:rsidRPr="005554ED">
        <w:rPr>
          <w:color w:val="000000" w:themeColor="text1"/>
        </w:rPr>
        <w:t xml:space="preserve">(2), 135–144. </w:t>
      </w:r>
      <w:hyperlink r:id="rId222" w:history="1">
        <w:r w:rsidRPr="005554ED">
          <w:rPr>
            <w:rStyle w:val="Hyperlink"/>
            <w:rFonts w:eastAsia="Arial"/>
            <w:color w:val="000000" w:themeColor="text1"/>
          </w:rPr>
          <w:t>https://doi.org/10.1111/ap.12129</w:t>
        </w:r>
      </w:hyperlink>
    </w:p>
    <w:p w14:paraId="43EFB4CC" w14:textId="77777777" w:rsidR="00B76713" w:rsidRPr="005554ED" w:rsidRDefault="00B76713" w:rsidP="00B76713">
      <w:pPr>
        <w:pStyle w:val="Bibliography"/>
        <w:rPr>
          <w:color w:val="000000" w:themeColor="text1"/>
        </w:rPr>
      </w:pPr>
      <w:proofErr w:type="spellStart"/>
      <w:r w:rsidRPr="005554ED">
        <w:rPr>
          <w:color w:val="000000" w:themeColor="text1"/>
        </w:rPr>
        <w:t>Segrin</w:t>
      </w:r>
      <w:proofErr w:type="spellEnd"/>
      <w:r w:rsidRPr="005554ED">
        <w:rPr>
          <w:color w:val="000000" w:themeColor="text1"/>
        </w:rPr>
        <w:t xml:space="preserve">, C. (1993). Effects of dysphoria and loneliness on social perceptual skills. </w:t>
      </w:r>
      <w:r w:rsidRPr="005554ED">
        <w:rPr>
          <w:i/>
          <w:iCs/>
          <w:color w:val="000000" w:themeColor="text1"/>
        </w:rPr>
        <w:t>Perceptual and Motor Skills</w:t>
      </w:r>
      <w:r w:rsidRPr="005554ED">
        <w:rPr>
          <w:color w:val="000000" w:themeColor="text1"/>
        </w:rPr>
        <w:t xml:space="preserve">, </w:t>
      </w:r>
      <w:r w:rsidRPr="005554ED">
        <w:rPr>
          <w:i/>
          <w:iCs/>
          <w:color w:val="000000" w:themeColor="text1"/>
        </w:rPr>
        <w:t>77</w:t>
      </w:r>
      <w:r w:rsidRPr="005554ED">
        <w:rPr>
          <w:color w:val="000000" w:themeColor="text1"/>
        </w:rPr>
        <w:t xml:space="preserve">(3 Pt 2), 1315–1329. </w:t>
      </w:r>
      <w:hyperlink r:id="rId223" w:history="1">
        <w:r w:rsidRPr="005554ED">
          <w:rPr>
            <w:rStyle w:val="Hyperlink"/>
            <w:rFonts w:eastAsia="Arial"/>
            <w:color w:val="000000" w:themeColor="text1"/>
          </w:rPr>
          <w:t>https://doi.org/10.2466/pms.1993.77.3f.1315</w:t>
        </w:r>
      </w:hyperlink>
    </w:p>
    <w:p w14:paraId="5DF7C981" w14:textId="77777777" w:rsidR="00B76713" w:rsidRPr="005554ED" w:rsidRDefault="00B76713" w:rsidP="00B76713">
      <w:pPr>
        <w:pStyle w:val="Bibliography"/>
        <w:rPr>
          <w:color w:val="000000" w:themeColor="text1"/>
        </w:rPr>
      </w:pPr>
      <w:proofErr w:type="spellStart"/>
      <w:r w:rsidRPr="005554ED">
        <w:rPr>
          <w:color w:val="000000" w:themeColor="text1"/>
        </w:rPr>
        <w:t>Segrin</w:t>
      </w:r>
      <w:proofErr w:type="spellEnd"/>
      <w:r w:rsidRPr="005554ED">
        <w:rPr>
          <w:color w:val="000000" w:themeColor="text1"/>
        </w:rPr>
        <w:t xml:space="preserve">, C., &amp; Flora, J. (2000). Poor social skills are a vulnerability factor in the development of psychosocial problems. </w:t>
      </w:r>
      <w:r w:rsidRPr="005554ED">
        <w:rPr>
          <w:i/>
          <w:iCs/>
          <w:color w:val="000000" w:themeColor="text1"/>
        </w:rPr>
        <w:t>Human Communication Research</w:t>
      </w:r>
      <w:r w:rsidRPr="005554ED">
        <w:rPr>
          <w:color w:val="000000" w:themeColor="text1"/>
        </w:rPr>
        <w:t xml:space="preserve">, </w:t>
      </w:r>
      <w:r w:rsidRPr="005554ED">
        <w:rPr>
          <w:i/>
          <w:iCs/>
          <w:color w:val="000000" w:themeColor="text1"/>
        </w:rPr>
        <w:t>26</w:t>
      </w:r>
      <w:r w:rsidRPr="005554ED">
        <w:rPr>
          <w:color w:val="000000" w:themeColor="text1"/>
        </w:rPr>
        <w:t xml:space="preserve">(3), 489–514. </w:t>
      </w:r>
      <w:hyperlink r:id="rId224" w:history="1">
        <w:r w:rsidRPr="005554ED">
          <w:rPr>
            <w:rStyle w:val="Hyperlink"/>
            <w:rFonts w:eastAsia="Arial"/>
            <w:color w:val="000000" w:themeColor="text1"/>
          </w:rPr>
          <w:t>https://doi.org/10.1111/j.1468-2958.2000.tb00766.x</w:t>
        </w:r>
      </w:hyperlink>
    </w:p>
    <w:p w14:paraId="05FA458A" w14:textId="77777777" w:rsidR="00B76713" w:rsidRPr="005554ED" w:rsidRDefault="00B76713" w:rsidP="00B76713">
      <w:pPr>
        <w:pStyle w:val="Bibliography"/>
        <w:rPr>
          <w:color w:val="000000" w:themeColor="text1"/>
        </w:rPr>
      </w:pPr>
      <w:proofErr w:type="spellStart"/>
      <w:r w:rsidRPr="005554ED">
        <w:rPr>
          <w:color w:val="000000" w:themeColor="text1"/>
        </w:rPr>
        <w:t>Segrin</w:t>
      </w:r>
      <w:proofErr w:type="spellEnd"/>
      <w:r w:rsidRPr="005554ED">
        <w:rPr>
          <w:color w:val="000000" w:themeColor="text1"/>
        </w:rPr>
        <w:t xml:space="preserve">, Chris, Burke, T. J., &amp; </w:t>
      </w:r>
      <w:proofErr w:type="spellStart"/>
      <w:r w:rsidRPr="005554ED">
        <w:rPr>
          <w:color w:val="000000" w:themeColor="text1"/>
        </w:rPr>
        <w:t>Dunivan</w:t>
      </w:r>
      <w:proofErr w:type="spellEnd"/>
      <w:r w:rsidRPr="005554ED">
        <w:rPr>
          <w:color w:val="000000" w:themeColor="text1"/>
        </w:rPr>
        <w:t xml:space="preserve">, M. (2012). Loneliness and poor health within families. </w:t>
      </w:r>
      <w:r w:rsidRPr="005554ED">
        <w:rPr>
          <w:i/>
          <w:iCs/>
          <w:color w:val="000000" w:themeColor="text1"/>
        </w:rPr>
        <w:t>Journal of Social and Personal Relationships</w:t>
      </w:r>
      <w:r w:rsidRPr="005554ED">
        <w:rPr>
          <w:color w:val="000000" w:themeColor="text1"/>
        </w:rPr>
        <w:t xml:space="preserve">, </w:t>
      </w:r>
      <w:r w:rsidRPr="005554ED">
        <w:rPr>
          <w:i/>
          <w:iCs/>
          <w:color w:val="000000" w:themeColor="text1"/>
        </w:rPr>
        <w:t>29</w:t>
      </w:r>
      <w:r w:rsidRPr="005554ED">
        <w:rPr>
          <w:color w:val="000000" w:themeColor="text1"/>
        </w:rPr>
        <w:t xml:space="preserve">(5), 597–611. </w:t>
      </w:r>
      <w:hyperlink r:id="rId225" w:history="1">
        <w:r w:rsidRPr="005554ED">
          <w:rPr>
            <w:rStyle w:val="Hyperlink"/>
            <w:rFonts w:eastAsia="Arial"/>
            <w:color w:val="000000" w:themeColor="text1"/>
          </w:rPr>
          <w:t>https://doi.org/10.1177/0265407512443434</w:t>
        </w:r>
      </w:hyperlink>
    </w:p>
    <w:p w14:paraId="6D4A7348" w14:textId="77777777" w:rsidR="00B76713" w:rsidRPr="005554ED" w:rsidRDefault="00B76713" w:rsidP="00B76713">
      <w:pPr>
        <w:pStyle w:val="Bibliography"/>
        <w:rPr>
          <w:color w:val="000000" w:themeColor="text1"/>
        </w:rPr>
      </w:pPr>
      <w:proofErr w:type="spellStart"/>
      <w:r w:rsidRPr="005554ED">
        <w:rPr>
          <w:color w:val="000000" w:themeColor="text1"/>
        </w:rPr>
        <w:t>Segrin</w:t>
      </w:r>
      <w:proofErr w:type="spellEnd"/>
      <w:r w:rsidRPr="005554ED">
        <w:rPr>
          <w:color w:val="000000" w:themeColor="text1"/>
        </w:rPr>
        <w:t xml:space="preserve">, Chris, McNelis, M., &amp; </w:t>
      </w:r>
      <w:proofErr w:type="spellStart"/>
      <w:r w:rsidRPr="005554ED">
        <w:rPr>
          <w:color w:val="000000" w:themeColor="text1"/>
        </w:rPr>
        <w:t>Pavlich</w:t>
      </w:r>
      <w:proofErr w:type="spellEnd"/>
      <w:r w:rsidRPr="005554ED">
        <w:rPr>
          <w:color w:val="000000" w:themeColor="text1"/>
        </w:rPr>
        <w:t xml:space="preserve">, C. A. (2018). Indirect Effects of Loneliness on Substance Use through Stress. </w:t>
      </w:r>
      <w:r w:rsidRPr="005554ED">
        <w:rPr>
          <w:i/>
          <w:iCs/>
          <w:color w:val="000000" w:themeColor="text1"/>
        </w:rPr>
        <w:t>Health Communication</w:t>
      </w:r>
      <w:r w:rsidRPr="005554ED">
        <w:rPr>
          <w:color w:val="000000" w:themeColor="text1"/>
        </w:rPr>
        <w:t xml:space="preserve">, </w:t>
      </w:r>
      <w:r w:rsidRPr="005554ED">
        <w:rPr>
          <w:i/>
          <w:iCs/>
          <w:color w:val="000000" w:themeColor="text1"/>
        </w:rPr>
        <w:t>33</w:t>
      </w:r>
      <w:r w:rsidRPr="005554ED">
        <w:rPr>
          <w:color w:val="000000" w:themeColor="text1"/>
        </w:rPr>
        <w:t xml:space="preserve">(5), 513–518. </w:t>
      </w:r>
      <w:hyperlink r:id="rId226" w:history="1">
        <w:r w:rsidRPr="005554ED">
          <w:rPr>
            <w:rStyle w:val="Hyperlink"/>
            <w:rFonts w:eastAsia="Arial"/>
            <w:color w:val="000000" w:themeColor="text1"/>
          </w:rPr>
          <w:t>https://doi.org/10.1080/10410236.2016.1278507</w:t>
        </w:r>
      </w:hyperlink>
    </w:p>
    <w:p w14:paraId="5C357B2E" w14:textId="77777777" w:rsidR="00B76713" w:rsidRPr="005554ED" w:rsidRDefault="00B76713" w:rsidP="00B76713">
      <w:pPr>
        <w:pStyle w:val="Bibliography"/>
        <w:rPr>
          <w:color w:val="000000" w:themeColor="text1"/>
        </w:rPr>
      </w:pPr>
      <w:proofErr w:type="spellStart"/>
      <w:r w:rsidRPr="005554ED">
        <w:rPr>
          <w:color w:val="000000" w:themeColor="text1"/>
        </w:rPr>
        <w:lastRenderedPageBreak/>
        <w:t>Segrin</w:t>
      </w:r>
      <w:proofErr w:type="spellEnd"/>
      <w:r w:rsidRPr="005554ED">
        <w:rPr>
          <w:color w:val="000000" w:themeColor="text1"/>
        </w:rPr>
        <w:t xml:space="preserve">, Chris, McNelis, M., &amp; </w:t>
      </w:r>
      <w:proofErr w:type="spellStart"/>
      <w:r w:rsidRPr="005554ED">
        <w:rPr>
          <w:color w:val="000000" w:themeColor="text1"/>
        </w:rPr>
        <w:t>Swiatkowski</w:t>
      </w:r>
      <w:proofErr w:type="spellEnd"/>
      <w:r w:rsidRPr="005554ED">
        <w:rPr>
          <w:color w:val="000000" w:themeColor="text1"/>
        </w:rPr>
        <w:t xml:space="preserve">, P. (2016a). Social skills, social support, and psychological distress: A test of the social skills deficit vulnerability model. </w:t>
      </w:r>
      <w:r w:rsidRPr="005554ED">
        <w:rPr>
          <w:i/>
          <w:iCs/>
          <w:color w:val="000000" w:themeColor="text1"/>
        </w:rPr>
        <w:t>Human Communication Research</w:t>
      </w:r>
      <w:r w:rsidRPr="005554ED">
        <w:rPr>
          <w:color w:val="000000" w:themeColor="text1"/>
        </w:rPr>
        <w:t xml:space="preserve">, </w:t>
      </w:r>
      <w:r w:rsidRPr="005554ED">
        <w:rPr>
          <w:i/>
          <w:iCs/>
          <w:color w:val="000000" w:themeColor="text1"/>
        </w:rPr>
        <w:t>42</w:t>
      </w:r>
      <w:r w:rsidRPr="005554ED">
        <w:rPr>
          <w:color w:val="000000" w:themeColor="text1"/>
        </w:rPr>
        <w:t xml:space="preserve">(1), 122–137. </w:t>
      </w:r>
      <w:hyperlink r:id="rId227" w:history="1">
        <w:r w:rsidRPr="005554ED">
          <w:rPr>
            <w:rStyle w:val="Hyperlink"/>
            <w:rFonts w:eastAsia="Arial"/>
            <w:color w:val="000000" w:themeColor="text1"/>
          </w:rPr>
          <w:t>https://doi.org/10.1111/hcre.12070</w:t>
        </w:r>
      </w:hyperlink>
    </w:p>
    <w:p w14:paraId="0AC36E74" w14:textId="77777777" w:rsidR="00B76713" w:rsidRPr="005554ED" w:rsidRDefault="00B76713" w:rsidP="00B76713">
      <w:pPr>
        <w:pStyle w:val="Bibliography"/>
        <w:rPr>
          <w:color w:val="000000" w:themeColor="text1"/>
        </w:rPr>
      </w:pPr>
      <w:proofErr w:type="spellStart"/>
      <w:r w:rsidRPr="005554ED">
        <w:rPr>
          <w:color w:val="000000" w:themeColor="text1"/>
        </w:rPr>
        <w:t>Segrin</w:t>
      </w:r>
      <w:proofErr w:type="spellEnd"/>
      <w:r w:rsidRPr="005554ED">
        <w:rPr>
          <w:color w:val="000000" w:themeColor="text1"/>
        </w:rPr>
        <w:t xml:space="preserve">, Chris, McNelis, M., &amp; </w:t>
      </w:r>
      <w:proofErr w:type="spellStart"/>
      <w:r w:rsidRPr="005554ED">
        <w:rPr>
          <w:color w:val="000000" w:themeColor="text1"/>
        </w:rPr>
        <w:t>Swiatkowski</w:t>
      </w:r>
      <w:proofErr w:type="spellEnd"/>
      <w:r w:rsidRPr="005554ED">
        <w:rPr>
          <w:color w:val="000000" w:themeColor="text1"/>
        </w:rPr>
        <w:t xml:space="preserve">, P. (2016b). Social support indirectly predicts problem drinking through reduced psychological distress. </w:t>
      </w:r>
      <w:r w:rsidRPr="005554ED">
        <w:rPr>
          <w:i/>
          <w:iCs/>
          <w:color w:val="000000" w:themeColor="text1"/>
        </w:rPr>
        <w:t>Substance Use &amp; Misuse</w:t>
      </w:r>
      <w:r w:rsidRPr="005554ED">
        <w:rPr>
          <w:color w:val="000000" w:themeColor="text1"/>
        </w:rPr>
        <w:t xml:space="preserve">, </w:t>
      </w:r>
      <w:r w:rsidRPr="005554ED">
        <w:rPr>
          <w:i/>
          <w:iCs/>
          <w:color w:val="000000" w:themeColor="text1"/>
        </w:rPr>
        <w:t>51</w:t>
      </w:r>
      <w:r w:rsidRPr="005554ED">
        <w:rPr>
          <w:color w:val="000000" w:themeColor="text1"/>
        </w:rPr>
        <w:t xml:space="preserve">(5), 608–615. </w:t>
      </w:r>
      <w:hyperlink r:id="rId228" w:history="1">
        <w:r w:rsidRPr="005554ED">
          <w:rPr>
            <w:rStyle w:val="Hyperlink"/>
            <w:rFonts w:eastAsia="Arial"/>
            <w:color w:val="000000" w:themeColor="text1"/>
          </w:rPr>
          <w:t>https://doi.org/10.3109/10826084.2015.1126746</w:t>
        </w:r>
      </w:hyperlink>
    </w:p>
    <w:p w14:paraId="06710A59" w14:textId="77777777" w:rsidR="00B76713" w:rsidRPr="005554ED" w:rsidRDefault="00B76713" w:rsidP="00B76713">
      <w:pPr>
        <w:pStyle w:val="Bibliography"/>
        <w:rPr>
          <w:color w:val="000000" w:themeColor="text1"/>
        </w:rPr>
      </w:pPr>
      <w:proofErr w:type="spellStart"/>
      <w:r w:rsidRPr="005554ED">
        <w:rPr>
          <w:color w:val="000000" w:themeColor="text1"/>
        </w:rPr>
        <w:t>Segrin</w:t>
      </w:r>
      <w:proofErr w:type="spellEnd"/>
      <w:r w:rsidRPr="005554ED">
        <w:rPr>
          <w:color w:val="000000" w:themeColor="text1"/>
        </w:rPr>
        <w:t xml:space="preserve">, Chris, Nevarez, N., Arroyo, A., &amp; Harwood, J. (2012). Family of origin environment and adolescent bullying predict young adult loneliness. </w:t>
      </w:r>
      <w:r w:rsidRPr="005554ED">
        <w:rPr>
          <w:i/>
          <w:iCs/>
          <w:color w:val="000000" w:themeColor="text1"/>
        </w:rPr>
        <w:t>The Journal of Psychology</w:t>
      </w:r>
      <w:r w:rsidRPr="005554ED">
        <w:rPr>
          <w:color w:val="000000" w:themeColor="text1"/>
        </w:rPr>
        <w:t xml:space="preserve">, </w:t>
      </w:r>
      <w:r w:rsidRPr="005554ED">
        <w:rPr>
          <w:i/>
          <w:iCs/>
          <w:color w:val="000000" w:themeColor="text1"/>
        </w:rPr>
        <w:t>146</w:t>
      </w:r>
      <w:r w:rsidRPr="005554ED">
        <w:rPr>
          <w:color w:val="000000" w:themeColor="text1"/>
        </w:rPr>
        <w:t xml:space="preserve">(1–2), 119–134. </w:t>
      </w:r>
      <w:hyperlink r:id="rId229" w:history="1">
        <w:r w:rsidRPr="005554ED">
          <w:rPr>
            <w:rStyle w:val="Hyperlink"/>
            <w:rFonts w:eastAsia="Arial"/>
            <w:color w:val="000000" w:themeColor="text1"/>
          </w:rPr>
          <w:t>https://doi.org/10.1080/00223980.2011.555791</w:t>
        </w:r>
      </w:hyperlink>
    </w:p>
    <w:p w14:paraId="39A6A045" w14:textId="77777777" w:rsidR="00B76713" w:rsidRPr="005554ED" w:rsidRDefault="00B76713" w:rsidP="00B76713">
      <w:pPr>
        <w:pStyle w:val="Bibliography"/>
        <w:rPr>
          <w:color w:val="000000" w:themeColor="text1"/>
        </w:rPr>
      </w:pPr>
      <w:proofErr w:type="spellStart"/>
      <w:r w:rsidRPr="005554ED">
        <w:rPr>
          <w:color w:val="000000" w:themeColor="text1"/>
        </w:rPr>
        <w:t>Seo</w:t>
      </w:r>
      <w:proofErr w:type="spellEnd"/>
      <w:r w:rsidRPr="005554ED">
        <w:rPr>
          <w:color w:val="000000" w:themeColor="text1"/>
        </w:rPr>
        <w:t xml:space="preserve">, M., Kim, J., &amp; Yang, H. (2016). Frequent interaction and fast feedback predict perceived social support: Using crawled and self-reported data of Facebook Users. </w:t>
      </w:r>
      <w:r w:rsidRPr="005554ED">
        <w:rPr>
          <w:i/>
          <w:iCs/>
          <w:color w:val="000000" w:themeColor="text1"/>
        </w:rPr>
        <w:t>Journal of Computer-Mediated Communication</w:t>
      </w:r>
      <w:r w:rsidRPr="005554ED">
        <w:rPr>
          <w:color w:val="000000" w:themeColor="text1"/>
        </w:rPr>
        <w:t xml:space="preserve">, </w:t>
      </w:r>
      <w:r w:rsidRPr="005554ED">
        <w:rPr>
          <w:i/>
          <w:iCs/>
          <w:color w:val="000000" w:themeColor="text1"/>
        </w:rPr>
        <w:t>21</w:t>
      </w:r>
      <w:r w:rsidRPr="005554ED">
        <w:rPr>
          <w:color w:val="000000" w:themeColor="text1"/>
        </w:rPr>
        <w:t xml:space="preserve">(4), 282–297. </w:t>
      </w:r>
      <w:hyperlink r:id="rId230" w:history="1">
        <w:r w:rsidRPr="005554ED">
          <w:rPr>
            <w:rStyle w:val="Hyperlink"/>
            <w:rFonts w:eastAsia="Arial"/>
            <w:color w:val="000000" w:themeColor="text1"/>
          </w:rPr>
          <w:t>https://doi.org/10.1111/jcc4.12160</w:t>
        </w:r>
      </w:hyperlink>
    </w:p>
    <w:p w14:paraId="485F49C9" w14:textId="77777777" w:rsidR="00B76713" w:rsidRPr="005554ED" w:rsidRDefault="00B76713" w:rsidP="00B76713">
      <w:pPr>
        <w:pStyle w:val="Bibliography"/>
        <w:rPr>
          <w:color w:val="000000" w:themeColor="text1"/>
          <w:lang w:val="de-DE"/>
        </w:rPr>
      </w:pPr>
      <w:proofErr w:type="spellStart"/>
      <w:r w:rsidRPr="005554ED">
        <w:rPr>
          <w:color w:val="000000" w:themeColor="text1"/>
        </w:rPr>
        <w:t>Shapurian</w:t>
      </w:r>
      <w:proofErr w:type="spellEnd"/>
      <w:r w:rsidRPr="005554ED">
        <w:rPr>
          <w:color w:val="000000" w:themeColor="text1"/>
        </w:rPr>
        <w:t xml:space="preserve">, R., &amp; </w:t>
      </w:r>
      <w:proofErr w:type="spellStart"/>
      <w:r w:rsidRPr="005554ED">
        <w:rPr>
          <w:color w:val="000000" w:themeColor="text1"/>
        </w:rPr>
        <w:t>Hojat</w:t>
      </w:r>
      <w:proofErr w:type="spellEnd"/>
      <w:r w:rsidRPr="005554ED">
        <w:rPr>
          <w:color w:val="000000" w:themeColor="text1"/>
        </w:rPr>
        <w:t xml:space="preserve">, M. (1985). Psychometric characteristics of a Persian version of the Eysenck Personality Questionnaire. </w:t>
      </w:r>
      <w:r w:rsidRPr="005554ED">
        <w:rPr>
          <w:i/>
          <w:iCs/>
          <w:color w:val="000000" w:themeColor="text1"/>
          <w:lang w:val="de-DE"/>
        </w:rPr>
        <w:t>Psychological Reports</w:t>
      </w:r>
      <w:r w:rsidRPr="005554ED">
        <w:rPr>
          <w:color w:val="000000" w:themeColor="text1"/>
          <w:lang w:val="de-DE"/>
        </w:rPr>
        <w:t xml:space="preserve">, </w:t>
      </w:r>
      <w:r w:rsidRPr="005554ED">
        <w:rPr>
          <w:i/>
          <w:iCs/>
          <w:color w:val="000000" w:themeColor="text1"/>
          <w:lang w:val="de-DE"/>
        </w:rPr>
        <w:t>57</w:t>
      </w:r>
      <w:r w:rsidRPr="005554ED">
        <w:rPr>
          <w:color w:val="000000" w:themeColor="text1"/>
          <w:lang w:val="de-DE"/>
        </w:rPr>
        <w:t xml:space="preserve">(2), 631–639. </w:t>
      </w:r>
      <w:hyperlink r:id="rId231" w:history="1">
        <w:r w:rsidRPr="005554ED">
          <w:rPr>
            <w:rStyle w:val="Hyperlink"/>
            <w:rFonts w:eastAsia="Arial"/>
            <w:color w:val="000000" w:themeColor="text1"/>
            <w:lang w:val="de-DE"/>
          </w:rPr>
          <w:t>https://doi.org/10.2466/pr0.1985.57.2.631</w:t>
        </w:r>
      </w:hyperlink>
    </w:p>
    <w:p w14:paraId="0A9E923E" w14:textId="77777777" w:rsidR="00B76713" w:rsidRPr="005554ED" w:rsidRDefault="00B76713" w:rsidP="00B76713">
      <w:pPr>
        <w:pStyle w:val="Bibliography"/>
        <w:rPr>
          <w:color w:val="000000" w:themeColor="text1"/>
        </w:rPr>
      </w:pPr>
      <w:r w:rsidRPr="00A04F18">
        <w:rPr>
          <w:color w:val="000000" w:themeColor="text1"/>
        </w:rPr>
        <w:t xml:space="preserve">Shaw, L. H., &amp; Gant, L. M. (2002). </w:t>
      </w:r>
      <w:r w:rsidRPr="005554ED">
        <w:rPr>
          <w:color w:val="000000" w:themeColor="text1"/>
        </w:rPr>
        <w:t xml:space="preserve">In defense of the Internet: The relationship between Internet communication and depression, loneliness, self-esteem, and perceived social support. </w:t>
      </w:r>
      <w:r w:rsidRPr="005554ED">
        <w:rPr>
          <w:i/>
          <w:iCs/>
          <w:color w:val="000000" w:themeColor="text1"/>
        </w:rPr>
        <w:t xml:space="preserve">Cyberpsychology &amp; </w:t>
      </w:r>
      <w:proofErr w:type="gramStart"/>
      <w:r w:rsidRPr="005554ED">
        <w:rPr>
          <w:i/>
          <w:iCs/>
          <w:color w:val="000000" w:themeColor="text1"/>
        </w:rPr>
        <w:t>Behavior :</w:t>
      </w:r>
      <w:proofErr w:type="gramEnd"/>
      <w:r w:rsidRPr="005554ED">
        <w:rPr>
          <w:i/>
          <w:iCs/>
          <w:color w:val="000000" w:themeColor="text1"/>
        </w:rPr>
        <w:t xml:space="preserve"> The Impact of the Internet, Multimedia and Virtual Reality on Behavior and Society</w:t>
      </w:r>
      <w:r w:rsidRPr="005554ED">
        <w:rPr>
          <w:color w:val="000000" w:themeColor="text1"/>
        </w:rPr>
        <w:t xml:space="preserve">, </w:t>
      </w:r>
      <w:r w:rsidRPr="005554ED">
        <w:rPr>
          <w:i/>
          <w:iCs/>
          <w:color w:val="000000" w:themeColor="text1"/>
        </w:rPr>
        <w:t>5</w:t>
      </w:r>
      <w:r w:rsidRPr="005554ED">
        <w:rPr>
          <w:color w:val="000000" w:themeColor="text1"/>
        </w:rPr>
        <w:t xml:space="preserve">(2), 157–171. </w:t>
      </w:r>
      <w:hyperlink r:id="rId232" w:history="1">
        <w:r w:rsidRPr="005554ED">
          <w:rPr>
            <w:rStyle w:val="Hyperlink"/>
            <w:rFonts w:eastAsia="Arial"/>
            <w:color w:val="000000" w:themeColor="text1"/>
          </w:rPr>
          <w:t>https://doi.org/10.1089/109493102753770552</w:t>
        </w:r>
      </w:hyperlink>
    </w:p>
    <w:p w14:paraId="005D0F6C" w14:textId="77777777" w:rsidR="00B76713" w:rsidRPr="005554ED" w:rsidRDefault="00B76713" w:rsidP="00B76713">
      <w:pPr>
        <w:pStyle w:val="Bibliography"/>
        <w:rPr>
          <w:color w:val="000000" w:themeColor="text1"/>
        </w:rPr>
      </w:pPr>
      <w:r w:rsidRPr="005554ED">
        <w:rPr>
          <w:color w:val="000000" w:themeColor="text1"/>
        </w:rPr>
        <w:t xml:space="preserve">Sherman, A. M., Lansford, J. E., &amp; </w:t>
      </w:r>
      <w:proofErr w:type="spellStart"/>
      <w:r w:rsidRPr="005554ED">
        <w:rPr>
          <w:color w:val="000000" w:themeColor="text1"/>
        </w:rPr>
        <w:t>Volling</w:t>
      </w:r>
      <w:proofErr w:type="spellEnd"/>
      <w:r w:rsidRPr="005554ED">
        <w:rPr>
          <w:color w:val="000000" w:themeColor="text1"/>
        </w:rPr>
        <w:t xml:space="preserve">, B. L. (2006). Sibling relationships and best friendships in young adulthood: Warmth, conflict, and well-being. </w:t>
      </w:r>
      <w:r w:rsidRPr="005554ED">
        <w:rPr>
          <w:i/>
          <w:iCs/>
          <w:color w:val="000000" w:themeColor="text1"/>
        </w:rPr>
        <w:t>Personal Relationships</w:t>
      </w:r>
      <w:r w:rsidRPr="005554ED">
        <w:rPr>
          <w:color w:val="000000" w:themeColor="text1"/>
        </w:rPr>
        <w:t xml:space="preserve">, </w:t>
      </w:r>
      <w:r w:rsidRPr="005554ED">
        <w:rPr>
          <w:i/>
          <w:iCs/>
          <w:color w:val="000000" w:themeColor="text1"/>
        </w:rPr>
        <w:t>13</w:t>
      </w:r>
      <w:r w:rsidRPr="005554ED">
        <w:rPr>
          <w:color w:val="000000" w:themeColor="text1"/>
        </w:rPr>
        <w:t xml:space="preserve">(2), 151–165. </w:t>
      </w:r>
      <w:hyperlink r:id="rId233" w:history="1">
        <w:r w:rsidRPr="005554ED">
          <w:rPr>
            <w:rStyle w:val="Hyperlink"/>
            <w:rFonts w:eastAsia="Arial"/>
            <w:color w:val="000000" w:themeColor="text1"/>
          </w:rPr>
          <w:t>https://doi.org/10.1111/j.1475-6811.2006.00110.x</w:t>
        </w:r>
      </w:hyperlink>
    </w:p>
    <w:p w14:paraId="0D254CDF" w14:textId="77777777" w:rsidR="00B76713" w:rsidRPr="005554ED" w:rsidRDefault="00B76713" w:rsidP="00B76713">
      <w:pPr>
        <w:pStyle w:val="Bibliography"/>
        <w:rPr>
          <w:color w:val="000000" w:themeColor="text1"/>
        </w:rPr>
      </w:pPr>
      <w:proofErr w:type="spellStart"/>
      <w:r w:rsidRPr="006A16A9">
        <w:rPr>
          <w:color w:val="000000" w:themeColor="text1"/>
        </w:rPr>
        <w:lastRenderedPageBreak/>
        <w:t>Shettar</w:t>
      </w:r>
      <w:proofErr w:type="spellEnd"/>
      <w:r w:rsidRPr="006A16A9">
        <w:rPr>
          <w:color w:val="000000" w:themeColor="text1"/>
        </w:rPr>
        <w:t xml:space="preserve">, M., </w:t>
      </w:r>
      <w:proofErr w:type="spellStart"/>
      <w:r w:rsidRPr="006A16A9">
        <w:rPr>
          <w:color w:val="000000" w:themeColor="text1"/>
        </w:rPr>
        <w:t>Karkal</w:t>
      </w:r>
      <w:proofErr w:type="spellEnd"/>
      <w:r w:rsidRPr="006A16A9">
        <w:rPr>
          <w:color w:val="000000" w:themeColor="text1"/>
        </w:rPr>
        <w:t xml:space="preserve">, R., </w:t>
      </w:r>
      <w:proofErr w:type="spellStart"/>
      <w:r w:rsidRPr="006A16A9">
        <w:rPr>
          <w:color w:val="000000" w:themeColor="text1"/>
        </w:rPr>
        <w:t>Kakunje</w:t>
      </w:r>
      <w:proofErr w:type="spellEnd"/>
      <w:r w:rsidRPr="006A16A9">
        <w:rPr>
          <w:color w:val="000000" w:themeColor="text1"/>
        </w:rPr>
        <w:t xml:space="preserve">, A., </w:t>
      </w:r>
      <w:proofErr w:type="spellStart"/>
      <w:r w:rsidRPr="006A16A9">
        <w:rPr>
          <w:color w:val="000000" w:themeColor="text1"/>
        </w:rPr>
        <w:t>Mendonsa</w:t>
      </w:r>
      <w:proofErr w:type="spellEnd"/>
      <w:r w:rsidRPr="006A16A9">
        <w:rPr>
          <w:color w:val="000000" w:themeColor="text1"/>
        </w:rPr>
        <w:t xml:space="preserve">, R. D., &amp; Chandran, V. M. (2017). </w:t>
      </w:r>
      <w:r w:rsidRPr="005554ED">
        <w:rPr>
          <w:color w:val="000000" w:themeColor="text1"/>
        </w:rPr>
        <w:t xml:space="preserve">Facebook addiction and loneliness in the post-graduate students of a university in southern India. </w:t>
      </w:r>
      <w:r w:rsidRPr="005554ED">
        <w:rPr>
          <w:i/>
          <w:iCs/>
          <w:color w:val="000000" w:themeColor="text1"/>
        </w:rPr>
        <w:t>The International Journal of Social Psychiatry</w:t>
      </w:r>
      <w:r w:rsidRPr="005554ED">
        <w:rPr>
          <w:color w:val="000000" w:themeColor="text1"/>
        </w:rPr>
        <w:t xml:space="preserve">, </w:t>
      </w:r>
      <w:r w:rsidRPr="005554ED">
        <w:rPr>
          <w:i/>
          <w:iCs/>
          <w:color w:val="000000" w:themeColor="text1"/>
        </w:rPr>
        <w:t>63</w:t>
      </w:r>
      <w:r w:rsidRPr="005554ED">
        <w:rPr>
          <w:color w:val="000000" w:themeColor="text1"/>
        </w:rPr>
        <w:t xml:space="preserve">(4), 325–329. </w:t>
      </w:r>
      <w:hyperlink r:id="rId234" w:history="1">
        <w:r w:rsidRPr="005554ED">
          <w:rPr>
            <w:rStyle w:val="Hyperlink"/>
            <w:rFonts w:eastAsia="Arial"/>
            <w:color w:val="000000" w:themeColor="text1"/>
          </w:rPr>
          <w:t>https://doi.org/10.1177/0020764017705895</w:t>
        </w:r>
      </w:hyperlink>
    </w:p>
    <w:p w14:paraId="6B02C80C" w14:textId="77777777" w:rsidR="00B76713" w:rsidRPr="005554ED" w:rsidRDefault="00B76713" w:rsidP="00B76713">
      <w:pPr>
        <w:pStyle w:val="Bibliography"/>
        <w:rPr>
          <w:color w:val="000000" w:themeColor="text1"/>
        </w:rPr>
      </w:pPr>
      <w:r w:rsidRPr="005554ED">
        <w:rPr>
          <w:color w:val="000000" w:themeColor="text1"/>
        </w:rPr>
        <w:t xml:space="preserve">Shi, R., Zhang, S., Zhang, Q., Fu, S., &amp; Wang, Z. (2016). Experiential avoidance mediates the association between emotion regulation abilities and loneliness. </w:t>
      </w:r>
      <w:proofErr w:type="spellStart"/>
      <w:r w:rsidRPr="005554ED">
        <w:rPr>
          <w:i/>
          <w:iCs/>
          <w:color w:val="000000" w:themeColor="text1"/>
        </w:rPr>
        <w:t>PloS</w:t>
      </w:r>
      <w:proofErr w:type="spellEnd"/>
      <w:r w:rsidRPr="005554ED">
        <w:rPr>
          <w:i/>
          <w:iCs/>
          <w:color w:val="000000" w:themeColor="text1"/>
        </w:rPr>
        <w:t xml:space="preserve"> One</w:t>
      </w:r>
      <w:r w:rsidRPr="005554ED">
        <w:rPr>
          <w:color w:val="000000" w:themeColor="text1"/>
        </w:rPr>
        <w:t xml:space="preserve">, </w:t>
      </w:r>
      <w:r w:rsidRPr="005554ED">
        <w:rPr>
          <w:i/>
          <w:iCs/>
          <w:color w:val="000000" w:themeColor="text1"/>
        </w:rPr>
        <w:t>11</w:t>
      </w:r>
      <w:r w:rsidRPr="005554ED">
        <w:rPr>
          <w:color w:val="000000" w:themeColor="text1"/>
        </w:rPr>
        <w:t xml:space="preserve">(12), e0168536. </w:t>
      </w:r>
      <w:hyperlink r:id="rId235" w:history="1">
        <w:r w:rsidRPr="005554ED">
          <w:rPr>
            <w:rStyle w:val="Hyperlink"/>
            <w:rFonts w:eastAsia="Arial"/>
            <w:color w:val="000000" w:themeColor="text1"/>
          </w:rPr>
          <w:t>https://doi.org/10.1371/journal.pone.0168536</w:t>
        </w:r>
      </w:hyperlink>
    </w:p>
    <w:p w14:paraId="64C1760D" w14:textId="77777777" w:rsidR="00B76713" w:rsidRPr="005554ED" w:rsidRDefault="00B76713" w:rsidP="00B76713">
      <w:pPr>
        <w:pStyle w:val="Bibliography"/>
        <w:rPr>
          <w:color w:val="000000" w:themeColor="text1"/>
        </w:rPr>
      </w:pPr>
      <w:proofErr w:type="spellStart"/>
      <w:r w:rsidRPr="005554ED">
        <w:rPr>
          <w:color w:val="000000" w:themeColor="text1"/>
        </w:rPr>
        <w:t>Shoumin</w:t>
      </w:r>
      <w:proofErr w:type="spellEnd"/>
      <w:r w:rsidRPr="005554ED">
        <w:rPr>
          <w:color w:val="000000" w:themeColor="text1"/>
        </w:rPr>
        <w:t xml:space="preserve">, X., </w:t>
      </w:r>
      <w:proofErr w:type="spellStart"/>
      <w:r w:rsidRPr="005554ED">
        <w:rPr>
          <w:color w:val="000000" w:themeColor="text1"/>
        </w:rPr>
        <w:t>Pingyuan</w:t>
      </w:r>
      <w:proofErr w:type="spellEnd"/>
      <w:r w:rsidRPr="005554ED">
        <w:rPr>
          <w:color w:val="000000" w:themeColor="text1"/>
        </w:rPr>
        <w:t xml:space="preserve">, G., She, L., Du </w:t>
      </w:r>
      <w:proofErr w:type="spellStart"/>
      <w:r w:rsidRPr="005554ED">
        <w:rPr>
          <w:color w:val="000000" w:themeColor="text1"/>
        </w:rPr>
        <w:t>Kunpeng</w:t>
      </w:r>
      <w:proofErr w:type="spellEnd"/>
      <w:r w:rsidRPr="005554ED">
        <w:rPr>
          <w:color w:val="000000" w:themeColor="text1"/>
        </w:rPr>
        <w:t xml:space="preserve">, </w:t>
      </w:r>
      <w:proofErr w:type="spellStart"/>
      <w:r w:rsidRPr="005554ED">
        <w:rPr>
          <w:color w:val="000000" w:themeColor="text1"/>
        </w:rPr>
        <w:t>Haijun</w:t>
      </w:r>
      <w:proofErr w:type="spellEnd"/>
      <w:r w:rsidRPr="005554ED">
        <w:rPr>
          <w:color w:val="000000" w:themeColor="text1"/>
        </w:rPr>
        <w:t xml:space="preserve">, H., </w:t>
      </w:r>
      <w:proofErr w:type="spellStart"/>
      <w:r w:rsidRPr="005554ED">
        <w:rPr>
          <w:color w:val="000000" w:themeColor="text1"/>
        </w:rPr>
        <w:t>Peizhe</w:t>
      </w:r>
      <w:proofErr w:type="spellEnd"/>
      <w:r w:rsidRPr="005554ED">
        <w:rPr>
          <w:color w:val="000000" w:themeColor="text1"/>
        </w:rPr>
        <w:t xml:space="preserve">, Z., &amp; </w:t>
      </w:r>
      <w:proofErr w:type="spellStart"/>
      <w:r w:rsidRPr="005554ED">
        <w:rPr>
          <w:color w:val="000000" w:themeColor="text1"/>
        </w:rPr>
        <w:t>Fuchang</w:t>
      </w:r>
      <w:proofErr w:type="spellEnd"/>
      <w:r w:rsidRPr="005554ED">
        <w:rPr>
          <w:color w:val="000000" w:themeColor="text1"/>
        </w:rPr>
        <w:t xml:space="preserve">, Z. (2014). A 9-nucleotide </w:t>
      </w:r>
      <w:proofErr w:type="gramStart"/>
      <w:r w:rsidRPr="005554ED">
        <w:rPr>
          <w:color w:val="000000" w:themeColor="text1"/>
        </w:rPr>
        <w:t>Ins</w:t>
      </w:r>
      <w:proofErr w:type="gramEnd"/>
      <w:r w:rsidRPr="005554ED">
        <w:rPr>
          <w:color w:val="000000" w:themeColor="text1"/>
        </w:rPr>
        <w:t xml:space="preserve">/Del in ADRA2B modulates orientation of attention to facial expressions and emotional words. </w:t>
      </w:r>
      <w:proofErr w:type="spellStart"/>
      <w:r w:rsidRPr="005554ED">
        <w:rPr>
          <w:i/>
          <w:iCs/>
          <w:color w:val="000000" w:themeColor="text1"/>
        </w:rPr>
        <w:t>Behavioural</w:t>
      </w:r>
      <w:proofErr w:type="spellEnd"/>
      <w:r w:rsidRPr="005554ED">
        <w:rPr>
          <w:i/>
          <w:iCs/>
          <w:color w:val="000000" w:themeColor="text1"/>
        </w:rPr>
        <w:t xml:space="preserve"> Pharmacology</w:t>
      </w:r>
      <w:r w:rsidRPr="005554ED">
        <w:rPr>
          <w:color w:val="000000" w:themeColor="text1"/>
        </w:rPr>
        <w:t xml:space="preserve">, </w:t>
      </w:r>
      <w:r w:rsidRPr="005554ED">
        <w:rPr>
          <w:i/>
          <w:iCs/>
          <w:color w:val="000000" w:themeColor="text1"/>
        </w:rPr>
        <w:t>25</w:t>
      </w:r>
      <w:r w:rsidRPr="005554ED">
        <w:rPr>
          <w:color w:val="000000" w:themeColor="text1"/>
        </w:rPr>
        <w:t xml:space="preserve">(8), 717–724. </w:t>
      </w:r>
      <w:hyperlink r:id="rId236" w:history="1">
        <w:r w:rsidRPr="005554ED">
          <w:rPr>
            <w:rStyle w:val="Hyperlink"/>
            <w:rFonts w:eastAsia="Arial"/>
            <w:color w:val="000000" w:themeColor="text1"/>
          </w:rPr>
          <w:t>https://doi.org/10.1097/FBP.0000000000000089</w:t>
        </w:r>
      </w:hyperlink>
    </w:p>
    <w:p w14:paraId="6CDAAB75" w14:textId="77777777" w:rsidR="00B76713" w:rsidRPr="005554ED" w:rsidRDefault="00B76713" w:rsidP="00B76713">
      <w:pPr>
        <w:pStyle w:val="Bibliography"/>
        <w:rPr>
          <w:color w:val="000000" w:themeColor="text1"/>
        </w:rPr>
      </w:pPr>
      <w:proofErr w:type="spellStart"/>
      <w:r w:rsidRPr="005554ED">
        <w:rPr>
          <w:color w:val="000000" w:themeColor="text1"/>
        </w:rPr>
        <w:t>Simcharoen</w:t>
      </w:r>
      <w:proofErr w:type="spellEnd"/>
      <w:r w:rsidRPr="005554ED">
        <w:rPr>
          <w:color w:val="000000" w:themeColor="text1"/>
        </w:rPr>
        <w:t xml:space="preserve">, S., </w:t>
      </w:r>
      <w:proofErr w:type="spellStart"/>
      <w:r w:rsidRPr="005554ED">
        <w:rPr>
          <w:color w:val="000000" w:themeColor="text1"/>
        </w:rPr>
        <w:t>Pinyopornpanish</w:t>
      </w:r>
      <w:proofErr w:type="spellEnd"/>
      <w:r w:rsidRPr="005554ED">
        <w:rPr>
          <w:color w:val="000000" w:themeColor="text1"/>
        </w:rPr>
        <w:t xml:space="preserve">, M., </w:t>
      </w:r>
      <w:proofErr w:type="spellStart"/>
      <w:r w:rsidRPr="005554ED">
        <w:rPr>
          <w:color w:val="000000" w:themeColor="text1"/>
        </w:rPr>
        <w:t>Haoprom</w:t>
      </w:r>
      <w:proofErr w:type="spellEnd"/>
      <w:r w:rsidRPr="005554ED">
        <w:rPr>
          <w:color w:val="000000" w:themeColor="text1"/>
        </w:rPr>
        <w:t xml:space="preserve">, P., </w:t>
      </w:r>
      <w:proofErr w:type="spellStart"/>
      <w:r w:rsidRPr="005554ED">
        <w:rPr>
          <w:color w:val="000000" w:themeColor="text1"/>
        </w:rPr>
        <w:t>Kuntawong</w:t>
      </w:r>
      <w:proofErr w:type="spellEnd"/>
      <w:r w:rsidRPr="005554ED">
        <w:rPr>
          <w:color w:val="000000" w:themeColor="text1"/>
        </w:rPr>
        <w:t xml:space="preserve">, P., </w:t>
      </w:r>
      <w:proofErr w:type="spellStart"/>
      <w:r w:rsidRPr="005554ED">
        <w:rPr>
          <w:color w:val="000000" w:themeColor="text1"/>
        </w:rPr>
        <w:t>Wongpakaran</w:t>
      </w:r>
      <w:proofErr w:type="spellEnd"/>
      <w:r w:rsidRPr="005554ED">
        <w:rPr>
          <w:color w:val="000000" w:themeColor="text1"/>
        </w:rPr>
        <w:t xml:space="preserve">, N., &amp; </w:t>
      </w:r>
      <w:proofErr w:type="spellStart"/>
      <w:r w:rsidRPr="005554ED">
        <w:rPr>
          <w:color w:val="000000" w:themeColor="text1"/>
        </w:rPr>
        <w:t>Wongpakaran</w:t>
      </w:r>
      <w:proofErr w:type="spellEnd"/>
      <w:r w:rsidRPr="005554ED">
        <w:rPr>
          <w:color w:val="000000" w:themeColor="text1"/>
        </w:rPr>
        <w:t xml:space="preserve">, T. (2018). Prevalence, associated factors and impact of loneliness and interpersonal problems on internet addiction: A study in Chiang Mai medical students. </w:t>
      </w:r>
      <w:r w:rsidRPr="005554ED">
        <w:rPr>
          <w:i/>
          <w:iCs/>
          <w:color w:val="000000" w:themeColor="text1"/>
        </w:rPr>
        <w:t>Asian Journal of Psychiatry</w:t>
      </w:r>
      <w:r w:rsidRPr="005554ED">
        <w:rPr>
          <w:color w:val="000000" w:themeColor="text1"/>
        </w:rPr>
        <w:t xml:space="preserve">, </w:t>
      </w:r>
      <w:r w:rsidRPr="005554ED">
        <w:rPr>
          <w:i/>
          <w:iCs/>
          <w:color w:val="000000" w:themeColor="text1"/>
        </w:rPr>
        <w:t>31</w:t>
      </w:r>
      <w:r w:rsidRPr="005554ED">
        <w:rPr>
          <w:color w:val="000000" w:themeColor="text1"/>
        </w:rPr>
        <w:t xml:space="preserve">, 2–7. </w:t>
      </w:r>
      <w:hyperlink r:id="rId237" w:history="1">
        <w:r w:rsidRPr="005554ED">
          <w:rPr>
            <w:rStyle w:val="Hyperlink"/>
            <w:rFonts w:eastAsia="Arial"/>
            <w:color w:val="000000" w:themeColor="text1"/>
          </w:rPr>
          <w:t>https://doi.org/10.1016/j.ajp.2017.12.017</w:t>
        </w:r>
      </w:hyperlink>
    </w:p>
    <w:p w14:paraId="1BF0A66F" w14:textId="77777777" w:rsidR="00B76713" w:rsidRPr="005554ED" w:rsidRDefault="00B76713" w:rsidP="00B76713">
      <w:pPr>
        <w:pStyle w:val="Bibliography"/>
        <w:rPr>
          <w:color w:val="000000" w:themeColor="text1"/>
        </w:rPr>
      </w:pPr>
      <w:proofErr w:type="spellStart"/>
      <w:r w:rsidRPr="005554ED">
        <w:rPr>
          <w:color w:val="000000" w:themeColor="text1"/>
        </w:rPr>
        <w:t>Skrzynski</w:t>
      </w:r>
      <w:proofErr w:type="spellEnd"/>
      <w:r w:rsidRPr="005554ED">
        <w:rPr>
          <w:color w:val="000000" w:themeColor="text1"/>
        </w:rPr>
        <w:t xml:space="preserve">, C., Creswell, K. G., Bachrach, R. L., &amp; Chung, T. (2018). Social discomfort moderates the relationship between drinking in response to negative affect and solitary drinking in underage drinkers. </w:t>
      </w:r>
      <w:r w:rsidRPr="005554ED">
        <w:rPr>
          <w:i/>
          <w:iCs/>
          <w:color w:val="000000" w:themeColor="text1"/>
        </w:rPr>
        <w:t>Addictive Behaviors</w:t>
      </w:r>
      <w:r w:rsidRPr="005554ED">
        <w:rPr>
          <w:color w:val="000000" w:themeColor="text1"/>
        </w:rPr>
        <w:t xml:space="preserve">, </w:t>
      </w:r>
      <w:r w:rsidRPr="005554ED">
        <w:rPr>
          <w:i/>
          <w:iCs/>
          <w:color w:val="000000" w:themeColor="text1"/>
        </w:rPr>
        <w:t>78</w:t>
      </w:r>
      <w:r w:rsidRPr="005554ED">
        <w:rPr>
          <w:color w:val="000000" w:themeColor="text1"/>
        </w:rPr>
        <w:t xml:space="preserve">, 124–130. </w:t>
      </w:r>
      <w:hyperlink r:id="rId238" w:history="1">
        <w:r w:rsidRPr="005554ED">
          <w:rPr>
            <w:rStyle w:val="Hyperlink"/>
            <w:rFonts w:eastAsia="Arial"/>
            <w:color w:val="000000" w:themeColor="text1"/>
          </w:rPr>
          <w:t>https://doi.org/10.1016/j.addbeh.2017.11.009.</w:t>
        </w:r>
      </w:hyperlink>
    </w:p>
    <w:p w14:paraId="7A2DBEC5" w14:textId="77777777" w:rsidR="00B76713" w:rsidRPr="005554ED" w:rsidRDefault="00B76713" w:rsidP="00B76713">
      <w:pPr>
        <w:pStyle w:val="Bibliography"/>
        <w:rPr>
          <w:color w:val="000000" w:themeColor="text1"/>
        </w:rPr>
      </w:pPr>
      <w:proofErr w:type="spellStart"/>
      <w:r w:rsidRPr="005554ED">
        <w:rPr>
          <w:color w:val="000000" w:themeColor="text1"/>
        </w:rPr>
        <w:t>Skues</w:t>
      </w:r>
      <w:proofErr w:type="spellEnd"/>
      <w:r w:rsidRPr="005554ED">
        <w:rPr>
          <w:color w:val="000000" w:themeColor="text1"/>
        </w:rPr>
        <w:t xml:space="preserve">, J. L., Williams, B., &amp; Wise, L. (2012). The effects of personality traits, self-esteem, loneliness, and narcissism on Facebook use among university students. </w:t>
      </w:r>
      <w:r w:rsidRPr="005554ED">
        <w:rPr>
          <w:i/>
          <w:iCs/>
          <w:color w:val="000000" w:themeColor="text1"/>
        </w:rPr>
        <w:t>Computers in Human Behavior</w:t>
      </w:r>
      <w:r w:rsidRPr="005554ED">
        <w:rPr>
          <w:color w:val="000000" w:themeColor="text1"/>
        </w:rPr>
        <w:t xml:space="preserve">, </w:t>
      </w:r>
      <w:r w:rsidRPr="005554ED">
        <w:rPr>
          <w:i/>
          <w:iCs/>
          <w:color w:val="000000" w:themeColor="text1"/>
        </w:rPr>
        <w:t>28</w:t>
      </w:r>
      <w:r w:rsidRPr="005554ED">
        <w:rPr>
          <w:color w:val="000000" w:themeColor="text1"/>
        </w:rPr>
        <w:t xml:space="preserve">(6), 2414–2419. </w:t>
      </w:r>
      <w:hyperlink r:id="rId239" w:history="1">
        <w:r w:rsidRPr="005554ED">
          <w:rPr>
            <w:rStyle w:val="Hyperlink"/>
            <w:rFonts w:eastAsia="Arial"/>
            <w:color w:val="000000" w:themeColor="text1"/>
          </w:rPr>
          <w:t>https://doi.org/10.1016/j.chb.2012.07.012</w:t>
        </w:r>
      </w:hyperlink>
    </w:p>
    <w:p w14:paraId="47FC9296" w14:textId="77777777" w:rsidR="00B76713" w:rsidRPr="005554ED" w:rsidRDefault="00B76713" w:rsidP="00B76713">
      <w:pPr>
        <w:pStyle w:val="Bibliography"/>
        <w:rPr>
          <w:color w:val="000000" w:themeColor="text1"/>
        </w:rPr>
      </w:pPr>
      <w:proofErr w:type="spellStart"/>
      <w:r w:rsidRPr="005554ED">
        <w:rPr>
          <w:color w:val="000000" w:themeColor="text1"/>
        </w:rPr>
        <w:lastRenderedPageBreak/>
        <w:t>Skues</w:t>
      </w:r>
      <w:proofErr w:type="spellEnd"/>
      <w:r w:rsidRPr="005554ED">
        <w:rPr>
          <w:color w:val="000000" w:themeColor="text1"/>
        </w:rPr>
        <w:t xml:space="preserve">, J., Williams, B. J., &amp; Wise, L. (2017). Personality traits, boredom, and loneliness as predictors of </w:t>
      </w:r>
      <w:proofErr w:type="spellStart"/>
      <w:r w:rsidRPr="005554ED">
        <w:rPr>
          <w:color w:val="000000" w:themeColor="text1"/>
        </w:rPr>
        <w:t>facebook</w:t>
      </w:r>
      <w:proofErr w:type="spellEnd"/>
      <w:r w:rsidRPr="005554ED">
        <w:rPr>
          <w:color w:val="000000" w:themeColor="text1"/>
        </w:rPr>
        <w:t xml:space="preserve"> use in on-campus and online university students. </w:t>
      </w:r>
      <w:r w:rsidRPr="005554ED">
        <w:rPr>
          <w:i/>
          <w:iCs/>
          <w:color w:val="000000" w:themeColor="text1"/>
        </w:rPr>
        <w:t>International Journal of Cyber Behavior, Psychology and Learning</w:t>
      </w:r>
      <w:r w:rsidRPr="005554ED">
        <w:rPr>
          <w:color w:val="000000" w:themeColor="text1"/>
        </w:rPr>
        <w:t xml:space="preserve">, </w:t>
      </w:r>
      <w:r w:rsidRPr="005554ED">
        <w:rPr>
          <w:i/>
          <w:iCs/>
          <w:color w:val="000000" w:themeColor="text1"/>
        </w:rPr>
        <w:t>7</w:t>
      </w:r>
      <w:r w:rsidRPr="005554ED">
        <w:rPr>
          <w:color w:val="000000" w:themeColor="text1"/>
        </w:rPr>
        <w:t xml:space="preserve">(2), 36–48. </w:t>
      </w:r>
      <w:hyperlink r:id="rId240" w:history="1">
        <w:r w:rsidRPr="005554ED">
          <w:rPr>
            <w:rStyle w:val="Hyperlink"/>
            <w:rFonts w:eastAsia="Arial"/>
            <w:color w:val="000000" w:themeColor="text1"/>
          </w:rPr>
          <w:t>https://doi.org/10.4018/IJCBPL.2017040104</w:t>
        </w:r>
      </w:hyperlink>
    </w:p>
    <w:p w14:paraId="3F906A9F" w14:textId="77777777" w:rsidR="00B76713" w:rsidRPr="005554ED" w:rsidRDefault="00B76713" w:rsidP="00B76713">
      <w:pPr>
        <w:pStyle w:val="Bibliography"/>
        <w:rPr>
          <w:color w:val="000000" w:themeColor="text1"/>
        </w:rPr>
      </w:pPr>
      <w:proofErr w:type="spellStart"/>
      <w:r w:rsidRPr="005554ED">
        <w:rPr>
          <w:color w:val="000000" w:themeColor="text1"/>
        </w:rPr>
        <w:t>Skues</w:t>
      </w:r>
      <w:proofErr w:type="spellEnd"/>
      <w:r w:rsidRPr="005554ED">
        <w:rPr>
          <w:color w:val="000000" w:themeColor="text1"/>
        </w:rPr>
        <w:t xml:space="preserve">, J., Williams, B., </w:t>
      </w:r>
      <w:proofErr w:type="spellStart"/>
      <w:r w:rsidRPr="005554ED">
        <w:rPr>
          <w:color w:val="000000" w:themeColor="text1"/>
        </w:rPr>
        <w:t>Oldmeadow</w:t>
      </w:r>
      <w:proofErr w:type="spellEnd"/>
      <w:r w:rsidRPr="005554ED">
        <w:rPr>
          <w:color w:val="000000" w:themeColor="text1"/>
        </w:rPr>
        <w:t xml:space="preserve">, J., &amp; Wise, L. (2016). The effects of boredom, loneliness, and distress tolerance on problem internet use among university students. </w:t>
      </w:r>
      <w:r w:rsidRPr="005554ED">
        <w:rPr>
          <w:i/>
          <w:iCs/>
          <w:color w:val="000000" w:themeColor="text1"/>
        </w:rPr>
        <w:t>International Journal of Mental Health and Addiction</w:t>
      </w:r>
      <w:r w:rsidRPr="005554ED">
        <w:rPr>
          <w:color w:val="000000" w:themeColor="text1"/>
        </w:rPr>
        <w:t xml:space="preserve">, </w:t>
      </w:r>
      <w:r w:rsidRPr="005554ED">
        <w:rPr>
          <w:i/>
          <w:iCs/>
          <w:color w:val="000000" w:themeColor="text1"/>
        </w:rPr>
        <w:t>14</w:t>
      </w:r>
      <w:r w:rsidRPr="005554ED">
        <w:rPr>
          <w:color w:val="000000" w:themeColor="text1"/>
        </w:rPr>
        <w:t xml:space="preserve">(2), 167–180. </w:t>
      </w:r>
      <w:hyperlink r:id="rId241" w:history="1">
        <w:r w:rsidRPr="005554ED">
          <w:rPr>
            <w:rStyle w:val="Hyperlink"/>
            <w:rFonts w:eastAsia="Arial"/>
            <w:color w:val="000000" w:themeColor="text1"/>
          </w:rPr>
          <w:t>https://doi.org/10.1007/s11469-015-9568-8</w:t>
        </w:r>
      </w:hyperlink>
    </w:p>
    <w:p w14:paraId="22571F58" w14:textId="77777777" w:rsidR="00B76713" w:rsidRPr="005554ED" w:rsidRDefault="00B76713" w:rsidP="00B76713">
      <w:pPr>
        <w:pStyle w:val="Bibliography"/>
        <w:rPr>
          <w:color w:val="000000" w:themeColor="text1"/>
        </w:rPr>
      </w:pPr>
      <w:proofErr w:type="spellStart"/>
      <w:r w:rsidRPr="005554ED">
        <w:rPr>
          <w:color w:val="000000" w:themeColor="text1"/>
        </w:rPr>
        <w:t>Sladek</w:t>
      </w:r>
      <w:proofErr w:type="spellEnd"/>
      <w:r w:rsidRPr="005554ED">
        <w:rPr>
          <w:color w:val="000000" w:themeColor="text1"/>
        </w:rPr>
        <w:t xml:space="preserve">, M. R., &amp; </w:t>
      </w:r>
      <w:proofErr w:type="spellStart"/>
      <w:r w:rsidRPr="005554ED">
        <w:rPr>
          <w:color w:val="000000" w:themeColor="text1"/>
        </w:rPr>
        <w:t>Doane</w:t>
      </w:r>
      <w:proofErr w:type="spellEnd"/>
      <w:r w:rsidRPr="005554ED">
        <w:rPr>
          <w:color w:val="000000" w:themeColor="text1"/>
        </w:rPr>
        <w:t xml:space="preserve">, L. D. (2015). Daily diary reports of social connection, objective sleep, and the cortisol awakening response during adolescents’ first year of college. </w:t>
      </w:r>
      <w:r w:rsidRPr="005554ED">
        <w:rPr>
          <w:i/>
          <w:iCs/>
          <w:color w:val="000000" w:themeColor="text1"/>
        </w:rPr>
        <w:t>Journal of Youth and Adolescence</w:t>
      </w:r>
      <w:r w:rsidRPr="005554ED">
        <w:rPr>
          <w:color w:val="000000" w:themeColor="text1"/>
        </w:rPr>
        <w:t xml:space="preserve">, </w:t>
      </w:r>
      <w:r w:rsidRPr="005554ED">
        <w:rPr>
          <w:i/>
          <w:iCs/>
          <w:color w:val="000000" w:themeColor="text1"/>
        </w:rPr>
        <w:t>44</w:t>
      </w:r>
      <w:r w:rsidRPr="005554ED">
        <w:rPr>
          <w:color w:val="000000" w:themeColor="text1"/>
        </w:rPr>
        <w:t xml:space="preserve">(2), 298–316. </w:t>
      </w:r>
      <w:hyperlink r:id="rId242" w:history="1">
        <w:r w:rsidRPr="005554ED">
          <w:rPr>
            <w:rStyle w:val="Hyperlink"/>
            <w:rFonts w:eastAsia="Arial"/>
            <w:color w:val="000000" w:themeColor="text1"/>
          </w:rPr>
          <w:t>https://doi.org/10.1007/s10964-014-0244-2</w:t>
        </w:r>
      </w:hyperlink>
    </w:p>
    <w:p w14:paraId="035A34AF" w14:textId="77777777" w:rsidR="00B76713" w:rsidRPr="005554ED" w:rsidRDefault="00B76713" w:rsidP="00B76713">
      <w:pPr>
        <w:pStyle w:val="Bibliography"/>
        <w:rPr>
          <w:color w:val="000000" w:themeColor="text1"/>
        </w:rPr>
      </w:pPr>
      <w:r w:rsidRPr="005554ED">
        <w:rPr>
          <w:color w:val="000000" w:themeColor="text1"/>
        </w:rPr>
        <w:t xml:space="preserve">Sloan, W. W., &amp; Solano, C. H. (1984). The conversational styles of lonely males with strangers and roommates. </w:t>
      </w:r>
      <w:r w:rsidRPr="005554ED">
        <w:rPr>
          <w:i/>
          <w:iCs/>
          <w:color w:val="000000" w:themeColor="text1"/>
        </w:rPr>
        <w:t>Personality and Social Psychology Bulletin</w:t>
      </w:r>
      <w:r w:rsidRPr="005554ED">
        <w:rPr>
          <w:color w:val="000000" w:themeColor="text1"/>
        </w:rPr>
        <w:t xml:space="preserve">, </w:t>
      </w:r>
      <w:r w:rsidRPr="005554ED">
        <w:rPr>
          <w:i/>
          <w:iCs/>
          <w:color w:val="000000" w:themeColor="text1"/>
        </w:rPr>
        <w:t>10</w:t>
      </w:r>
      <w:r w:rsidRPr="005554ED">
        <w:rPr>
          <w:color w:val="000000" w:themeColor="text1"/>
        </w:rPr>
        <w:t xml:space="preserve">(2), 293–301. </w:t>
      </w:r>
      <w:hyperlink r:id="rId243" w:history="1">
        <w:r w:rsidRPr="005554ED">
          <w:rPr>
            <w:rStyle w:val="Hyperlink"/>
            <w:rFonts w:eastAsia="Arial"/>
            <w:color w:val="000000" w:themeColor="text1"/>
          </w:rPr>
          <w:t>https://doi.org/10.1177/0146167284102016</w:t>
        </w:r>
      </w:hyperlink>
    </w:p>
    <w:p w14:paraId="36A3DC84" w14:textId="77777777" w:rsidR="00B76713" w:rsidRPr="005554ED" w:rsidRDefault="00B76713" w:rsidP="00B76713">
      <w:pPr>
        <w:pStyle w:val="Bibliography"/>
        <w:rPr>
          <w:color w:val="000000" w:themeColor="text1"/>
        </w:rPr>
      </w:pPr>
      <w:proofErr w:type="spellStart"/>
      <w:r w:rsidRPr="005554ED">
        <w:rPr>
          <w:color w:val="000000" w:themeColor="text1"/>
        </w:rPr>
        <w:t>Smailes</w:t>
      </w:r>
      <w:proofErr w:type="spellEnd"/>
      <w:r w:rsidRPr="005554ED">
        <w:rPr>
          <w:color w:val="000000" w:themeColor="text1"/>
        </w:rPr>
        <w:t xml:space="preserve">, D. (2014a). </w:t>
      </w:r>
      <w:r w:rsidRPr="005554ED">
        <w:rPr>
          <w:i/>
          <w:iCs/>
          <w:color w:val="000000" w:themeColor="text1"/>
        </w:rPr>
        <w:t>Parental bonding, attachment, reality discrimination, and psychotic-like experiences (Study 2)</w:t>
      </w:r>
      <w:r w:rsidRPr="005554ED">
        <w:rPr>
          <w:color w:val="000000" w:themeColor="text1"/>
        </w:rPr>
        <w:t>. Durham University.</w:t>
      </w:r>
    </w:p>
    <w:p w14:paraId="474F7D9C" w14:textId="77777777" w:rsidR="00B76713" w:rsidRPr="005554ED" w:rsidRDefault="00B76713" w:rsidP="00B76713">
      <w:pPr>
        <w:pStyle w:val="Bibliography"/>
        <w:rPr>
          <w:color w:val="000000" w:themeColor="text1"/>
        </w:rPr>
      </w:pPr>
      <w:proofErr w:type="spellStart"/>
      <w:r w:rsidRPr="005554ED">
        <w:rPr>
          <w:color w:val="000000" w:themeColor="text1"/>
        </w:rPr>
        <w:t>Smailes</w:t>
      </w:r>
      <w:proofErr w:type="spellEnd"/>
      <w:r w:rsidRPr="005554ED">
        <w:rPr>
          <w:color w:val="000000" w:themeColor="text1"/>
        </w:rPr>
        <w:t xml:space="preserve">, D. (2014b). </w:t>
      </w:r>
      <w:r w:rsidRPr="005554ED">
        <w:rPr>
          <w:i/>
          <w:iCs/>
          <w:color w:val="000000" w:themeColor="text1"/>
        </w:rPr>
        <w:t>Parental bonding, attachment, reality discrimination, and psychotic-like experiences (Study 3 &amp; 4)</w:t>
      </w:r>
      <w:r w:rsidRPr="005554ED">
        <w:rPr>
          <w:color w:val="000000" w:themeColor="text1"/>
        </w:rPr>
        <w:t>. Durham University.</w:t>
      </w:r>
    </w:p>
    <w:p w14:paraId="4F92925A" w14:textId="77777777" w:rsidR="00B76713" w:rsidRPr="005554ED" w:rsidRDefault="00B76713" w:rsidP="00B76713">
      <w:pPr>
        <w:pStyle w:val="Bibliography"/>
        <w:rPr>
          <w:color w:val="000000" w:themeColor="text1"/>
        </w:rPr>
      </w:pPr>
      <w:proofErr w:type="spellStart"/>
      <w:r w:rsidRPr="005554ED">
        <w:rPr>
          <w:color w:val="000000" w:themeColor="text1"/>
        </w:rPr>
        <w:t>Smailes</w:t>
      </w:r>
      <w:proofErr w:type="spellEnd"/>
      <w:r w:rsidRPr="005554ED">
        <w:rPr>
          <w:color w:val="000000" w:themeColor="text1"/>
        </w:rPr>
        <w:t xml:space="preserve">, D. (2014c). </w:t>
      </w:r>
      <w:r w:rsidRPr="005554ED">
        <w:rPr>
          <w:i/>
          <w:iCs/>
          <w:color w:val="000000" w:themeColor="text1"/>
        </w:rPr>
        <w:t>Parental bonding, attachment, reality discrimination, and psychotic-like experiences (Study 5)</w:t>
      </w:r>
      <w:r w:rsidRPr="005554ED">
        <w:rPr>
          <w:color w:val="000000" w:themeColor="text1"/>
        </w:rPr>
        <w:t>. Durham University.</w:t>
      </w:r>
    </w:p>
    <w:p w14:paraId="450567E1" w14:textId="77777777" w:rsidR="00B76713" w:rsidRPr="005554ED" w:rsidRDefault="00B76713" w:rsidP="00B76713">
      <w:pPr>
        <w:pStyle w:val="Bibliography"/>
        <w:rPr>
          <w:color w:val="000000" w:themeColor="text1"/>
        </w:rPr>
      </w:pPr>
      <w:proofErr w:type="spellStart"/>
      <w:r w:rsidRPr="005554ED">
        <w:rPr>
          <w:color w:val="000000" w:themeColor="text1"/>
        </w:rPr>
        <w:t>Smailes</w:t>
      </w:r>
      <w:proofErr w:type="spellEnd"/>
      <w:r w:rsidRPr="005554ED">
        <w:rPr>
          <w:color w:val="000000" w:themeColor="text1"/>
        </w:rPr>
        <w:t xml:space="preserve">, D., </w:t>
      </w:r>
      <w:proofErr w:type="spellStart"/>
      <w:r w:rsidRPr="005554ED">
        <w:rPr>
          <w:color w:val="000000" w:themeColor="text1"/>
        </w:rPr>
        <w:t>Meins</w:t>
      </w:r>
      <w:proofErr w:type="spellEnd"/>
      <w:r w:rsidRPr="005554ED">
        <w:rPr>
          <w:color w:val="000000" w:themeColor="text1"/>
        </w:rPr>
        <w:t xml:space="preserve">, E., &amp; </w:t>
      </w:r>
      <w:proofErr w:type="spellStart"/>
      <w:r w:rsidRPr="005554ED">
        <w:rPr>
          <w:color w:val="000000" w:themeColor="text1"/>
        </w:rPr>
        <w:t>Fernyhough</w:t>
      </w:r>
      <w:proofErr w:type="spellEnd"/>
      <w:r w:rsidRPr="005554ED">
        <w:rPr>
          <w:color w:val="000000" w:themeColor="text1"/>
        </w:rPr>
        <w:t xml:space="preserve">, C. (2014). The impact of negative affect on reality discrimination. </w:t>
      </w:r>
      <w:r w:rsidRPr="005554ED">
        <w:rPr>
          <w:i/>
          <w:iCs/>
          <w:color w:val="000000" w:themeColor="text1"/>
        </w:rPr>
        <w:t>Journal of Behavior Therapy and Experimental Psychiatry</w:t>
      </w:r>
      <w:r w:rsidRPr="005554ED">
        <w:rPr>
          <w:color w:val="000000" w:themeColor="text1"/>
        </w:rPr>
        <w:t xml:space="preserve">, </w:t>
      </w:r>
      <w:r w:rsidRPr="005554ED">
        <w:rPr>
          <w:i/>
          <w:iCs/>
          <w:color w:val="000000" w:themeColor="text1"/>
        </w:rPr>
        <w:t>45</w:t>
      </w:r>
      <w:r w:rsidRPr="005554ED">
        <w:rPr>
          <w:color w:val="000000" w:themeColor="text1"/>
        </w:rPr>
        <w:t xml:space="preserve">(3), 389–395. </w:t>
      </w:r>
      <w:hyperlink r:id="rId244" w:history="1">
        <w:r w:rsidRPr="005554ED">
          <w:rPr>
            <w:rStyle w:val="Hyperlink"/>
            <w:rFonts w:eastAsia="Arial"/>
            <w:color w:val="000000" w:themeColor="text1"/>
          </w:rPr>
          <w:t>https://doi.org/10.1016/j.jbtep.2014.04.001</w:t>
        </w:r>
      </w:hyperlink>
    </w:p>
    <w:p w14:paraId="7B6EECC4" w14:textId="77777777" w:rsidR="00B76713" w:rsidRPr="005554ED" w:rsidRDefault="00B76713" w:rsidP="00B76713">
      <w:pPr>
        <w:pStyle w:val="Bibliography"/>
        <w:rPr>
          <w:color w:val="000000" w:themeColor="text1"/>
        </w:rPr>
      </w:pPr>
      <w:r w:rsidRPr="005554ED">
        <w:rPr>
          <w:color w:val="000000" w:themeColor="text1"/>
        </w:rPr>
        <w:lastRenderedPageBreak/>
        <w:t xml:space="preserve">Smith, B. W., Guzman, A., &amp; Erickson, K. (2018). The Unconditional Self-Kindness Scale: Assessing the ability to respond with kindness to threats to the self. </w:t>
      </w:r>
      <w:r w:rsidRPr="005554ED">
        <w:rPr>
          <w:i/>
          <w:iCs/>
          <w:color w:val="000000" w:themeColor="text1"/>
        </w:rPr>
        <w:t>Mindfulness</w:t>
      </w:r>
      <w:r w:rsidRPr="005554ED">
        <w:rPr>
          <w:color w:val="000000" w:themeColor="text1"/>
        </w:rPr>
        <w:t xml:space="preserve">, </w:t>
      </w:r>
      <w:r w:rsidRPr="005554ED">
        <w:rPr>
          <w:i/>
          <w:iCs/>
          <w:color w:val="000000" w:themeColor="text1"/>
        </w:rPr>
        <w:t>9</w:t>
      </w:r>
      <w:r w:rsidRPr="005554ED">
        <w:rPr>
          <w:color w:val="000000" w:themeColor="text1"/>
        </w:rPr>
        <w:t xml:space="preserve">(6), 1713–1722. </w:t>
      </w:r>
      <w:hyperlink r:id="rId245" w:history="1">
        <w:r w:rsidRPr="005554ED">
          <w:rPr>
            <w:rStyle w:val="Hyperlink"/>
            <w:rFonts w:eastAsia="Arial"/>
            <w:color w:val="000000" w:themeColor="text1"/>
          </w:rPr>
          <w:t>https://doi.org/10.1007/s12671-018-0912-5</w:t>
        </w:r>
      </w:hyperlink>
    </w:p>
    <w:p w14:paraId="697E06B9" w14:textId="77777777" w:rsidR="00B76713" w:rsidRPr="005554ED" w:rsidRDefault="00B76713" w:rsidP="00B76713">
      <w:pPr>
        <w:pStyle w:val="Bibliography"/>
        <w:rPr>
          <w:color w:val="000000" w:themeColor="text1"/>
        </w:rPr>
      </w:pPr>
      <w:r w:rsidRPr="005554ED">
        <w:rPr>
          <w:color w:val="000000" w:themeColor="text1"/>
        </w:rPr>
        <w:t xml:space="preserve">Smith, K. M., </w:t>
      </w:r>
      <w:proofErr w:type="spellStart"/>
      <w:r w:rsidRPr="005554ED">
        <w:rPr>
          <w:color w:val="000000" w:themeColor="text1"/>
        </w:rPr>
        <w:t>Chesin</w:t>
      </w:r>
      <w:proofErr w:type="spellEnd"/>
      <w:r w:rsidRPr="005554ED">
        <w:rPr>
          <w:color w:val="000000" w:themeColor="text1"/>
        </w:rPr>
        <w:t xml:space="preserve">, M. S., &amp; </w:t>
      </w:r>
      <w:proofErr w:type="spellStart"/>
      <w:r w:rsidRPr="005554ED">
        <w:rPr>
          <w:color w:val="000000" w:themeColor="text1"/>
        </w:rPr>
        <w:t>Jeglic</w:t>
      </w:r>
      <w:proofErr w:type="spellEnd"/>
      <w:r w:rsidRPr="005554ED">
        <w:rPr>
          <w:color w:val="000000" w:themeColor="text1"/>
        </w:rPr>
        <w:t xml:space="preserve">, E. L. (2014). Minority college student mental health: Does majority status matter? Implications for college counseling services. </w:t>
      </w:r>
      <w:r w:rsidRPr="005554ED">
        <w:rPr>
          <w:i/>
          <w:iCs/>
          <w:color w:val="000000" w:themeColor="text1"/>
        </w:rPr>
        <w:t>Journal of Multicultural Counseling and Development</w:t>
      </w:r>
      <w:r w:rsidRPr="005554ED">
        <w:rPr>
          <w:color w:val="000000" w:themeColor="text1"/>
        </w:rPr>
        <w:t xml:space="preserve">, </w:t>
      </w:r>
      <w:r w:rsidRPr="005554ED">
        <w:rPr>
          <w:i/>
          <w:iCs/>
          <w:color w:val="000000" w:themeColor="text1"/>
        </w:rPr>
        <w:t>42</w:t>
      </w:r>
      <w:r w:rsidRPr="005554ED">
        <w:rPr>
          <w:color w:val="000000" w:themeColor="text1"/>
        </w:rPr>
        <w:t xml:space="preserve">(2), 77–92. </w:t>
      </w:r>
      <w:hyperlink r:id="rId246" w:history="1">
        <w:r w:rsidRPr="005554ED">
          <w:rPr>
            <w:rStyle w:val="Hyperlink"/>
            <w:rFonts w:eastAsia="Arial"/>
            <w:color w:val="000000" w:themeColor="text1"/>
          </w:rPr>
          <w:t>https://doi.org/10.1002/j.2161-1912.2014.00046.x</w:t>
        </w:r>
      </w:hyperlink>
    </w:p>
    <w:p w14:paraId="22D4DA39" w14:textId="77777777" w:rsidR="00B76713" w:rsidRPr="005554ED" w:rsidRDefault="00B76713" w:rsidP="00B76713">
      <w:pPr>
        <w:pStyle w:val="Bibliography"/>
        <w:rPr>
          <w:color w:val="000000" w:themeColor="text1"/>
        </w:rPr>
      </w:pPr>
      <w:r w:rsidRPr="005554ED">
        <w:rPr>
          <w:color w:val="000000" w:themeColor="text1"/>
        </w:rPr>
        <w:t xml:space="preserve">Smith, N. G., Hart, T. A., Kidwai, A., Vernon, J. R. G., </w:t>
      </w:r>
      <w:proofErr w:type="spellStart"/>
      <w:r w:rsidRPr="005554ED">
        <w:rPr>
          <w:color w:val="000000" w:themeColor="text1"/>
        </w:rPr>
        <w:t>Blais</w:t>
      </w:r>
      <w:proofErr w:type="spellEnd"/>
      <w:r w:rsidRPr="005554ED">
        <w:rPr>
          <w:color w:val="000000" w:themeColor="text1"/>
        </w:rPr>
        <w:t xml:space="preserve">, M., &amp; Adam, B. (2017). Results of a pilot study to ameliorate psychological and behavioral outcomes of minority stress among young gay and bisexual Men. </w:t>
      </w:r>
      <w:r w:rsidRPr="005554ED">
        <w:rPr>
          <w:i/>
          <w:iCs/>
          <w:color w:val="000000" w:themeColor="text1"/>
        </w:rPr>
        <w:t>Behavior Therapy</w:t>
      </w:r>
      <w:r w:rsidRPr="005554ED">
        <w:rPr>
          <w:color w:val="000000" w:themeColor="text1"/>
        </w:rPr>
        <w:t xml:space="preserve">, </w:t>
      </w:r>
      <w:r w:rsidRPr="005554ED">
        <w:rPr>
          <w:i/>
          <w:iCs/>
          <w:color w:val="000000" w:themeColor="text1"/>
        </w:rPr>
        <w:t>48</w:t>
      </w:r>
      <w:r w:rsidRPr="005554ED">
        <w:rPr>
          <w:color w:val="000000" w:themeColor="text1"/>
        </w:rPr>
        <w:t xml:space="preserve">(5), 664–677. </w:t>
      </w:r>
      <w:hyperlink r:id="rId247" w:history="1">
        <w:r w:rsidRPr="005554ED">
          <w:rPr>
            <w:rStyle w:val="Hyperlink"/>
            <w:rFonts w:eastAsia="Arial"/>
            <w:color w:val="000000" w:themeColor="text1"/>
          </w:rPr>
          <w:t>https://doi.org/10.1016/j.beth.2017.03.005</w:t>
        </w:r>
      </w:hyperlink>
    </w:p>
    <w:p w14:paraId="5AC48F94" w14:textId="77777777" w:rsidR="00B76713" w:rsidRPr="005554ED" w:rsidRDefault="00B76713" w:rsidP="00B76713">
      <w:pPr>
        <w:pStyle w:val="Bibliography"/>
        <w:rPr>
          <w:color w:val="000000" w:themeColor="text1"/>
        </w:rPr>
      </w:pPr>
      <w:r w:rsidRPr="005554ED">
        <w:rPr>
          <w:color w:val="000000" w:themeColor="text1"/>
        </w:rPr>
        <w:t xml:space="preserve">Sohn, Y., Woo, S., Jo, D., &amp; Yang, E. (2019). The role of the quality of college-based relationship on social media in college-to-work transition of Korean college students: The longitudinal examination of intimacy on social media, social capital, and loneliness. </w:t>
      </w:r>
      <w:r w:rsidRPr="005554ED">
        <w:rPr>
          <w:i/>
          <w:iCs/>
          <w:color w:val="000000" w:themeColor="text1"/>
        </w:rPr>
        <w:t>Japanese Psychological Research</w:t>
      </w:r>
      <w:r w:rsidRPr="005554ED">
        <w:rPr>
          <w:color w:val="000000" w:themeColor="text1"/>
        </w:rPr>
        <w:t xml:space="preserve">, </w:t>
      </w:r>
      <w:r w:rsidRPr="005554ED">
        <w:rPr>
          <w:i/>
          <w:iCs/>
          <w:color w:val="000000" w:themeColor="text1"/>
        </w:rPr>
        <w:t>61</w:t>
      </w:r>
      <w:r w:rsidRPr="005554ED">
        <w:rPr>
          <w:color w:val="000000" w:themeColor="text1"/>
        </w:rPr>
        <w:t xml:space="preserve">(4), 236–248. </w:t>
      </w:r>
      <w:hyperlink r:id="rId248" w:history="1">
        <w:r w:rsidRPr="005554ED">
          <w:rPr>
            <w:rStyle w:val="Hyperlink"/>
            <w:rFonts w:eastAsia="Arial"/>
            <w:color w:val="000000" w:themeColor="text1"/>
          </w:rPr>
          <w:t>https://doi.org/10.1111/jpr.12234</w:t>
        </w:r>
      </w:hyperlink>
    </w:p>
    <w:p w14:paraId="41C4F68F" w14:textId="77777777" w:rsidR="00B76713" w:rsidRPr="005554ED" w:rsidRDefault="00B76713" w:rsidP="00B76713">
      <w:pPr>
        <w:pStyle w:val="Bibliography"/>
        <w:rPr>
          <w:color w:val="000000" w:themeColor="text1"/>
        </w:rPr>
      </w:pPr>
      <w:r w:rsidRPr="005554ED">
        <w:rPr>
          <w:color w:val="000000" w:themeColor="text1"/>
        </w:rPr>
        <w:t xml:space="preserve">Solano, C. H. (1987). Loneliness and perceptions of control: General traits versus specific attributions. </w:t>
      </w:r>
      <w:r w:rsidRPr="005554ED">
        <w:rPr>
          <w:i/>
          <w:iCs/>
          <w:color w:val="000000" w:themeColor="text1"/>
        </w:rPr>
        <w:t>Journal of Social Behavior and Personality</w:t>
      </w:r>
      <w:r w:rsidRPr="005554ED">
        <w:rPr>
          <w:color w:val="000000" w:themeColor="text1"/>
        </w:rPr>
        <w:t xml:space="preserve">, </w:t>
      </w:r>
      <w:r w:rsidRPr="005554ED">
        <w:rPr>
          <w:i/>
          <w:iCs/>
          <w:color w:val="000000" w:themeColor="text1"/>
        </w:rPr>
        <w:t>2</w:t>
      </w:r>
      <w:r w:rsidRPr="005554ED">
        <w:rPr>
          <w:color w:val="000000" w:themeColor="text1"/>
        </w:rPr>
        <w:t>(2), 201–214.</w:t>
      </w:r>
    </w:p>
    <w:p w14:paraId="3C33A4F7" w14:textId="77777777" w:rsidR="00B76713" w:rsidRPr="005554ED" w:rsidRDefault="00B76713" w:rsidP="00B76713">
      <w:pPr>
        <w:pStyle w:val="Bibliography"/>
        <w:rPr>
          <w:color w:val="000000" w:themeColor="text1"/>
        </w:rPr>
      </w:pPr>
      <w:proofErr w:type="spellStart"/>
      <w:r w:rsidRPr="005554ED">
        <w:rPr>
          <w:color w:val="000000" w:themeColor="text1"/>
        </w:rPr>
        <w:t>Spielmann</w:t>
      </w:r>
      <w:proofErr w:type="spellEnd"/>
      <w:r w:rsidRPr="005554ED">
        <w:rPr>
          <w:color w:val="000000" w:themeColor="text1"/>
        </w:rPr>
        <w:t xml:space="preserve">, S. S., MacDonald, G., Maxwell, J. A., Joel, S., </w:t>
      </w:r>
      <w:proofErr w:type="spellStart"/>
      <w:r w:rsidRPr="005554ED">
        <w:rPr>
          <w:color w:val="000000" w:themeColor="text1"/>
        </w:rPr>
        <w:t>Peragine</w:t>
      </w:r>
      <w:proofErr w:type="spellEnd"/>
      <w:r w:rsidRPr="005554ED">
        <w:rPr>
          <w:color w:val="000000" w:themeColor="text1"/>
        </w:rPr>
        <w:t xml:space="preserve">, D., Muise, A., &amp; </w:t>
      </w:r>
      <w:proofErr w:type="spellStart"/>
      <w:r w:rsidRPr="005554ED">
        <w:rPr>
          <w:color w:val="000000" w:themeColor="text1"/>
        </w:rPr>
        <w:t>Impett</w:t>
      </w:r>
      <w:proofErr w:type="spellEnd"/>
      <w:r w:rsidRPr="005554ED">
        <w:rPr>
          <w:color w:val="000000" w:themeColor="text1"/>
        </w:rPr>
        <w:t xml:space="preserve">, E. A. (2013). Settling for less out of fear of being single. </w:t>
      </w:r>
      <w:r w:rsidRPr="005554ED">
        <w:rPr>
          <w:i/>
          <w:iCs/>
          <w:color w:val="000000" w:themeColor="text1"/>
        </w:rPr>
        <w:t>Journal of Personality and Social Psychology</w:t>
      </w:r>
      <w:r w:rsidRPr="005554ED">
        <w:rPr>
          <w:color w:val="000000" w:themeColor="text1"/>
        </w:rPr>
        <w:t xml:space="preserve">, </w:t>
      </w:r>
      <w:r w:rsidRPr="005554ED">
        <w:rPr>
          <w:i/>
          <w:iCs/>
          <w:color w:val="000000" w:themeColor="text1"/>
        </w:rPr>
        <w:t>105</w:t>
      </w:r>
      <w:r w:rsidRPr="005554ED">
        <w:rPr>
          <w:color w:val="000000" w:themeColor="text1"/>
        </w:rPr>
        <w:t xml:space="preserve">(6), 1049–1073. </w:t>
      </w:r>
      <w:hyperlink r:id="rId249" w:history="1">
        <w:r w:rsidRPr="005554ED">
          <w:rPr>
            <w:rStyle w:val="Hyperlink"/>
            <w:rFonts w:eastAsia="Arial"/>
            <w:color w:val="000000" w:themeColor="text1"/>
          </w:rPr>
          <w:t>https://doi.org/10.1037/a0034628</w:t>
        </w:r>
      </w:hyperlink>
    </w:p>
    <w:p w14:paraId="244C697B" w14:textId="77777777" w:rsidR="00B76713" w:rsidRPr="005554ED" w:rsidRDefault="00B76713" w:rsidP="00B76713">
      <w:pPr>
        <w:pStyle w:val="Bibliography"/>
        <w:rPr>
          <w:color w:val="000000" w:themeColor="text1"/>
        </w:rPr>
      </w:pPr>
      <w:r w:rsidRPr="005554ED">
        <w:rPr>
          <w:color w:val="000000" w:themeColor="text1"/>
        </w:rPr>
        <w:t xml:space="preserve">Stackhouse, M. R. D. (2016). Paths to not forgiving: The roles of social isolation, retributive orientation, and moral emotions. </w:t>
      </w:r>
      <w:r w:rsidRPr="005554ED">
        <w:rPr>
          <w:i/>
          <w:iCs/>
          <w:color w:val="000000" w:themeColor="text1"/>
        </w:rPr>
        <w:t>Personality and Individual Differences</w:t>
      </w:r>
      <w:r w:rsidRPr="005554ED">
        <w:rPr>
          <w:color w:val="000000" w:themeColor="text1"/>
        </w:rPr>
        <w:t xml:space="preserve">, </w:t>
      </w:r>
      <w:r w:rsidRPr="005554ED">
        <w:rPr>
          <w:i/>
          <w:iCs/>
          <w:color w:val="000000" w:themeColor="text1"/>
        </w:rPr>
        <w:t>97</w:t>
      </w:r>
      <w:r w:rsidRPr="005554ED">
        <w:rPr>
          <w:color w:val="000000" w:themeColor="text1"/>
        </w:rPr>
        <w:t xml:space="preserve">, 50–54. </w:t>
      </w:r>
      <w:hyperlink r:id="rId250" w:history="1">
        <w:r w:rsidRPr="005554ED">
          <w:rPr>
            <w:rStyle w:val="Hyperlink"/>
            <w:rFonts w:eastAsia="Arial"/>
            <w:color w:val="000000" w:themeColor="text1"/>
          </w:rPr>
          <w:t>https://doi.org/10.1016/j.paid.2016.03.023</w:t>
        </w:r>
      </w:hyperlink>
    </w:p>
    <w:p w14:paraId="22774DAE" w14:textId="77777777" w:rsidR="00B76713" w:rsidRPr="005554ED" w:rsidRDefault="00B76713" w:rsidP="00B76713">
      <w:pPr>
        <w:pStyle w:val="Bibliography"/>
        <w:rPr>
          <w:color w:val="000000" w:themeColor="text1"/>
        </w:rPr>
      </w:pPr>
      <w:r w:rsidRPr="005554ED">
        <w:rPr>
          <w:color w:val="000000" w:themeColor="text1"/>
        </w:rPr>
        <w:lastRenderedPageBreak/>
        <w:t xml:space="preserve">Stein, C. H., Aguirre, R., &amp; Hunt, M. G. (2013). Social networks and personal loss among young adults with mental illness and their parents: A family perspective. </w:t>
      </w:r>
      <w:r w:rsidRPr="005554ED">
        <w:rPr>
          <w:i/>
          <w:iCs/>
          <w:color w:val="000000" w:themeColor="text1"/>
        </w:rPr>
        <w:t>Psychiatric Rehabilitation Journal</w:t>
      </w:r>
      <w:r w:rsidRPr="005554ED">
        <w:rPr>
          <w:color w:val="000000" w:themeColor="text1"/>
        </w:rPr>
        <w:t xml:space="preserve">, </w:t>
      </w:r>
      <w:r w:rsidRPr="005554ED">
        <w:rPr>
          <w:i/>
          <w:iCs/>
          <w:color w:val="000000" w:themeColor="text1"/>
        </w:rPr>
        <w:t>36</w:t>
      </w:r>
      <w:r w:rsidRPr="005554ED">
        <w:rPr>
          <w:color w:val="000000" w:themeColor="text1"/>
        </w:rPr>
        <w:t xml:space="preserve">(1), 15–21. </w:t>
      </w:r>
      <w:hyperlink r:id="rId251" w:history="1">
        <w:r w:rsidRPr="005554ED">
          <w:rPr>
            <w:rStyle w:val="Hyperlink"/>
            <w:rFonts w:eastAsia="Arial"/>
            <w:color w:val="000000" w:themeColor="text1"/>
          </w:rPr>
          <w:t>https://doi.org/10.1037/h0094742</w:t>
        </w:r>
      </w:hyperlink>
    </w:p>
    <w:p w14:paraId="55EBD650" w14:textId="77777777" w:rsidR="00B76713" w:rsidRPr="005554ED" w:rsidRDefault="00B76713" w:rsidP="00B76713">
      <w:pPr>
        <w:pStyle w:val="Bibliography"/>
        <w:rPr>
          <w:color w:val="000000" w:themeColor="text1"/>
        </w:rPr>
      </w:pPr>
      <w:r w:rsidRPr="005554ED">
        <w:rPr>
          <w:color w:val="000000" w:themeColor="text1"/>
        </w:rPr>
        <w:t xml:space="preserve">Stephan, E., </w:t>
      </w:r>
      <w:proofErr w:type="spellStart"/>
      <w:r w:rsidRPr="005554ED">
        <w:rPr>
          <w:color w:val="000000" w:themeColor="text1"/>
        </w:rPr>
        <w:t>Fäth</w:t>
      </w:r>
      <w:proofErr w:type="spellEnd"/>
      <w:r w:rsidRPr="005554ED">
        <w:rPr>
          <w:color w:val="000000" w:themeColor="text1"/>
        </w:rPr>
        <w:t xml:space="preserve">, M., &amp; </w:t>
      </w:r>
      <w:proofErr w:type="spellStart"/>
      <w:r w:rsidRPr="005554ED">
        <w:rPr>
          <w:color w:val="000000" w:themeColor="text1"/>
        </w:rPr>
        <w:t>Lamm</w:t>
      </w:r>
      <w:proofErr w:type="spellEnd"/>
      <w:r w:rsidRPr="005554ED">
        <w:rPr>
          <w:color w:val="000000" w:themeColor="text1"/>
        </w:rPr>
        <w:t xml:space="preserve">, H. (1988). Loneliness as related to various personality and environmental measures: Research with the German adaption of the UCLA Loneliness Scale. </w:t>
      </w:r>
      <w:r w:rsidRPr="005554ED">
        <w:rPr>
          <w:i/>
          <w:iCs/>
          <w:color w:val="000000" w:themeColor="text1"/>
        </w:rPr>
        <w:t>Social Behavior and Personality: An International Journal</w:t>
      </w:r>
      <w:r w:rsidRPr="005554ED">
        <w:rPr>
          <w:color w:val="000000" w:themeColor="text1"/>
        </w:rPr>
        <w:t xml:space="preserve">, </w:t>
      </w:r>
      <w:r w:rsidRPr="005554ED">
        <w:rPr>
          <w:i/>
          <w:iCs/>
          <w:color w:val="000000" w:themeColor="text1"/>
        </w:rPr>
        <w:t>16</w:t>
      </w:r>
      <w:r w:rsidRPr="005554ED">
        <w:rPr>
          <w:color w:val="000000" w:themeColor="text1"/>
        </w:rPr>
        <w:t xml:space="preserve">(2), 169–174. </w:t>
      </w:r>
      <w:hyperlink r:id="rId252" w:history="1">
        <w:r w:rsidRPr="005554ED">
          <w:rPr>
            <w:rStyle w:val="Hyperlink"/>
            <w:rFonts w:eastAsia="Arial"/>
            <w:color w:val="000000" w:themeColor="text1"/>
          </w:rPr>
          <w:t>https://doi.org/10.2224/sbp.1988.16.2.169</w:t>
        </w:r>
      </w:hyperlink>
    </w:p>
    <w:p w14:paraId="5389AD8D" w14:textId="77777777" w:rsidR="00B76713" w:rsidRPr="005554ED" w:rsidRDefault="00B76713" w:rsidP="00B76713">
      <w:pPr>
        <w:pStyle w:val="Bibliography"/>
        <w:rPr>
          <w:color w:val="000000" w:themeColor="text1"/>
        </w:rPr>
      </w:pPr>
      <w:proofErr w:type="spellStart"/>
      <w:r w:rsidRPr="005554ED">
        <w:rPr>
          <w:color w:val="000000" w:themeColor="text1"/>
        </w:rPr>
        <w:t>Stice</w:t>
      </w:r>
      <w:proofErr w:type="spellEnd"/>
      <w:r w:rsidRPr="005554ED">
        <w:rPr>
          <w:color w:val="000000" w:themeColor="text1"/>
        </w:rPr>
        <w:t xml:space="preserve">, L. V., &amp; </w:t>
      </w:r>
      <w:proofErr w:type="spellStart"/>
      <w:r w:rsidRPr="005554ED">
        <w:rPr>
          <w:color w:val="000000" w:themeColor="text1"/>
        </w:rPr>
        <w:t>Lavner</w:t>
      </w:r>
      <w:proofErr w:type="spellEnd"/>
      <w:r w:rsidRPr="005554ED">
        <w:rPr>
          <w:color w:val="000000" w:themeColor="text1"/>
        </w:rPr>
        <w:t xml:space="preserve">, J. A. (2019). Social connectedness and loneliness mediate the association between autistic traits and internalizing symptoms among young adults. </w:t>
      </w:r>
      <w:r w:rsidRPr="005554ED">
        <w:rPr>
          <w:i/>
          <w:iCs/>
          <w:color w:val="000000" w:themeColor="text1"/>
        </w:rPr>
        <w:t>Journal of Autism and Developmental Disorders</w:t>
      </w:r>
      <w:r w:rsidRPr="005554ED">
        <w:rPr>
          <w:color w:val="000000" w:themeColor="text1"/>
        </w:rPr>
        <w:t xml:space="preserve">, </w:t>
      </w:r>
      <w:r w:rsidRPr="005554ED">
        <w:rPr>
          <w:i/>
          <w:iCs/>
          <w:color w:val="000000" w:themeColor="text1"/>
        </w:rPr>
        <w:t>49</w:t>
      </w:r>
      <w:r w:rsidRPr="005554ED">
        <w:rPr>
          <w:color w:val="000000" w:themeColor="text1"/>
        </w:rPr>
        <w:t xml:space="preserve">(3), 1096–1110. </w:t>
      </w:r>
      <w:hyperlink r:id="rId253" w:history="1">
        <w:r w:rsidRPr="005554ED">
          <w:rPr>
            <w:rStyle w:val="Hyperlink"/>
            <w:rFonts w:eastAsia="Arial"/>
            <w:color w:val="000000" w:themeColor="text1"/>
          </w:rPr>
          <w:t>https://doi.org/10.1007/s10803-018-3812-6</w:t>
        </w:r>
      </w:hyperlink>
    </w:p>
    <w:p w14:paraId="63D3E90A" w14:textId="77777777" w:rsidR="00B76713" w:rsidRPr="005554ED" w:rsidRDefault="00B76713" w:rsidP="00B76713">
      <w:pPr>
        <w:pStyle w:val="Bibliography"/>
        <w:rPr>
          <w:color w:val="000000" w:themeColor="text1"/>
        </w:rPr>
      </w:pPr>
      <w:proofErr w:type="spellStart"/>
      <w:r w:rsidRPr="005554ED">
        <w:rPr>
          <w:color w:val="000000" w:themeColor="text1"/>
        </w:rPr>
        <w:t>Stöber</w:t>
      </w:r>
      <w:proofErr w:type="spellEnd"/>
      <w:r w:rsidRPr="005554ED">
        <w:rPr>
          <w:color w:val="000000" w:themeColor="text1"/>
        </w:rPr>
        <w:t xml:space="preserve">, J. (2003). Self-pity: Exploring the links to personality, control beliefs, and anger. </w:t>
      </w:r>
      <w:r w:rsidRPr="005554ED">
        <w:rPr>
          <w:i/>
          <w:iCs/>
          <w:color w:val="000000" w:themeColor="text1"/>
        </w:rPr>
        <w:t>Journal of Personality</w:t>
      </w:r>
      <w:r w:rsidRPr="005554ED">
        <w:rPr>
          <w:color w:val="000000" w:themeColor="text1"/>
        </w:rPr>
        <w:t xml:space="preserve">, </w:t>
      </w:r>
      <w:r w:rsidRPr="005554ED">
        <w:rPr>
          <w:i/>
          <w:iCs/>
          <w:color w:val="000000" w:themeColor="text1"/>
        </w:rPr>
        <w:t>71</w:t>
      </w:r>
      <w:r w:rsidRPr="005554ED">
        <w:rPr>
          <w:color w:val="000000" w:themeColor="text1"/>
        </w:rPr>
        <w:t xml:space="preserve">(2), 183–220. </w:t>
      </w:r>
      <w:hyperlink r:id="rId254" w:history="1">
        <w:r w:rsidRPr="005554ED">
          <w:rPr>
            <w:rStyle w:val="Hyperlink"/>
            <w:rFonts w:eastAsia="Arial"/>
            <w:color w:val="000000" w:themeColor="text1"/>
          </w:rPr>
          <w:t>https://doi.org/10.1111/1467-6494.7102004</w:t>
        </w:r>
      </w:hyperlink>
    </w:p>
    <w:p w14:paraId="53A01746" w14:textId="77777777" w:rsidR="00B76713" w:rsidRPr="005554ED" w:rsidRDefault="00B76713" w:rsidP="00B76713">
      <w:pPr>
        <w:pStyle w:val="Bibliography"/>
        <w:rPr>
          <w:color w:val="000000" w:themeColor="text1"/>
        </w:rPr>
      </w:pPr>
      <w:r w:rsidRPr="005554ED">
        <w:rPr>
          <w:color w:val="000000" w:themeColor="text1"/>
        </w:rPr>
        <w:t xml:space="preserve">Stokes, J. P. (1985). The relation of social network and individual difference variables to loneliness. </w:t>
      </w:r>
      <w:r w:rsidRPr="005554ED">
        <w:rPr>
          <w:i/>
          <w:iCs/>
          <w:color w:val="000000" w:themeColor="text1"/>
        </w:rPr>
        <w:t>Journal of Personality and Social Psychology</w:t>
      </w:r>
      <w:r w:rsidRPr="005554ED">
        <w:rPr>
          <w:color w:val="000000" w:themeColor="text1"/>
        </w:rPr>
        <w:t xml:space="preserve">, </w:t>
      </w:r>
      <w:r w:rsidRPr="005554ED">
        <w:rPr>
          <w:i/>
          <w:iCs/>
          <w:color w:val="000000" w:themeColor="text1"/>
        </w:rPr>
        <w:t>48</w:t>
      </w:r>
      <w:r w:rsidRPr="005554ED">
        <w:rPr>
          <w:color w:val="000000" w:themeColor="text1"/>
        </w:rPr>
        <w:t xml:space="preserve">(4), 981–990. </w:t>
      </w:r>
      <w:hyperlink r:id="rId255" w:history="1">
        <w:r w:rsidRPr="005554ED">
          <w:rPr>
            <w:rStyle w:val="Hyperlink"/>
            <w:rFonts w:eastAsia="Arial"/>
            <w:color w:val="000000" w:themeColor="text1"/>
          </w:rPr>
          <w:t>https://doi.org/10.1037/0022-3514.48.4.981</w:t>
        </w:r>
      </w:hyperlink>
    </w:p>
    <w:p w14:paraId="3FA9AED3" w14:textId="77777777" w:rsidR="00B76713" w:rsidRPr="005554ED" w:rsidRDefault="00B76713" w:rsidP="00B76713">
      <w:pPr>
        <w:pStyle w:val="Bibliography"/>
        <w:rPr>
          <w:color w:val="000000" w:themeColor="text1"/>
        </w:rPr>
      </w:pPr>
      <w:r w:rsidRPr="005554ED">
        <w:rPr>
          <w:color w:val="000000" w:themeColor="text1"/>
        </w:rPr>
        <w:t xml:space="preserve">Stokes, J. P., &amp; Levin, I. (1986). Gender differences in predicting loneliness from social network characteristics. </w:t>
      </w:r>
      <w:r w:rsidRPr="005554ED">
        <w:rPr>
          <w:i/>
          <w:iCs/>
          <w:color w:val="000000" w:themeColor="text1"/>
        </w:rPr>
        <w:t>Journal of Personality and Social Psychology</w:t>
      </w:r>
      <w:r w:rsidRPr="005554ED">
        <w:rPr>
          <w:color w:val="000000" w:themeColor="text1"/>
        </w:rPr>
        <w:t xml:space="preserve">, </w:t>
      </w:r>
      <w:r w:rsidRPr="005554ED">
        <w:rPr>
          <w:i/>
          <w:iCs/>
          <w:color w:val="000000" w:themeColor="text1"/>
        </w:rPr>
        <w:t>51</w:t>
      </w:r>
      <w:r w:rsidRPr="005554ED">
        <w:rPr>
          <w:color w:val="000000" w:themeColor="text1"/>
        </w:rPr>
        <w:t xml:space="preserve">(5), 1069–1074. </w:t>
      </w:r>
      <w:hyperlink r:id="rId256" w:history="1">
        <w:r w:rsidRPr="005554ED">
          <w:rPr>
            <w:rStyle w:val="Hyperlink"/>
            <w:rFonts w:eastAsia="Arial"/>
            <w:color w:val="000000" w:themeColor="text1"/>
          </w:rPr>
          <w:t>https://doi.org/10.1037/0022-3514.51.5.1069</w:t>
        </w:r>
      </w:hyperlink>
    </w:p>
    <w:p w14:paraId="6BA498AF" w14:textId="77777777" w:rsidR="00B76713" w:rsidRPr="005554ED" w:rsidRDefault="00B76713" w:rsidP="00B76713">
      <w:pPr>
        <w:pStyle w:val="Bibliography"/>
        <w:rPr>
          <w:color w:val="000000" w:themeColor="text1"/>
        </w:rPr>
      </w:pPr>
      <w:proofErr w:type="spellStart"/>
      <w:r w:rsidRPr="005554ED">
        <w:rPr>
          <w:color w:val="000000" w:themeColor="text1"/>
        </w:rPr>
        <w:t>Stoliker</w:t>
      </w:r>
      <w:proofErr w:type="spellEnd"/>
      <w:r w:rsidRPr="005554ED">
        <w:rPr>
          <w:color w:val="000000" w:themeColor="text1"/>
        </w:rPr>
        <w:t xml:space="preserve">, B. E., &amp; </w:t>
      </w:r>
      <w:proofErr w:type="spellStart"/>
      <w:r w:rsidRPr="005554ED">
        <w:rPr>
          <w:color w:val="000000" w:themeColor="text1"/>
        </w:rPr>
        <w:t>Lafreniere</w:t>
      </w:r>
      <w:proofErr w:type="spellEnd"/>
      <w:r w:rsidRPr="005554ED">
        <w:rPr>
          <w:color w:val="000000" w:themeColor="text1"/>
        </w:rPr>
        <w:t xml:space="preserve">, K. D. (2015). The influence of perceived stress, loneliness, and learning burnout on university students’ educational experience. </w:t>
      </w:r>
      <w:r w:rsidRPr="005554ED">
        <w:rPr>
          <w:i/>
          <w:iCs/>
          <w:color w:val="000000" w:themeColor="text1"/>
        </w:rPr>
        <w:t>College Student Journal</w:t>
      </w:r>
      <w:r w:rsidRPr="005554ED">
        <w:rPr>
          <w:color w:val="000000" w:themeColor="text1"/>
        </w:rPr>
        <w:t xml:space="preserve">, </w:t>
      </w:r>
      <w:r w:rsidRPr="005554ED">
        <w:rPr>
          <w:i/>
          <w:iCs/>
          <w:color w:val="000000" w:themeColor="text1"/>
        </w:rPr>
        <w:t>49</w:t>
      </w:r>
      <w:r w:rsidRPr="005554ED">
        <w:rPr>
          <w:color w:val="000000" w:themeColor="text1"/>
        </w:rPr>
        <w:t>(1), 146–160.</w:t>
      </w:r>
    </w:p>
    <w:p w14:paraId="24826F15" w14:textId="77777777" w:rsidR="00B76713" w:rsidRPr="005554ED" w:rsidRDefault="00B76713" w:rsidP="00B76713">
      <w:pPr>
        <w:pStyle w:val="Bibliography"/>
        <w:rPr>
          <w:color w:val="000000" w:themeColor="text1"/>
        </w:rPr>
      </w:pPr>
      <w:r w:rsidRPr="005554ED">
        <w:rPr>
          <w:color w:val="000000" w:themeColor="text1"/>
        </w:rPr>
        <w:lastRenderedPageBreak/>
        <w:t xml:space="preserve">Storch, E. A., Roth, D. A., Coles, M. E., Heimberg, R. G., </w:t>
      </w:r>
      <w:proofErr w:type="spellStart"/>
      <w:r w:rsidRPr="005554ED">
        <w:rPr>
          <w:color w:val="000000" w:themeColor="text1"/>
        </w:rPr>
        <w:t>Bravata</w:t>
      </w:r>
      <w:proofErr w:type="spellEnd"/>
      <w:r w:rsidRPr="005554ED">
        <w:rPr>
          <w:color w:val="000000" w:themeColor="text1"/>
        </w:rPr>
        <w:t xml:space="preserve">, E. A., &amp; Moser, J. (2004). The measurement and impact of childhood teasing in a sample of young adults. </w:t>
      </w:r>
      <w:r w:rsidRPr="005554ED">
        <w:rPr>
          <w:i/>
          <w:iCs/>
          <w:color w:val="000000" w:themeColor="text1"/>
        </w:rPr>
        <w:t>Journal of Anxiety Disorders</w:t>
      </w:r>
      <w:r w:rsidRPr="005554ED">
        <w:rPr>
          <w:color w:val="000000" w:themeColor="text1"/>
        </w:rPr>
        <w:t xml:space="preserve">, </w:t>
      </w:r>
      <w:r w:rsidRPr="005554ED">
        <w:rPr>
          <w:i/>
          <w:iCs/>
          <w:color w:val="000000" w:themeColor="text1"/>
        </w:rPr>
        <w:t>18</w:t>
      </w:r>
      <w:r w:rsidRPr="005554ED">
        <w:rPr>
          <w:color w:val="000000" w:themeColor="text1"/>
        </w:rPr>
        <w:t xml:space="preserve">(5), 681–694. </w:t>
      </w:r>
      <w:hyperlink r:id="rId257" w:history="1">
        <w:r w:rsidRPr="005554ED">
          <w:rPr>
            <w:rStyle w:val="Hyperlink"/>
            <w:rFonts w:eastAsia="Arial"/>
            <w:color w:val="000000" w:themeColor="text1"/>
          </w:rPr>
          <w:t>https://doi.org/10.1016/j.janxdis.2003.09.003</w:t>
        </w:r>
      </w:hyperlink>
    </w:p>
    <w:p w14:paraId="3AEC35B2" w14:textId="77777777" w:rsidR="00B76713" w:rsidRPr="005554ED" w:rsidRDefault="00B76713" w:rsidP="00B76713">
      <w:pPr>
        <w:pStyle w:val="Bibliography"/>
        <w:rPr>
          <w:color w:val="000000" w:themeColor="text1"/>
        </w:rPr>
      </w:pPr>
      <w:r w:rsidRPr="005554ED">
        <w:rPr>
          <w:color w:val="000000" w:themeColor="text1"/>
        </w:rPr>
        <w:t xml:space="preserve">Strawser, M. S., Storch, E. A., &amp; Roberti, J. W. (2005). The teasing questionnaire-revised: Measurement of childhood teasing in adults. </w:t>
      </w:r>
      <w:r w:rsidRPr="005554ED">
        <w:rPr>
          <w:i/>
          <w:iCs/>
          <w:color w:val="000000" w:themeColor="text1"/>
        </w:rPr>
        <w:t>Journal of Anxiety Disorders</w:t>
      </w:r>
      <w:r w:rsidRPr="005554ED">
        <w:rPr>
          <w:color w:val="000000" w:themeColor="text1"/>
        </w:rPr>
        <w:t xml:space="preserve">, </w:t>
      </w:r>
      <w:r w:rsidRPr="005554ED">
        <w:rPr>
          <w:i/>
          <w:iCs/>
          <w:color w:val="000000" w:themeColor="text1"/>
        </w:rPr>
        <w:t>19</w:t>
      </w:r>
      <w:r w:rsidRPr="005554ED">
        <w:rPr>
          <w:color w:val="000000" w:themeColor="text1"/>
        </w:rPr>
        <w:t xml:space="preserve">(7), 780–792. </w:t>
      </w:r>
      <w:hyperlink r:id="rId258" w:history="1">
        <w:r w:rsidRPr="005554ED">
          <w:rPr>
            <w:rStyle w:val="Hyperlink"/>
            <w:rFonts w:eastAsia="Arial"/>
            <w:color w:val="000000" w:themeColor="text1"/>
          </w:rPr>
          <w:t>https://doi.org/10.1016/j.janxdis.2004.09.005</w:t>
        </w:r>
      </w:hyperlink>
    </w:p>
    <w:p w14:paraId="12D4C8EE" w14:textId="77777777" w:rsidR="00B76713" w:rsidRPr="005554ED" w:rsidRDefault="00B76713" w:rsidP="00B76713">
      <w:pPr>
        <w:pStyle w:val="Bibliography"/>
        <w:rPr>
          <w:color w:val="000000" w:themeColor="text1"/>
          <w:lang w:val="de-DE"/>
        </w:rPr>
      </w:pPr>
      <w:r w:rsidRPr="005554ED">
        <w:rPr>
          <w:color w:val="000000" w:themeColor="text1"/>
        </w:rPr>
        <w:t xml:space="preserve">Sumi, K. (2009). Development of a short form of the Japanese version of the Interpersonal Relationship Inventory. </w:t>
      </w:r>
      <w:r w:rsidRPr="005554ED">
        <w:rPr>
          <w:i/>
          <w:iCs/>
          <w:color w:val="000000" w:themeColor="text1"/>
          <w:lang w:val="de-DE"/>
        </w:rPr>
        <w:t>Psychological Reports</w:t>
      </w:r>
      <w:r w:rsidRPr="005554ED">
        <w:rPr>
          <w:color w:val="000000" w:themeColor="text1"/>
          <w:lang w:val="de-DE"/>
        </w:rPr>
        <w:t xml:space="preserve">, </w:t>
      </w:r>
      <w:r w:rsidRPr="005554ED">
        <w:rPr>
          <w:i/>
          <w:iCs/>
          <w:color w:val="000000" w:themeColor="text1"/>
          <w:lang w:val="de-DE"/>
        </w:rPr>
        <w:t>105</w:t>
      </w:r>
      <w:r w:rsidRPr="005554ED">
        <w:rPr>
          <w:color w:val="000000" w:themeColor="text1"/>
          <w:lang w:val="de-DE"/>
        </w:rPr>
        <w:t xml:space="preserve">(2), 610–624. </w:t>
      </w:r>
      <w:hyperlink r:id="rId259" w:history="1">
        <w:r w:rsidRPr="005554ED">
          <w:rPr>
            <w:rStyle w:val="Hyperlink"/>
            <w:rFonts w:eastAsia="Arial"/>
            <w:color w:val="000000" w:themeColor="text1"/>
            <w:lang w:val="de-DE"/>
          </w:rPr>
          <w:t>https://doi.org/10.2466/PR0.105.2.610-624</w:t>
        </w:r>
      </w:hyperlink>
    </w:p>
    <w:p w14:paraId="082D0F15" w14:textId="77777777" w:rsidR="00B76713" w:rsidRPr="005554ED" w:rsidRDefault="00B76713" w:rsidP="00B76713">
      <w:pPr>
        <w:pStyle w:val="Bibliography"/>
        <w:rPr>
          <w:color w:val="000000" w:themeColor="text1"/>
        </w:rPr>
      </w:pPr>
      <w:r w:rsidRPr="005554ED">
        <w:rPr>
          <w:color w:val="000000" w:themeColor="text1"/>
          <w:lang w:val="de-DE"/>
        </w:rPr>
        <w:t xml:space="preserve">Sun, Q.-W., Wang, C. D. C., &amp; Jiang, G.-R. (2017). </w:t>
      </w:r>
      <w:r w:rsidRPr="005554ED">
        <w:rPr>
          <w:color w:val="000000" w:themeColor="text1"/>
        </w:rPr>
        <w:t xml:space="preserve">Culture-based emotional working models of attachment, western-based attachment, and psychosocial functioning of Chinese young adults. </w:t>
      </w:r>
      <w:r w:rsidRPr="005554ED">
        <w:rPr>
          <w:i/>
          <w:iCs/>
          <w:color w:val="000000" w:themeColor="text1"/>
        </w:rPr>
        <w:t>International Perspectives in Psychology: Research, Practice, Consultation</w:t>
      </w:r>
      <w:r w:rsidRPr="005554ED">
        <w:rPr>
          <w:color w:val="000000" w:themeColor="text1"/>
        </w:rPr>
        <w:t xml:space="preserve">, </w:t>
      </w:r>
      <w:r w:rsidRPr="005554ED">
        <w:rPr>
          <w:i/>
          <w:iCs/>
          <w:color w:val="000000" w:themeColor="text1"/>
        </w:rPr>
        <w:t>6</w:t>
      </w:r>
      <w:r w:rsidRPr="005554ED">
        <w:rPr>
          <w:color w:val="000000" w:themeColor="text1"/>
        </w:rPr>
        <w:t xml:space="preserve">(4), 195–208. </w:t>
      </w:r>
      <w:hyperlink r:id="rId260" w:history="1">
        <w:r w:rsidRPr="005554ED">
          <w:rPr>
            <w:rStyle w:val="Hyperlink"/>
            <w:rFonts w:eastAsia="Arial"/>
            <w:color w:val="000000" w:themeColor="text1"/>
          </w:rPr>
          <w:t>https://doi.org/10.1037/ipp0000075</w:t>
        </w:r>
      </w:hyperlink>
    </w:p>
    <w:p w14:paraId="43A84A15" w14:textId="77777777" w:rsidR="00B76713" w:rsidRPr="005554ED" w:rsidRDefault="00B76713" w:rsidP="00B76713">
      <w:pPr>
        <w:pStyle w:val="Bibliography"/>
        <w:rPr>
          <w:color w:val="000000" w:themeColor="text1"/>
        </w:rPr>
      </w:pPr>
      <w:r w:rsidRPr="005554ED">
        <w:rPr>
          <w:color w:val="000000" w:themeColor="text1"/>
        </w:rPr>
        <w:t>Swami, V., Chamorro-</w:t>
      </w:r>
      <w:proofErr w:type="spellStart"/>
      <w:r w:rsidRPr="005554ED">
        <w:rPr>
          <w:color w:val="000000" w:themeColor="text1"/>
        </w:rPr>
        <w:t>Premuzic</w:t>
      </w:r>
      <w:proofErr w:type="spellEnd"/>
      <w:r w:rsidRPr="005554ED">
        <w:rPr>
          <w:color w:val="000000" w:themeColor="text1"/>
        </w:rPr>
        <w:t xml:space="preserve">, T., </w:t>
      </w:r>
      <w:proofErr w:type="spellStart"/>
      <w:r w:rsidRPr="005554ED">
        <w:rPr>
          <w:color w:val="000000" w:themeColor="text1"/>
        </w:rPr>
        <w:t>Sinniah</w:t>
      </w:r>
      <w:proofErr w:type="spellEnd"/>
      <w:r w:rsidRPr="005554ED">
        <w:rPr>
          <w:color w:val="000000" w:themeColor="text1"/>
        </w:rPr>
        <w:t xml:space="preserve">, D., </w:t>
      </w:r>
      <w:proofErr w:type="spellStart"/>
      <w:r w:rsidRPr="005554ED">
        <w:rPr>
          <w:color w:val="000000" w:themeColor="text1"/>
        </w:rPr>
        <w:t>Maniam</w:t>
      </w:r>
      <w:proofErr w:type="spellEnd"/>
      <w:r w:rsidRPr="005554ED">
        <w:rPr>
          <w:color w:val="000000" w:themeColor="text1"/>
        </w:rPr>
        <w:t xml:space="preserve">, T., Kannan, K., Stanistreet, D., &amp; Furnham, A. (2007). General health mediates the relationship between loneliness, life satisfaction and depression. A study with Malaysian medical students. </w:t>
      </w:r>
      <w:r w:rsidRPr="005554ED">
        <w:rPr>
          <w:i/>
          <w:iCs/>
          <w:color w:val="000000" w:themeColor="text1"/>
        </w:rPr>
        <w:t>Social Psychiatry and Psychiatric Epidemiology</w:t>
      </w:r>
      <w:r w:rsidRPr="005554ED">
        <w:rPr>
          <w:color w:val="000000" w:themeColor="text1"/>
        </w:rPr>
        <w:t xml:space="preserve">, </w:t>
      </w:r>
      <w:r w:rsidRPr="005554ED">
        <w:rPr>
          <w:i/>
          <w:iCs/>
          <w:color w:val="000000" w:themeColor="text1"/>
        </w:rPr>
        <w:t>42</w:t>
      </w:r>
      <w:r w:rsidRPr="005554ED">
        <w:rPr>
          <w:color w:val="000000" w:themeColor="text1"/>
        </w:rPr>
        <w:t xml:space="preserve">(2), 161–166. </w:t>
      </w:r>
      <w:hyperlink r:id="rId261" w:history="1">
        <w:r w:rsidRPr="005554ED">
          <w:rPr>
            <w:rStyle w:val="Hyperlink"/>
            <w:rFonts w:eastAsia="Arial"/>
            <w:color w:val="000000" w:themeColor="text1"/>
          </w:rPr>
          <w:t>https://doi.org/10.1007/s00127-006-0140-5</w:t>
        </w:r>
      </w:hyperlink>
    </w:p>
    <w:p w14:paraId="2A2EDCF9" w14:textId="77777777" w:rsidR="00B76713" w:rsidRPr="005554ED" w:rsidRDefault="00B76713" w:rsidP="00B76713">
      <w:pPr>
        <w:pStyle w:val="Bibliography"/>
        <w:rPr>
          <w:color w:val="000000" w:themeColor="text1"/>
        </w:rPr>
      </w:pPr>
      <w:r w:rsidRPr="005554ED">
        <w:rPr>
          <w:color w:val="000000" w:themeColor="text1"/>
        </w:rPr>
        <w:t xml:space="preserve">Takao, M., Takahashi, S., &amp; Kitamura, M. (2009). Addictive personality and problematic mobile phone use. </w:t>
      </w:r>
      <w:proofErr w:type="spellStart"/>
      <w:r w:rsidRPr="005554ED">
        <w:rPr>
          <w:i/>
          <w:iCs/>
          <w:color w:val="000000" w:themeColor="text1"/>
        </w:rPr>
        <w:t>CyberPsychology</w:t>
      </w:r>
      <w:proofErr w:type="spellEnd"/>
      <w:r w:rsidRPr="005554ED">
        <w:rPr>
          <w:i/>
          <w:iCs/>
          <w:color w:val="000000" w:themeColor="text1"/>
        </w:rPr>
        <w:t xml:space="preserve"> &amp; Behavior</w:t>
      </w:r>
      <w:r w:rsidRPr="005554ED">
        <w:rPr>
          <w:color w:val="000000" w:themeColor="text1"/>
        </w:rPr>
        <w:t xml:space="preserve">, </w:t>
      </w:r>
      <w:r w:rsidRPr="005554ED">
        <w:rPr>
          <w:i/>
          <w:iCs/>
          <w:color w:val="000000" w:themeColor="text1"/>
        </w:rPr>
        <w:t>12</w:t>
      </w:r>
      <w:r w:rsidRPr="005554ED">
        <w:rPr>
          <w:color w:val="000000" w:themeColor="text1"/>
        </w:rPr>
        <w:t>(5), 501–507.</w:t>
      </w:r>
    </w:p>
    <w:p w14:paraId="62E01206" w14:textId="77777777" w:rsidR="00B76713" w:rsidRPr="005554ED" w:rsidRDefault="00B76713" w:rsidP="00B76713">
      <w:pPr>
        <w:pStyle w:val="Bibliography"/>
        <w:rPr>
          <w:color w:val="000000" w:themeColor="text1"/>
        </w:rPr>
      </w:pPr>
      <w:r w:rsidRPr="005554ED">
        <w:rPr>
          <w:color w:val="000000" w:themeColor="text1"/>
        </w:rPr>
        <w:t xml:space="preserve">Takeuchi, H., Taki, Y., </w:t>
      </w:r>
      <w:proofErr w:type="spellStart"/>
      <w:r w:rsidRPr="005554ED">
        <w:rPr>
          <w:color w:val="000000" w:themeColor="text1"/>
        </w:rPr>
        <w:t>Nouchi</w:t>
      </w:r>
      <w:proofErr w:type="spellEnd"/>
      <w:r w:rsidRPr="005554ED">
        <w:rPr>
          <w:color w:val="000000" w:themeColor="text1"/>
        </w:rPr>
        <w:t xml:space="preserve">, R., Yokoyama, R., </w:t>
      </w:r>
      <w:proofErr w:type="spellStart"/>
      <w:r w:rsidRPr="005554ED">
        <w:rPr>
          <w:color w:val="000000" w:themeColor="text1"/>
        </w:rPr>
        <w:t>Kotozaki</w:t>
      </w:r>
      <w:proofErr w:type="spellEnd"/>
      <w:r w:rsidRPr="005554ED">
        <w:rPr>
          <w:color w:val="000000" w:themeColor="text1"/>
        </w:rPr>
        <w:t xml:space="preserve">, Y., Nakagawa, S., Sekiguchi, A., Iizuka, K., Yamamoto, Y., </w:t>
      </w:r>
      <w:proofErr w:type="spellStart"/>
      <w:r w:rsidRPr="005554ED">
        <w:rPr>
          <w:color w:val="000000" w:themeColor="text1"/>
        </w:rPr>
        <w:t>Hanawa</w:t>
      </w:r>
      <w:proofErr w:type="spellEnd"/>
      <w:r w:rsidRPr="005554ED">
        <w:rPr>
          <w:color w:val="000000" w:themeColor="text1"/>
        </w:rPr>
        <w:t xml:space="preserve">, S., Araki, T., </w:t>
      </w:r>
      <w:proofErr w:type="spellStart"/>
      <w:r w:rsidRPr="005554ED">
        <w:rPr>
          <w:color w:val="000000" w:themeColor="text1"/>
        </w:rPr>
        <w:t>Miyauchi</w:t>
      </w:r>
      <w:proofErr w:type="spellEnd"/>
      <w:r w:rsidRPr="005554ED">
        <w:rPr>
          <w:color w:val="000000" w:themeColor="text1"/>
        </w:rPr>
        <w:t xml:space="preserve">, C. M., Sakaki, K., Nozawa, T., Ikeda, S., Yokota, S., </w:t>
      </w:r>
      <w:proofErr w:type="spellStart"/>
      <w:r w:rsidRPr="005554ED">
        <w:rPr>
          <w:color w:val="000000" w:themeColor="text1"/>
        </w:rPr>
        <w:t>Magistro</w:t>
      </w:r>
      <w:proofErr w:type="spellEnd"/>
      <w:r w:rsidRPr="005554ED">
        <w:rPr>
          <w:color w:val="000000" w:themeColor="text1"/>
        </w:rPr>
        <w:t xml:space="preserve">, D., </w:t>
      </w:r>
      <w:proofErr w:type="spellStart"/>
      <w:r w:rsidRPr="005554ED">
        <w:rPr>
          <w:color w:val="000000" w:themeColor="text1"/>
        </w:rPr>
        <w:t>Sassa</w:t>
      </w:r>
      <w:proofErr w:type="spellEnd"/>
      <w:r w:rsidRPr="005554ED">
        <w:rPr>
          <w:color w:val="000000" w:themeColor="text1"/>
        </w:rPr>
        <w:t xml:space="preserve">, Y., &amp; Kawashima, R. (2018). The effects </w:t>
      </w:r>
      <w:r w:rsidRPr="005554ED">
        <w:rPr>
          <w:color w:val="000000" w:themeColor="text1"/>
        </w:rPr>
        <w:lastRenderedPageBreak/>
        <w:t xml:space="preserve">of family socioeconomic status on psychological and neural mechanisms as well as their sex differences. </w:t>
      </w:r>
      <w:r w:rsidRPr="005554ED">
        <w:rPr>
          <w:i/>
          <w:iCs/>
          <w:color w:val="000000" w:themeColor="text1"/>
        </w:rPr>
        <w:t>Frontiers in Human Neuroscience</w:t>
      </w:r>
      <w:r w:rsidRPr="005554ED">
        <w:rPr>
          <w:color w:val="000000" w:themeColor="text1"/>
        </w:rPr>
        <w:t xml:space="preserve">, </w:t>
      </w:r>
      <w:r w:rsidRPr="005554ED">
        <w:rPr>
          <w:i/>
          <w:iCs/>
          <w:color w:val="000000" w:themeColor="text1"/>
        </w:rPr>
        <w:t>12</w:t>
      </w:r>
      <w:r w:rsidRPr="005554ED">
        <w:rPr>
          <w:color w:val="000000" w:themeColor="text1"/>
        </w:rPr>
        <w:t xml:space="preserve">, 543. </w:t>
      </w:r>
      <w:hyperlink r:id="rId262" w:history="1">
        <w:r w:rsidRPr="005554ED">
          <w:rPr>
            <w:rStyle w:val="Hyperlink"/>
            <w:rFonts w:eastAsia="Arial"/>
            <w:color w:val="000000" w:themeColor="text1"/>
          </w:rPr>
          <w:t>https://doi.org/10.3389/fnhum.2018.00543</w:t>
        </w:r>
      </w:hyperlink>
    </w:p>
    <w:p w14:paraId="49205AA7" w14:textId="77777777" w:rsidR="00B76713" w:rsidRPr="005554ED" w:rsidRDefault="00B76713" w:rsidP="00B76713">
      <w:pPr>
        <w:pStyle w:val="Bibliography"/>
        <w:rPr>
          <w:color w:val="000000" w:themeColor="text1"/>
        </w:rPr>
      </w:pPr>
      <w:r w:rsidRPr="005554ED">
        <w:rPr>
          <w:color w:val="000000" w:themeColor="text1"/>
        </w:rPr>
        <w:t xml:space="preserve">Taliaferro, L. A., </w:t>
      </w:r>
      <w:proofErr w:type="spellStart"/>
      <w:r w:rsidRPr="005554ED">
        <w:rPr>
          <w:color w:val="000000" w:themeColor="text1"/>
        </w:rPr>
        <w:t>Rienzo</w:t>
      </w:r>
      <w:proofErr w:type="spellEnd"/>
      <w:r w:rsidRPr="005554ED">
        <w:rPr>
          <w:color w:val="000000" w:themeColor="text1"/>
        </w:rPr>
        <w:t xml:space="preserve">, B. A., Miller, M. D., Pigg, R. M., &amp; Dodd, V. J. (2010). Potential mediating pathways through which sports participation relates to reduced risk of suicidal ideation. </w:t>
      </w:r>
      <w:r w:rsidRPr="005554ED">
        <w:rPr>
          <w:i/>
          <w:iCs/>
          <w:color w:val="000000" w:themeColor="text1"/>
        </w:rPr>
        <w:t>Research Quarterly for Exercise and Sport</w:t>
      </w:r>
      <w:r w:rsidRPr="005554ED">
        <w:rPr>
          <w:color w:val="000000" w:themeColor="text1"/>
        </w:rPr>
        <w:t xml:space="preserve">, </w:t>
      </w:r>
      <w:r w:rsidRPr="005554ED">
        <w:rPr>
          <w:i/>
          <w:iCs/>
          <w:color w:val="000000" w:themeColor="text1"/>
        </w:rPr>
        <w:t>81</w:t>
      </w:r>
      <w:r w:rsidRPr="005554ED">
        <w:rPr>
          <w:color w:val="000000" w:themeColor="text1"/>
        </w:rPr>
        <w:t xml:space="preserve">(3), 328–339. </w:t>
      </w:r>
      <w:hyperlink r:id="rId263" w:history="1">
        <w:r w:rsidRPr="005554ED">
          <w:rPr>
            <w:rStyle w:val="Hyperlink"/>
            <w:rFonts w:eastAsia="Arial"/>
            <w:color w:val="000000" w:themeColor="text1"/>
          </w:rPr>
          <w:t>https://doi.org/10.1080/02701367.2010.10599681</w:t>
        </w:r>
      </w:hyperlink>
    </w:p>
    <w:p w14:paraId="794296C6" w14:textId="77777777" w:rsidR="00B76713" w:rsidRPr="005554ED" w:rsidRDefault="00B76713" w:rsidP="00B76713">
      <w:pPr>
        <w:pStyle w:val="Bibliography"/>
        <w:rPr>
          <w:color w:val="000000" w:themeColor="text1"/>
        </w:rPr>
      </w:pPr>
      <w:r w:rsidRPr="005554ED">
        <w:rPr>
          <w:color w:val="000000" w:themeColor="text1"/>
        </w:rPr>
        <w:t xml:space="preserve">Tam, K. Y. Y., &amp; Chan, C. S. (2019). The effects of lack of meaning on trait and state loneliness: Correlational and experience-sampling evidence. </w:t>
      </w:r>
      <w:r w:rsidRPr="005554ED">
        <w:rPr>
          <w:i/>
          <w:iCs/>
          <w:color w:val="000000" w:themeColor="text1"/>
        </w:rPr>
        <w:t>Personality and Individual Differences</w:t>
      </w:r>
      <w:r w:rsidRPr="005554ED">
        <w:rPr>
          <w:color w:val="000000" w:themeColor="text1"/>
        </w:rPr>
        <w:t xml:space="preserve">, </w:t>
      </w:r>
      <w:r w:rsidRPr="005554ED">
        <w:rPr>
          <w:i/>
          <w:iCs/>
          <w:color w:val="000000" w:themeColor="text1"/>
        </w:rPr>
        <w:t>141</w:t>
      </w:r>
      <w:r w:rsidRPr="005554ED">
        <w:rPr>
          <w:color w:val="000000" w:themeColor="text1"/>
        </w:rPr>
        <w:t xml:space="preserve">, 76–80. </w:t>
      </w:r>
      <w:hyperlink r:id="rId264" w:history="1">
        <w:r w:rsidRPr="005554ED">
          <w:rPr>
            <w:rStyle w:val="Hyperlink"/>
            <w:rFonts w:eastAsia="Arial"/>
            <w:color w:val="000000" w:themeColor="text1"/>
          </w:rPr>
          <w:t>https://doi.org/10.1016/j.paid.2018.12.023</w:t>
        </w:r>
      </w:hyperlink>
    </w:p>
    <w:p w14:paraId="0A9F2F88" w14:textId="77777777" w:rsidR="00B76713" w:rsidRPr="005554ED" w:rsidRDefault="00B76713" w:rsidP="00B76713">
      <w:pPr>
        <w:pStyle w:val="Bibliography"/>
        <w:rPr>
          <w:color w:val="000000" w:themeColor="text1"/>
        </w:rPr>
      </w:pPr>
      <w:r w:rsidRPr="005554ED">
        <w:rPr>
          <w:color w:val="000000" w:themeColor="text1"/>
        </w:rPr>
        <w:t xml:space="preserve">Tan, K.-A. (2019). The effects of personal susceptibility and social support on Internet addiction: An application of Adler’s theory of Individual Psychology. </w:t>
      </w:r>
      <w:r w:rsidRPr="005554ED">
        <w:rPr>
          <w:i/>
          <w:iCs/>
          <w:color w:val="000000" w:themeColor="text1"/>
        </w:rPr>
        <w:t>International Journal of Mental Health and Addiction</w:t>
      </w:r>
      <w:r w:rsidRPr="005554ED">
        <w:rPr>
          <w:color w:val="000000" w:themeColor="text1"/>
        </w:rPr>
        <w:t xml:space="preserve">, </w:t>
      </w:r>
      <w:r w:rsidRPr="005554ED">
        <w:rPr>
          <w:i/>
          <w:iCs/>
          <w:color w:val="000000" w:themeColor="text1"/>
        </w:rPr>
        <w:t>17</w:t>
      </w:r>
      <w:r w:rsidRPr="005554ED">
        <w:rPr>
          <w:color w:val="000000" w:themeColor="text1"/>
        </w:rPr>
        <w:t xml:space="preserve">(4), 806–816. </w:t>
      </w:r>
      <w:hyperlink r:id="rId265" w:history="1">
        <w:r w:rsidRPr="005554ED">
          <w:rPr>
            <w:rStyle w:val="Hyperlink"/>
            <w:rFonts w:eastAsia="Arial"/>
            <w:color w:val="000000" w:themeColor="text1"/>
          </w:rPr>
          <w:t>https://doi.org/10.1007/s11469-018-9871-2</w:t>
        </w:r>
      </w:hyperlink>
    </w:p>
    <w:p w14:paraId="17EF22CA" w14:textId="77777777" w:rsidR="00B76713" w:rsidRPr="005554ED" w:rsidRDefault="00B76713" w:rsidP="00B76713">
      <w:pPr>
        <w:pStyle w:val="Bibliography"/>
        <w:rPr>
          <w:color w:val="000000" w:themeColor="text1"/>
        </w:rPr>
      </w:pPr>
      <w:r w:rsidRPr="005554ED">
        <w:rPr>
          <w:color w:val="000000" w:themeColor="text1"/>
        </w:rPr>
        <w:t xml:space="preserve">Taniguchi, E. (2018). Loneliness and inducing incremental theories of social interactions to produce adaptive change. </w:t>
      </w:r>
      <w:r w:rsidRPr="005554ED">
        <w:rPr>
          <w:i/>
          <w:iCs/>
          <w:color w:val="000000" w:themeColor="text1"/>
        </w:rPr>
        <w:t>Personal Relationships</w:t>
      </w:r>
      <w:r w:rsidRPr="005554ED">
        <w:rPr>
          <w:color w:val="000000" w:themeColor="text1"/>
        </w:rPr>
        <w:t xml:space="preserve">, </w:t>
      </w:r>
      <w:r w:rsidRPr="005554ED">
        <w:rPr>
          <w:i/>
          <w:iCs/>
          <w:color w:val="000000" w:themeColor="text1"/>
        </w:rPr>
        <w:t>25</w:t>
      </w:r>
      <w:r w:rsidRPr="005554ED">
        <w:rPr>
          <w:color w:val="000000" w:themeColor="text1"/>
        </w:rPr>
        <w:t xml:space="preserve">(3), 394–410. </w:t>
      </w:r>
      <w:hyperlink r:id="rId266" w:history="1">
        <w:r w:rsidRPr="005554ED">
          <w:rPr>
            <w:rStyle w:val="Hyperlink"/>
            <w:rFonts w:eastAsia="Arial"/>
            <w:color w:val="000000" w:themeColor="text1"/>
          </w:rPr>
          <w:t>https://doi.org/10.1111/pere.12250</w:t>
        </w:r>
      </w:hyperlink>
    </w:p>
    <w:p w14:paraId="4C166391" w14:textId="77777777" w:rsidR="00B76713" w:rsidRPr="005554ED" w:rsidRDefault="00B76713" w:rsidP="00B76713">
      <w:pPr>
        <w:pStyle w:val="Bibliography"/>
        <w:rPr>
          <w:color w:val="000000" w:themeColor="text1"/>
        </w:rPr>
      </w:pPr>
      <w:r w:rsidRPr="005554ED">
        <w:rPr>
          <w:color w:val="000000" w:themeColor="text1"/>
        </w:rPr>
        <w:t xml:space="preserve">Tian, Y., </w:t>
      </w:r>
      <w:proofErr w:type="spellStart"/>
      <w:r w:rsidRPr="005554ED">
        <w:rPr>
          <w:color w:val="000000" w:themeColor="text1"/>
        </w:rPr>
        <w:t>Bian</w:t>
      </w:r>
      <w:proofErr w:type="spellEnd"/>
      <w:r w:rsidRPr="005554ED">
        <w:rPr>
          <w:color w:val="000000" w:themeColor="text1"/>
        </w:rPr>
        <w:t xml:space="preserve">, Y., Han, P., Gao, F., &amp; Wang, P. (2017). Associations between psychosocial factors and generalized pathological internet use in Chinese university students: A longitudinal cross-lagged analysis. </w:t>
      </w:r>
      <w:r w:rsidRPr="005554ED">
        <w:rPr>
          <w:i/>
          <w:iCs/>
          <w:color w:val="000000" w:themeColor="text1"/>
        </w:rPr>
        <w:t>Computers in Human Behavior</w:t>
      </w:r>
      <w:r w:rsidRPr="005554ED">
        <w:rPr>
          <w:color w:val="000000" w:themeColor="text1"/>
        </w:rPr>
        <w:t xml:space="preserve">, </w:t>
      </w:r>
      <w:r w:rsidRPr="005554ED">
        <w:rPr>
          <w:i/>
          <w:iCs/>
          <w:color w:val="000000" w:themeColor="text1"/>
        </w:rPr>
        <w:t>72</w:t>
      </w:r>
      <w:r w:rsidRPr="005554ED">
        <w:rPr>
          <w:color w:val="000000" w:themeColor="text1"/>
        </w:rPr>
        <w:t xml:space="preserve">, 178–188. </w:t>
      </w:r>
      <w:hyperlink r:id="rId267" w:history="1">
        <w:r w:rsidRPr="005554ED">
          <w:rPr>
            <w:rStyle w:val="Hyperlink"/>
            <w:rFonts w:eastAsia="Arial"/>
            <w:color w:val="000000" w:themeColor="text1"/>
          </w:rPr>
          <w:t>https://doi.org/10.1016/j.chb.2017.02.048</w:t>
        </w:r>
      </w:hyperlink>
    </w:p>
    <w:p w14:paraId="11F696C2" w14:textId="77777777" w:rsidR="00B76713" w:rsidRPr="005554ED" w:rsidRDefault="00B76713" w:rsidP="00B76713">
      <w:pPr>
        <w:pStyle w:val="Bibliography"/>
        <w:rPr>
          <w:color w:val="000000" w:themeColor="text1"/>
        </w:rPr>
      </w:pPr>
      <w:r w:rsidRPr="005554ED">
        <w:rPr>
          <w:color w:val="000000" w:themeColor="text1"/>
        </w:rPr>
        <w:t xml:space="preserve">Timpano, K. R., </w:t>
      </w:r>
      <w:proofErr w:type="spellStart"/>
      <w:r w:rsidRPr="005554ED">
        <w:rPr>
          <w:color w:val="000000" w:themeColor="text1"/>
        </w:rPr>
        <w:t>Çek</w:t>
      </w:r>
      <w:proofErr w:type="spellEnd"/>
      <w:r w:rsidRPr="005554ED">
        <w:rPr>
          <w:color w:val="000000" w:themeColor="text1"/>
        </w:rPr>
        <w:t xml:space="preserve">, D., Rubenstein, L. M., Murphy, D., &amp; Schmidt, N. B. (2014). Exploring the association between obsessive-compulsive symptoms and loneliness: Consideration </w:t>
      </w:r>
      <w:r w:rsidRPr="005554ED">
        <w:rPr>
          <w:color w:val="000000" w:themeColor="text1"/>
        </w:rPr>
        <w:lastRenderedPageBreak/>
        <w:t xml:space="preserve">of specificity and gender. </w:t>
      </w:r>
      <w:r w:rsidRPr="005554ED">
        <w:rPr>
          <w:i/>
          <w:iCs/>
          <w:color w:val="000000" w:themeColor="text1"/>
        </w:rPr>
        <w:t>Journal of Cognitive Psychotherapy</w:t>
      </w:r>
      <w:r w:rsidRPr="005554ED">
        <w:rPr>
          <w:color w:val="000000" w:themeColor="text1"/>
        </w:rPr>
        <w:t xml:space="preserve">, </w:t>
      </w:r>
      <w:r w:rsidRPr="005554ED">
        <w:rPr>
          <w:i/>
          <w:iCs/>
          <w:color w:val="000000" w:themeColor="text1"/>
        </w:rPr>
        <w:t>28</w:t>
      </w:r>
      <w:r w:rsidRPr="005554ED">
        <w:rPr>
          <w:color w:val="000000" w:themeColor="text1"/>
        </w:rPr>
        <w:t xml:space="preserve">(4), 264–273. </w:t>
      </w:r>
      <w:hyperlink r:id="rId268" w:history="1">
        <w:r w:rsidRPr="005554ED">
          <w:rPr>
            <w:rStyle w:val="Hyperlink"/>
            <w:rFonts w:eastAsia="Arial"/>
            <w:color w:val="000000" w:themeColor="text1"/>
          </w:rPr>
          <w:t>https://doi.org/10.1891/0889-8391.28.4.264</w:t>
        </w:r>
      </w:hyperlink>
    </w:p>
    <w:p w14:paraId="3C02453A" w14:textId="77777777" w:rsidR="00B76713" w:rsidRPr="005554ED" w:rsidRDefault="00B76713" w:rsidP="00B76713">
      <w:pPr>
        <w:pStyle w:val="Bibliography"/>
        <w:rPr>
          <w:color w:val="000000" w:themeColor="text1"/>
        </w:rPr>
      </w:pPr>
      <w:proofErr w:type="spellStart"/>
      <w:r w:rsidRPr="005554ED">
        <w:rPr>
          <w:color w:val="000000" w:themeColor="text1"/>
        </w:rPr>
        <w:t>Trapnell</w:t>
      </w:r>
      <w:proofErr w:type="spellEnd"/>
      <w:r w:rsidRPr="005554ED">
        <w:rPr>
          <w:color w:val="000000" w:themeColor="text1"/>
        </w:rPr>
        <w:t xml:space="preserve">, P. (2015). </w:t>
      </w:r>
      <w:r w:rsidRPr="005554ED">
        <w:rPr>
          <w:i/>
          <w:iCs/>
          <w:color w:val="000000" w:themeColor="text1"/>
        </w:rPr>
        <w:t>Loneliness</w:t>
      </w:r>
      <w:r w:rsidRPr="005554ED">
        <w:rPr>
          <w:color w:val="000000" w:themeColor="text1"/>
        </w:rPr>
        <w:t xml:space="preserve"> [Unpublished raw data].</w:t>
      </w:r>
    </w:p>
    <w:p w14:paraId="3E26971D" w14:textId="77777777" w:rsidR="00B76713" w:rsidRPr="005554ED" w:rsidRDefault="00B76713" w:rsidP="00B76713">
      <w:pPr>
        <w:pStyle w:val="Bibliography"/>
        <w:rPr>
          <w:color w:val="000000" w:themeColor="text1"/>
        </w:rPr>
      </w:pPr>
      <w:r w:rsidRPr="005554ED">
        <w:rPr>
          <w:color w:val="000000" w:themeColor="text1"/>
          <w:lang w:val="de-DE"/>
        </w:rPr>
        <w:t xml:space="preserve">Trepte, S., Masur, P., &amp; Dienlin, T. (2019). </w:t>
      </w:r>
      <w:r w:rsidRPr="005554ED">
        <w:rPr>
          <w:i/>
          <w:iCs/>
          <w:color w:val="000000" w:themeColor="text1"/>
        </w:rPr>
        <w:t xml:space="preserve">The Privacy Longitudinal </w:t>
      </w:r>
      <w:proofErr w:type="spellStart"/>
      <w:r w:rsidRPr="005554ED">
        <w:rPr>
          <w:i/>
          <w:iCs/>
          <w:color w:val="000000" w:themeColor="text1"/>
        </w:rPr>
        <w:t>StudyThe</w:t>
      </w:r>
      <w:proofErr w:type="spellEnd"/>
      <w:r w:rsidRPr="005554ED">
        <w:rPr>
          <w:i/>
          <w:iCs/>
          <w:color w:val="000000" w:themeColor="text1"/>
        </w:rPr>
        <w:t xml:space="preserve"> Privacy Longitudinal Study</w:t>
      </w:r>
      <w:r w:rsidRPr="005554ED">
        <w:rPr>
          <w:color w:val="000000" w:themeColor="text1"/>
        </w:rPr>
        <w:t xml:space="preserve"> (Version 1, pp. 27755291, 169752, 888138, 883264, 870931, 891686, 238077) [Application/octet-stream,application/vnd.openxmlformats-officedocument.spreadsheetml.sheet,application/pdf,application/pdf,application/pdf,application/pdf,application/pdf]. GESIS Data Archive. </w:t>
      </w:r>
      <w:hyperlink r:id="rId269" w:history="1">
        <w:r w:rsidRPr="005554ED">
          <w:rPr>
            <w:rStyle w:val="Hyperlink"/>
            <w:rFonts w:eastAsia="Arial"/>
            <w:color w:val="000000" w:themeColor="text1"/>
          </w:rPr>
          <w:t>https://doi.org/10.7802/1937</w:t>
        </w:r>
      </w:hyperlink>
    </w:p>
    <w:p w14:paraId="69801397" w14:textId="77777777" w:rsidR="00B76713" w:rsidRPr="005554ED" w:rsidRDefault="00B76713" w:rsidP="00B76713">
      <w:pPr>
        <w:pStyle w:val="Bibliography"/>
        <w:rPr>
          <w:color w:val="000000" w:themeColor="text1"/>
        </w:rPr>
      </w:pPr>
      <w:r w:rsidRPr="005554ED">
        <w:rPr>
          <w:color w:val="000000" w:themeColor="text1"/>
        </w:rPr>
        <w:t xml:space="preserve">Tsai, F.-F., &amp; Reis, H. T. (2009). Perceptions by and of lonely people in social networks. </w:t>
      </w:r>
      <w:r w:rsidRPr="005554ED">
        <w:rPr>
          <w:i/>
          <w:iCs/>
          <w:color w:val="000000" w:themeColor="text1"/>
        </w:rPr>
        <w:t>Personal Relationships</w:t>
      </w:r>
      <w:r w:rsidRPr="005554ED">
        <w:rPr>
          <w:color w:val="000000" w:themeColor="text1"/>
        </w:rPr>
        <w:t xml:space="preserve">, </w:t>
      </w:r>
      <w:r w:rsidRPr="005554ED">
        <w:rPr>
          <w:i/>
          <w:iCs/>
          <w:color w:val="000000" w:themeColor="text1"/>
        </w:rPr>
        <w:t>16</w:t>
      </w:r>
      <w:r w:rsidRPr="005554ED">
        <w:rPr>
          <w:color w:val="000000" w:themeColor="text1"/>
        </w:rPr>
        <w:t xml:space="preserve">(2), 221–238. </w:t>
      </w:r>
      <w:hyperlink r:id="rId270" w:history="1">
        <w:r w:rsidRPr="005554ED">
          <w:rPr>
            <w:rStyle w:val="Hyperlink"/>
            <w:rFonts w:eastAsia="Arial"/>
            <w:color w:val="000000" w:themeColor="text1"/>
          </w:rPr>
          <w:t>https://doi.org/10.1111/j.1475-6811.2009.01220.x</w:t>
        </w:r>
      </w:hyperlink>
    </w:p>
    <w:p w14:paraId="717C82CF" w14:textId="77777777" w:rsidR="00B76713" w:rsidRPr="005554ED" w:rsidRDefault="00B76713" w:rsidP="00B76713">
      <w:pPr>
        <w:pStyle w:val="Bibliography"/>
        <w:rPr>
          <w:color w:val="000000" w:themeColor="text1"/>
        </w:rPr>
      </w:pPr>
      <w:r w:rsidRPr="005554ED">
        <w:rPr>
          <w:color w:val="000000" w:themeColor="text1"/>
        </w:rPr>
        <w:t xml:space="preserve">Tsai, W., Wang, K. T., &amp; Wei, M. (2017). Reciprocal relations between social self-efficacy and loneliness among Chinese international students. </w:t>
      </w:r>
      <w:r w:rsidRPr="005554ED">
        <w:rPr>
          <w:i/>
          <w:iCs/>
          <w:color w:val="000000" w:themeColor="text1"/>
        </w:rPr>
        <w:t>Asian American Journal of Psychology</w:t>
      </w:r>
      <w:r w:rsidRPr="005554ED">
        <w:rPr>
          <w:color w:val="000000" w:themeColor="text1"/>
        </w:rPr>
        <w:t xml:space="preserve">, </w:t>
      </w:r>
      <w:r w:rsidRPr="005554ED">
        <w:rPr>
          <w:i/>
          <w:iCs/>
          <w:color w:val="000000" w:themeColor="text1"/>
        </w:rPr>
        <w:t>8</w:t>
      </w:r>
      <w:r w:rsidRPr="005554ED">
        <w:rPr>
          <w:color w:val="000000" w:themeColor="text1"/>
        </w:rPr>
        <w:t xml:space="preserve">(2), 94–102. </w:t>
      </w:r>
      <w:hyperlink r:id="rId271" w:history="1">
        <w:r w:rsidRPr="005554ED">
          <w:rPr>
            <w:rStyle w:val="Hyperlink"/>
            <w:rFonts w:eastAsia="Arial"/>
            <w:color w:val="000000" w:themeColor="text1"/>
          </w:rPr>
          <w:t>https://doi.org/10.1037/aap0000065</w:t>
        </w:r>
      </w:hyperlink>
    </w:p>
    <w:p w14:paraId="50B3422C" w14:textId="77777777" w:rsidR="00B76713" w:rsidRPr="005554ED" w:rsidRDefault="00B76713" w:rsidP="00B76713">
      <w:pPr>
        <w:pStyle w:val="Bibliography"/>
        <w:rPr>
          <w:color w:val="000000" w:themeColor="text1"/>
        </w:rPr>
      </w:pPr>
      <w:proofErr w:type="spellStart"/>
      <w:r w:rsidRPr="005554ED">
        <w:rPr>
          <w:color w:val="000000" w:themeColor="text1"/>
        </w:rPr>
        <w:t>Valentiner</w:t>
      </w:r>
      <w:proofErr w:type="spellEnd"/>
      <w:r w:rsidRPr="005554ED">
        <w:rPr>
          <w:color w:val="000000" w:themeColor="text1"/>
        </w:rPr>
        <w:t xml:space="preserve">, D. P., Mounts, N. S., </w:t>
      </w:r>
      <w:proofErr w:type="spellStart"/>
      <w:r w:rsidRPr="005554ED">
        <w:rPr>
          <w:color w:val="000000" w:themeColor="text1"/>
        </w:rPr>
        <w:t>Durik</w:t>
      </w:r>
      <w:proofErr w:type="spellEnd"/>
      <w:r w:rsidRPr="005554ED">
        <w:rPr>
          <w:color w:val="000000" w:themeColor="text1"/>
        </w:rPr>
        <w:t xml:space="preserve">, A. M., &amp; </w:t>
      </w:r>
      <w:proofErr w:type="spellStart"/>
      <w:r w:rsidRPr="005554ED">
        <w:rPr>
          <w:color w:val="000000" w:themeColor="text1"/>
        </w:rPr>
        <w:t>Gier-Lonsway</w:t>
      </w:r>
      <w:proofErr w:type="spellEnd"/>
      <w:r w:rsidRPr="005554ED">
        <w:rPr>
          <w:color w:val="000000" w:themeColor="text1"/>
        </w:rPr>
        <w:t xml:space="preserve">, S. L. (2011). Shyness mindset: Applying mindset theory to the domain of inhibited social behavior. </w:t>
      </w:r>
      <w:r w:rsidRPr="005554ED">
        <w:rPr>
          <w:i/>
          <w:iCs/>
          <w:color w:val="000000" w:themeColor="text1"/>
        </w:rPr>
        <w:t>Personality and Individual Differences</w:t>
      </w:r>
      <w:r w:rsidRPr="005554ED">
        <w:rPr>
          <w:color w:val="000000" w:themeColor="text1"/>
        </w:rPr>
        <w:t xml:space="preserve">, </w:t>
      </w:r>
      <w:r w:rsidRPr="005554ED">
        <w:rPr>
          <w:i/>
          <w:iCs/>
          <w:color w:val="000000" w:themeColor="text1"/>
        </w:rPr>
        <w:t>50</w:t>
      </w:r>
      <w:r w:rsidRPr="005554ED">
        <w:rPr>
          <w:color w:val="000000" w:themeColor="text1"/>
        </w:rPr>
        <w:t xml:space="preserve">(8), 1174–1179. </w:t>
      </w:r>
      <w:hyperlink r:id="rId272" w:history="1">
        <w:r w:rsidRPr="005554ED">
          <w:rPr>
            <w:rStyle w:val="Hyperlink"/>
            <w:rFonts w:eastAsia="Arial"/>
            <w:color w:val="000000" w:themeColor="text1"/>
          </w:rPr>
          <w:t>https://doi.org/10.1016/j.paid.2011.01.021</w:t>
        </w:r>
      </w:hyperlink>
    </w:p>
    <w:p w14:paraId="07FE7F4F" w14:textId="77777777" w:rsidR="00B76713" w:rsidRPr="005554ED" w:rsidRDefault="00B76713" w:rsidP="00B76713">
      <w:pPr>
        <w:pStyle w:val="Bibliography"/>
        <w:rPr>
          <w:color w:val="000000" w:themeColor="text1"/>
        </w:rPr>
      </w:pPr>
      <w:r w:rsidRPr="005554ED">
        <w:rPr>
          <w:color w:val="000000" w:themeColor="text1"/>
        </w:rPr>
        <w:t xml:space="preserve">van Roekel, E., Ha, T., Scholte, R. H. J., Engels, R. C. M. E., &amp; </w:t>
      </w:r>
      <w:proofErr w:type="spellStart"/>
      <w:r w:rsidRPr="005554ED">
        <w:rPr>
          <w:color w:val="000000" w:themeColor="text1"/>
        </w:rPr>
        <w:t>Verhagen</w:t>
      </w:r>
      <w:proofErr w:type="spellEnd"/>
      <w:r w:rsidRPr="005554ED">
        <w:rPr>
          <w:color w:val="000000" w:themeColor="text1"/>
        </w:rPr>
        <w:t xml:space="preserve">, M. (2016). Loneliness in the daily lives of young adults: Testing a socio-cognitive model. </w:t>
      </w:r>
      <w:r w:rsidRPr="005554ED">
        <w:rPr>
          <w:i/>
          <w:iCs/>
          <w:color w:val="000000" w:themeColor="text1"/>
        </w:rPr>
        <w:t>European Journal of Personality</w:t>
      </w:r>
      <w:r w:rsidRPr="005554ED">
        <w:rPr>
          <w:color w:val="000000" w:themeColor="text1"/>
        </w:rPr>
        <w:t xml:space="preserve">, </w:t>
      </w:r>
      <w:r w:rsidRPr="005554ED">
        <w:rPr>
          <w:i/>
          <w:iCs/>
          <w:color w:val="000000" w:themeColor="text1"/>
        </w:rPr>
        <w:t>30</w:t>
      </w:r>
      <w:r w:rsidRPr="005554ED">
        <w:rPr>
          <w:color w:val="000000" w:themeColor="text1"/>
        </w:rPr>
        <w:t xml:space="preserve">(1), 19–30. </w:t>
      </w:r>
      <w:hyperlink r:id="rId273" w:history="1">
        <w:r w:rsidRPr="005554ED">
          <w:rPr>
            <w:rStyle w:val="Hyperlink"/>
            <w:rFonts w:eastAsia="Arial"/>
            <w:color w:val="000000" w:themeColor="text1"/>
          </w:rPr>
          <w:t>https://doi.org/10.1002/per.2028</w:t>
        </w:r>
      </w:hyperlink>
    </w:p>
    <w:p w14:paraId="4966ADB3" w14:textId="77777777" w:rsidR="00B76713" w:rsidRPr="006A16A9" w:rsidRDefault="00B76713" w:rsidP="00B76713">
      <w:pPr>
        <w:pStyle w:val="Bibliography"/>
        <w:rPr>
          <w:color w:val="000000" w:themeColor="text1"/>
        </w:rPr>
      </w:pPr>
      <w:proofErr w:type="spellStart"/>
      <w:r w:rsidRPr="005554ED">
        <w:rPr>
          <w:color w:val="000000" w:themeColor="text1"/>
        </w:rPr>
        <w:t>Vandeputte</w:t>
      </w:r>
      <w:proofErr w:type="spellEnd"/>
      <w:r w:rsidRPr="005554ED">
        <w:rPr>
          <w:color w:val="000000" w:themeColor="text1"/>
        </w:rPr>
        <w:t xml:space="preserve">, D. D., Kemper, S., </w:t>
      </w:r>
      <w:proofErr w:type="spellStart"/>
      <w:r w:rsidRPr="005554ED">
        <w:rPr>
          <w:color w:val="000000" w:themeColor="text1"/>
        </w:rPr>
        <w:t>Hummert</w:t>
      </w:r>
      <w:proofErr w:type="spellEnd"/>
      <w:r w:rsidRPr="005554ED">
        <w:rPr>
          <w:color w:val="000000" w:themeColor="text1"/>
        </w:rPr>
        <w:t xml:space="preserve">, M. L., </w:t>
      </w:r>
      <w:proofErr w:type="spellStart"/>
      <w:r w:rsidRPr="005554ED">
        <w:rPr>
          <w:color w:val="000000" w:themeColor="text1"/>
        </w:rPr>
        <w:t>Kemtes</w:t>
      </w:r>
      <w:proofErr w:type="spellEnd"/>
      <w:r w:rsidRPr="005554ED">
        <w:rPr>
          <w:color w:val="000000" w:themeColor="text1"/>
        </w:rPr>
        <w:t xml:space="preserve">, K. A., </w:t>
      </w:r>
      <w:proofErr w:type="spellStart"/>
      <w:r w:rsidRPr="005554ED">
        <w:rPr>
          <w:color w:val="000000" w:themeColor="text1"/>
        </w:rPr>
        <w:t>Shaner</w:t>
      </w:r>
      <w:proofErr w:type="spellEnd"/>
      <w:r w:rsidRPr="005554ED">
        <w:rPr>
          <w:color w:val="000000" w:themeColor="text1"/>
        </w:rPr>
        <w:t xml:space="preserve">, J., &amp; </w:t>
      </w:r>
      <w:proofErr w:type="spellStart"/>
      <w:r w:rsidRPr="005554ED">
        <w:rPr>
          <w:color w:val="000000" w:themeColor="text1"/>
        </w:rPr>
        <w:t>Segrin</w:t>
      </w:r>
      <w:proofErr w:type="spellEnd"/>
      <w:r w:rsidRPr="005554ED">
        <w:rPr>
          <w:color w:val="000000" w:themeColor="text1"/>
        </w:rPr>
        <w:t xml:space="preserve">, C. (1999). Social skills of older people: Conversations in same– and mixed–age dyads. </w:t>
      </w:r>
      <w:r w:rsidRPr="006A16A9">
        <w:rPr>
          <w:i/>
          <w:iCs/>
          <w:color w:val="000000" w:themeColor="text1"/>
        </w:rPr>
        <w:t>Discourse Processes</w:t>
      </w:r>
      <w:r w:rsidRPr="006A16A9">
        <w:rPr>
          <w:color w:val="000000" w:themeColor="text1"/>
        </w:rPr>
        <w:t xml:space="preserve">, </w:t>
      </w:r>
      <w:r w:rsidRPr="006A16A9">
        <w:rPr>
          <w:i/>
          <w:iCs/>
          <w:color w:val="000000" w:themeColor="text1"/>
        </w:rPr>
        <w:t>27</w:t>
      </w:r>
      <w:r w:rsidRPr="006A16A9">
        <w:rPr>
          <w:color w:val="000000" w:themeColor="text1"/>
        </w:rPr>
        <w:t xml:space="preserve">(1), 55–76. </w:t>
      </w:r>
      <w:hyperlink r:id="rId274" w:history="1">
        <w:r w:rsidRPr="006A16A9">
          <w:rPr>
            <w:rStyle w:val="Hyperlink"/>
            <w:rFonts w:eastAsia="Arial"/>
            <w:color w:val="000000" w:themeColor="text1"/>
          </w:rPr>
          <w:t>https://doi.org/10.1080/01638539909545050</w:t>
        </w:r>
      </w:hyperlink>
    </w:p>
    <w:p w14:paraId="0322881E" w14:textId="77777777" w:rsidR="00B76713" w:rsidRPr="005554ED" w:rsidRDefault="00B76713" w:rsidP="00B76713">
      <w:pPr>
        <w:pStyle w:val="Bibliography"/>
        <w:rPr>
          <w:color w:val="000000" w:themeColor="text1"/>
        </w:rPr>
      </w:pPr>
      <w:r w:rsidRPr="006A16A9">
        <w:rPr>
          <w:color w:val="000000" w:themeColor="text1"/>
        </w:rPr>
        <w:lastRenderedPageBreak/>
        <w:t xml:space="preserve">Varghese, M. E., &amp; Pistole, M. C. (2017). </w:t>
      </w:r>
      <w:r w:rsidRPr="005554ED">
        <w:rPr>
          <w:color w:val="000000" w:themeColor="text1"/>
        </w:rPr>
        <w:t xml:space="preserve">College student cyberbullying: Self-esteem, depression, loneliness, and attachment. </w:t>
      </w:r>
      <w:r w:rsidRPr="005554ED">
        <w:rPr>
          <w:i/>
          <w:iCs/>
          <w:color w:val="000000" w:themeColor="text1"/>
        </w:rPr>
        <w:t>Journal of College Counseling</w:t>
      </w:r>
      <w:r w:rsidRPr="005554ED">
        <w:rPr>
          <w:color w:val="000000" w:themeColor="text1"/>
        </w:rPr>
        <w:t xml:space="preserve">, </w:t>
      </w:r>
      <w:r w:rsidRPr="005554ED">
        <w:rPr>
          <w:i/>
          <w:iCs/>
          <w:color w:val="000000" w:themeColor="text1"/>
        </w:rPr>
        <w:t>20</w:t>
      </w:r>
      <w:r w:rsidRPr="005554ED">
        <w:rPr>
          <w:color w:val="000000" w:themeColor="text1"/>
        </w:rPr>
        <w:t xml:space="preserve">(1), 7–21. </w:t>
      </w:r>
      <w:hyperlink r:id="rId275" w:history="1">
        <w:r w:rsidRPr="005554ED">
          <w:rPr>
            <w:rStyle w:val="Hyperlink"/>
            <w:rFonts w:eastAsia="Arial"/>
            <w:color w:val="000000" w:themeColor="text1"/>
          </w:rPr>
          <w:t>https://doi.org/10.1002/jocc.12055</w:t>
        </w:r>
      </w:hyperlink>
    </w:p>
    <w:p w14:paraId="5ECCA370" w14:textId="77777777" w:rsidR="00B76713" w:rsidRPr="005554ED" w:rsidRDefault="00B76713" w:rsidP="00B76713">
      <w:pPr>
        <w:pStyle w:val="Bibliography"/>
        <w:rPr>
          <w:color w:val="000000" w:themeColor="text1"/>
        </w:rPr>
      </w:pPr>
      <w:proofErr w:type="spellStart"/>
      <w:r w:rsidRPr="005554ED">
        <w:rPr>
          <w:color w:val="000000" w:themeColor="text1"/>
        </w:rPr>
        <w:t>Vrangalova</w:t>
      </w:r>
      <w:proofErr w:type="spellEnd"/>
      <w:r w:rsidRPr="005554ED">
        <w:rPr>
          <w:color w:val="000000" w:themeColor="text1"/>
        </w:rPr>
        <w:t xml:space="preserve">, Z., &amp; </w:t>
      </w:r>
      <w:proofErr w:type="spellStart"/>
      <w:r w:rsidRPr="005554ED">
        <w:rPr>
          <w:color w:val="000000" w:themeColor="text1"/>
        </w:rPr>
        <w:t>Bukberg</w:t>
      </w:r>
      <w:proofErr w:type="spellEnd"/>
      <w:r w:rsidRPr="005554ED">
        <w:rPr>
          <w:color w:val="000000" w:themeColor="text1"/>
        </w:rPr>
        <w:t xml:space="preserve">, R. E. (2015). Are sexually permissive individuals more victimized and socially isolated? </w:t>
      </w:r>
      <w:r w:rsidRPr="005554ED">
        <w:rPr>
          <w:i/>
          <w:iCs/>
          <w:color w:val="000000" w:themeColor="text1"/>
        </w:rPr>
        <w:t>Personal Relationships</w:t>
      </w:r>
      <w:r w:rsidRPr="005554ED">
        <w:rPr>
          <w:color w:val="000000" w:themeColor="text1"/>
        </w:rPr>
        <w:t xml:space="preserve">, </w:t>
      </w:r>
      <w:r w:rsidRPr="005554ED">
        <w:rPr>
          <w:i/>
          <w:iCs/>
          <w:color w:val="000000" w:themeColor="text1"/>
        </w:rPr>
        <w:t>22</w:t>
      </w:r>
      <w:r w:rsidRPr="005554ED">
        <w:rPr>
          <w:color w:val="000000" w:themeColor="text1"/>
        </w:rPr>
        <w:t xml:space="preserve">(2), 230–242. </w:t>
      </w:r>
      <w:hyperlink r:id="rId276" w:history="1">
        <w:r w:rsidRPr="005554ED">
          <w:rPr>
            <w:rStyle w:val="Hyperlink"/>
            <w:rFonts w:eastAsia="Arial"/>
            <w:color w:val="000000" w:themeColor="text1"/>
          </w:rPr>
          <w:t>https://doi.org/10.1111/pere.12076</w:t>
        </w:r>
      </w:hyperlink>
    </w:p>
    <w:p w14:paraId="6BA6F6E6" w14:textId="77777777" w:rsidR="00B76713" w:rsidRPr="005554ED" w:rsidRDefault="00B76713" w:rsidP="00B76713">
      <w:pPr>
        <w:pStyle w:val="Bibliography"/>
        <w:rPr>
          <w:color w:val="000000" w:themeColor="text1"/>
        </w:rPr>
      </w:pPr>
      <w:r w:rsidRPr="005554ED">
        <w:rPr>
          <w:color w:val="000000" w:themeColor="text1"/>
        </w:rPr>
        <w:t xml:space="preserve">Watlington, E. M., Baker, Z. G., &amp; Knee, C. R. (2019). </w:t>
      </w:r>
      <w:r w:rsidRPr="005554ED">
        <w:rPr>
          <w:i/>
          <w:iCs/>
          <w:color w:val="000000" w:themeColor="text1"/>
        </w:rPr>
        <w:t>The relationship between rapport, loneliness, and basic psychological need satisfaction</w:t>
      </w:r>
      <w:r w:rsidRPr="005554ED">
        <w:rPr>
          <w:color w:val="000000" w:themeColor="text1"/>
        </w:rPr>
        <w:t xml:space="preserve"> [Unpublished raw data].</w:t>
      </w:r>
    </w:p>
    <w:p w14:paraId="7F5AC605" w14:textId="77777777" w:rsidR="00B76713" w:rsidRPr="005554ED" w:rsidRDefault="00B76713" w:rsidP="00B76713">
      <w:pPr>
        <w:pStyle w:val="Bibliography"/>
        <w:rPr>
          <w:color w:val="000000" w:themeColor="text1"/>
        </w:rPr>
      </w:pPr>
      <w:r w:rsidRPr="005554ED">
        <w:rPr>
          <w:color w:val="000000" w:themeColor="text1"/>
        </w:rPr>
        <w:t xml:space="preserve">Watson, J., &amp; </w:t>
      </w:r>
      <w:proofErr w:type="spellStart"/>
      <w:r w:rsidRPr="005554ED">
        <w:rPr>
          <w:color w:val="000000" w:themeColor="text1"/>
        </w:rPr>
        <w:t>Nesdale</w:t>
      </w:r>
      <w:proofErr w:type="spellEnd"/>
      <w:r w:rsidRPr="005554ED">
        <w:rPr>
          <w:color w:val="000000" w:themeColor="text1"/>
        </w:rPr>
        <w:t xml:space="preserve">, D. (2012). Rejection sensitivity, social withdrawal, and loneliness in young adults. </w:t>
      </w:r>
      <w:r w:rsidRPr="005554ED">
        <w:rPr>
          <w:i/>
          <w:iCs/>
          <w:color w:val="000000" w:themeColor="text1"/>
        </w:rPr>
        <w:t>Journal of Applied Social Psychology</w:t>
      </w:r>
      <w:r w:rsidRPr="005554ED">
        <w:rPr>
          <w:color w:val="000000" w:themeColor="text1"/>
        </w:rPr>
        <w:t xml:space="preserve">, </w:t>
      </w:r>
      <w:r w:rsidRPr="005554ED">
        <w:rPr>
          <w:i/>
          <w:iCs/>
          <w:color w:val="000000" w:themeColor="text1"/>
        </w:rPr>
        <w:t>42</w:t>
      </w:r>
      <w:r w:rsidRPr="005554ED">
        <w:rPr>
          <w:color w:val="000000" w:themeColor="text1"/>
        </w:rPr>
        <w:t xml:space="preserve">(8), 1984–2005. </w:t>
      </w:r>
      <w:hyperlink r:id="rId277" w:history="1">
        <w:r w:rsidRPr="005554ED">
          <w:rPr>
            <w:rStyle w:val="Hyperlink"/>
            <w:rFonts w:eastAsia="Arial"/>
            <w:color w:val="000000" w:themeColor="text1"/>
          </w:rPr>
          <w:t>https://doi.org/10.1111/j.1559-1816.2012.00927.x</w:t>
        </w:r>
      </w:hyperlink>
    </w:p>
    <w:p w14:paraId="586BA061" w14:textId="77777777" w:rsidR="00B76713" w:rsidRPr="005554ED" w:rsidRDefault="00B76713" w:rsidP="00B76713">
      <w:pPr>
        <w:pStyle w:val="Bibliography"/>
        <w:rPr>
          <w:color w:val="000000" w:themeColor="text1"/>
        </w:rPr>
      </w:pPr>
      <w:proofErr w:type="spellStart"/>
      <w:r w:rsidRPr="005554ED">
        <w:rPr>
          <w:color w:val="000000" w:themeColor="text1"/>
        </w:rPr>
        <w:t>Wawrzyniak</w:t>
      </w:r>
      <w:proofErr w:type="spellEnd"/>
      <w:r w:rsidRPr="005554ED">
        <w:rPr>
          <w:color w:val="000000" w:themeColor="text1"/>
        </w:rPr>
        <w:t xml:space="preserve">, A. J., &amp; Whiteman, M. C. P. (2011). Perceived stress, loneliness, and interaction with fellow students does not affect innate mucosal immunity in first year university students. </w:t>
      </w:r>
      <w:r w:rsidRPr="005554ED">
        <w:rPr>
          <w:i/>
          <w:iCs/>
          <w:color w:val="000000" w:themeColor="text1"/>
        </w:rPr>
        <w:t>Japanese Psychological Research</w:t>
      </w:r>
      <w:r w:rsidRPr="005554ED">
        <w:rPr>
          <w:color w:val="000000" w:themeColor="text1"/>
        </w:rPr>
        <w:t xml:space="preserve">, </w:t>
      </w:r>
      <w:r w:rsidRPr="005554ED">
        <w:rPr>
          <w:i/>
          <w:iCs/>
          <w:color w:val="000000" w:themeColor="text1"/>
        </w:rPr>
        <w:t>53</w:t>
      </w:r>
      <w:r w:rsidRPr="005554ED">
        <w:rPr>
          <w:color w:val="000000" w:themeColor="text1"/>
        </w:rPr>
        <w:t xml:space="preserve">(2), 121–132. </w:t>
      </w:r>
      <w:hyperlink r:id="rId278" w:history="1">
        <w:r w:rsidRPr="005554ED">
          <w:rPr>
            <w:rStyle w:val="Hyperlink"/>
            <w:rFonts w:eastAsia="Arial"/>
            <w:color w:val="000000" w:themeColor="text1"/>
          </w:rPr>
          <w:t>https://doi.org/10.1111/j.1468-5884.2011.00466.x</w:t>
        </w:r>
      </w:hyperlink>
    </w:p>
    <w:p w14:paraId="33F49F1A" w14:textId="77777777" w:rsidR="00B76713" w:rsidRPr="005554ED" w:rsidRDefault="00B76713" w:rsidP="00B76713">
      <w:pPr>
        <w:pStyle w:val="Bibliography"/>
        <w:rPr>
          <w:color w:val="000000" w:themeColor="text1"/>
        </w:rPr>
      </w:pPr>
      <w:r w:rsidRPr="005554ED">
        <w:rPr>
          <w:color w:val="000000" w:themeColor="text1"/>
        </w:rPr>
        <w:t xml:space="preserve">Weber, B., </w:t>
      </w:r>
      <w:proofErr w:type="spellStart"/>
      <w:r w:rsidRPr="005554ED">
        <w:rPr>
          <w:color w:val="000000" w:themeColor="text1"/>
        </w:rPr>
        <w:t>Metha</w:t>
      </w:r>
      <w:proofErr w:type="spellEnd"/>
      <w:r w:rsidRPr="005554ED">
        <w:rPr>
          <w:color w:val="000000" w:themeColor="text1"/>
        </w:rPr>
        <w:t xml:space="preserve">, A., &amp; Nelsen, E. (1997). Relationships among multiple suicide ideation risk factors in college students. </w:t>
      </w:r>
      <w:r w:rsidRPr="005554ED">
        <w:rPr>
          <w:i/>
          <w:iCs/>
          <w:color w:val="000000" w:themeColor="text1"/>
        </w:rPr>
        <w:t>Journal of College Student Psychotherapy</w:t>
      </w:r>
      <w:r w:rsidRPr="005554ED">
        <w:rPr>
          <w:color w:val="000000" w:themeColor="text1"/>
        </w:rPr>
        <w:t xml:space="preserve">, </w:t>
      </w:r>
      <w:r w:rsidRPr="005554ED">
        <w:rPr>
          <w:i/>
          <w:iCs/>
          <w:color w:val="000000" w:themeColor="text1"/>
        </w:rPr>
        <w:t>11</w:t>
      </w:r>
      <w:r w:rsidRPr="005554ED">
        <w:rPr>
          <w:color w:val="000000" w:themeColor="text1"/>
        </w:rPr>
        <w:t xml:space="preserve">(3), 49–64. </w:t>
      </w:r>
      <w:hyperlink r:id="rId279" w:history="1">
        <w:r w:rsidRPr="005554ED">
          <w:rPr>
            <w:rStyle w:val="Hyperlink"/>
            <w:rFonts w:eastAsia="Arial"/>
            <w:color w:val="000000" w:themeColor="text1"/>
          </w:rPr>
          <w:t>https://doi.org/10.1300/J035v11n03_06</w:t>
        </w:r>
      </w:hyperlink>
    </w:p>
    <w:p w14:paraId="4A887792" w14:textId="77777777" w:rsidR="00B76713" w:rsidRPr="005554ED" w:rsidRDefault="00B76713" w:rsidP="00B76713">
      <w:pPr>
        <w:pStyle w:val="Bibliography"/>
        <w:rPr>
          <w:color w:val="000000" w:themeColor="text1"/>
        </w:rPr>
      </w:pPr>
      <w:r w:rsidRPr="005554ED">
        <w:rPr>
          <w:color w:val="000000" w:themeColor="text1"/>
        </w:rPr>
        <w:t xml:space="preserve">Wei, M., Vogel, D. L., Ku, T.-Y., &amp; </w:t>
      </w:r>
      <w:proofErr w:type="spellStart"/>
      <w:r w:rsidRPr="005554ED">
        <w:rPr>
          <w:color w:val="000000" w:themeColor="text1"/>
        </w:rPr>
        <w:t>Zakalik</w:t>
      </w:r>
      <w:proofErr w:type="spellEnd"/>
      <w:r w:rsidRPr="005554ED">
        <w:rPr>
          <w:color w:val="000000" w:themeColor="text1"/>
        </w:rPr>
        <w:t xml:space="preserve">, R. A. (2005). Adult attachment, affect regulation, negative mood, and interpersonal problems: The mediating roles of emotional reactivity and emotional cutoff. </w:t>
      </w:r>
      <w:r w:rsidRPr="005554ED">
        <w:rPr>
          <w:i/>
          <w:iCs/>
          <w:color w:val="000000" w:themeColor="text1"/>
        </w:rPr>
        <w:t>Journal of Counseling Psychology</w:t>
      </w:r>
      <w:r w:rsidRPr="005554ED">
        <w:rPr>
          <w:color w:val="000000" w:themeColor="text1"/>
        </w:rPr>
        <w:t xml:space="preserve">, </w:t>
      </w:r>
      <w:r w:rsidRPr="005554ED">
        <w:rPr>
          <w:i/>
          <w:iCs/>
          <w:color w:val="000000" w:themeColor="text1"/>
        </w:rPr>
        <w:t>52</w:t>
      </w:r>
      <w:r w:rsidRPr="005554ED">
        <w:rPr>
          <w:color w:val="000000" w:themeColor="text1"/>
        </w:rPr>
        <w:t xml:space="preserve">(1), 14–24. </w:t>
      </w:r>
      <w:hyperlink r:id="rId280" w:history="1">
        <w:r w:rsidRPr="005554ED">
          <w:rPr>
            <w:rStyle w:val="Hyperlink"/>
            <w:rFonts w:eastAsia="Arial"/>
            <w:color w:val="000000" w:themeColor="text1"/>
          </w:rPr>
          <w:t>https://doi.org/10.1037/0022-0167.52.1.14</w:t>
        </w:r>
      </w:hyperlink>
    </w:p>
    <w:p w14:paraId="705FEEAF" w14:textId="77777777" w:rsidR="00B76713" w:rsidRPr="005554ED" w:rsidRDefault="00B76713" w:rsidP="00B76713">
      <w:pPr>
        <w:pStyle w:val="Bibliography"/>
        <w:rPr>
          <w:color w:val="000000" w:themeColor="text1"/>
        </w:rPr>
      </w:pPr>
      <w:r w:rsidRPr="005554ED">
        <w:rPr>
          <w:color w:val="000000" w:themeColor="text1"/>
        </w:rPr>
        <w:lastRenderedPageBreak/>
        <w:t xml:space="preserve">Wei, R., &amp; Lo, V.-H. (2006). Staying connected while on the move: Cell phone use and social connectedness. </w:t>
      </w:r>
      <w:r w:rsidRPr="005554ED">
        <w:rPr>
          <w:i/>
          <w:iCs/>
          <w:color w:val="000000" w:themeColor="text1"/>
        </w:rPr>
        <w:t>New Media &amp; Society</w:t>
      </w:r>
      <w:r w:rsidRPr="005554ED">
        <w:rPr>
          <w:color w:val="000000" w:themeColor="text1"/>
        </w:rPr>
        <w:t xml:space="preserve">, </w:t>
      </w:r>
      <w:r w:rsidRPr="005554ED">
        <w:rPr>
          <w:i/>
          <w:iCs/>
          <w:color w:val="000000" w:themeColor="text1"/>
        </w:rPr>
        <w:t>8</w:t>
      </w:r>
      <w:r w:rsidRPr="005554ED">
        <w:rPr>
          <w:color w:val="000000" w:themeColor="text1"/>
        </w:rPr>
        <w:t xml:space="preserve">(1), 53–72. </w:t>
      </w:r>
      <w:hyperlink r:id="rId281" w:history="1">
        <w:r w:rsidRPr="005554ED">
          <w:rPr>
            <w:rStyle w:val="Hyperlink"/>
            <w:rFonts w:eastAsia="Arial"/>
            <w:color w:val="000000" w:themeColor="text1"/>
          </w:rPr>
          <w:t>https://doi.org/10.1177/1461444806059870</w:t>
        </w:r>
      </w:hyperlink>
    </w:p>
    <w:p w14:paraId="2B5496D4" w14:textId="77777777" w:rsidR="00B76713" w:rsidRPr="005554ED" w:rsidRDefault="00B76713" w:rsidP="00B76713">
      <w:pPr>
        <w:pStyle w:val="Bibliography"/>
        <w:rPr>
          <w:color w:val="000000" w:themeColor="text1"/>
        </w:rPr>
      </w:pPr>
      <w:r w:rsidRPr="005554ED">
        <w:rPr>
          <w:color w:val="000000" w:themeColor="text1"/>
        </w:rPr>
        <w:t xml:space="preserve">Weitzman, A., Barber, J. S., Kusunoki, Y., &amp; England, P. (2017). Desire for and to avoid pregnancy during the transition to adulthood. </w:t>
      </w:r>
      <w:r w:rsidRPr="005554ED">
        <w:rPr>
          <w:i/>
          <w:iCs/>
          <w:color w:val="000000" w:themeColor="text1"/>
        </w:rPr>
        <w:t>Journal of Marriage and Family</w:t>
      </w:r>
      <w:r w:rsidRPr="005554ED">
        <w:rPr>
          <w:color w:val="000000" w:themeColor="text1"/>
        </w:rPr>
        <w:t xml:space="preserve">, </w:t>
      </w:r>
      <w:r w:rsidRPr="005554ED">
        <w:rPr>
          <w:i/>
          <w:iCs/>
          <w:color w:val="000000" w:themeColor="text1"/>
        </w:rPr>
        <w:t>79</w:t>
      </w:r>
      <w:r w:rsidRPr="005554ED">
        <w:rPr>
          <w:color w:val="000000" w:themeColor="text1"/>
        </w:rPr>
        <w:t xml:space="preserve">(4), 1060–1075. </w:t>
      </w:r>
      <w:hyperlink r:id="rId282" w:history="1">
        <w:r w:rsidRPr="005554ED">
          <w:rPr>
            <w:rStyle w:val="Hyperlink"/>
            <w:rFonts w:eastAsia="Arial"/>
            <w:color w:val="000000" w:themeColor="text1"/>
          </w:rPr>
          <w:t>https://doi.org/10.1111/jomf.12396</w:t>
        </w:r>
      </w:hyperlink>
    </w:p>
    <w:p w14:paraId="672B022E" w14:textId="77777777" w:rsidR="00B76713" w:rsidRPr="005554ED" w:rsidRDefault="00B76713" w:rsidP="00B76713">
      <w:pPr>
        <w:pStyle w:val="Bibliography"/>
        <w:rPr>
          <w:color w:val="000000" w:themeColor="text1"/>
        </w:rPr>
      </w:pPr>
      <w:r w:rsidRPr="005554ED">
        <w:rPr>
          <w:color w:val="000000" w:themeColor="text1"/>
        </w:rPr>
        <w:t xml:space="preserve">Wiseman, H. (1997). Interpersonal relatedness and self-definition in the experience of loneliness during the transition to university. </w:t>
      </w:r>
      <w:r w:rsidRPr="005554ED">
        <w:rPr>
          <w:i/>
          <w:iCs/>
          <w:color w:val="000000" w:themeColor="text1"/>
        </w:rPr>
        <w:t>Personal Relationships</w:t>
      </w:r>
      <w:r w:rsidRPr="005554ED">
        <w:rPr>
          <w:color w:val="000000" w:themeColor="text1"/>
        </w:rPr>
        <w:t xml:space="preserve">, </w:t>
      </w:r>
      <w:r w:rsidRPr="005554ED">
        <w:rPr>
          <w:i/>
          <w:iCs/>
          <w:color w:val="000000" w:themeColor="text1"/>
        </w:rPr>
        <w:t>4</w:t>
      </w:r>
      <w:r w:rsidRPr="005554ED">
        <w:rPr>
          <w:color w:val="000000" w:themeColor="text1"/>
        </w:rPr>
        <w:t xml:space="preserve">(3), 285–299. </w:t>
      </w:r>
      <w:hyperlink r:id="rId283" w:history="1">
        <w:r w:rsidRPr="005554ED">
          <w:rPr>
            <w:rStyle w:val="Hyperlink"/>
            <w:rFonts w:eastAsia="Arial"/>
            <w:color w:val="000000" w:themeColor="text1"/>
          </w:rPr>
          <w:t>https://doi.org/10.1111/j.1475-6811.1997.tb00146.x</w:t>
        </w:r>
      </w:hyperlink>
    </w:p>
    <w:p w14:paraId="77FF7D44" w14:textId="77777777" w:rsidR="00B76713" w:rsidRPr="005554ED" w:rsidRDefault="00B76713" w:rsidP="00B76713">
      <w:pPr>
        <w:pStyle w:val="Bibliography"/>
        <w:rPr>
          <w:color w:val="000000" w:themeColor="text1"/>
        </w:rPr>
      </w:pPr>
      <w:r w:rsidRPr="005554ED">
        <w:rPr>
          <w:color w:val="000000" w:themeColor="text1"/>
        </w:rPr>
        <w:t xml:space="preserve">Wiseman, H., </w:t>
      </w:r>
      <w:proofErr w:type="spellStart"/>
      <w:r w:rsidRPr="005554ED">
        <w:rPr>
          <w:color w:val="000000" w:themeColor="text1"/>
        </w:rPr>
        <w:t>Mayseless</w:t>
      </w:r>
      <w:proofErr w:type="spellEnd"/>
      <w:r w:rsidRPr="005554ED">
        <w:rPr>
          <w:color w:val="000000" w:themeColor="text1"/>
        </w:rPr>
        <w:t xml:space="preserve">, O., &amp; </w:t>
      </w:r>
      <w:proofErr w:type="spellStart"/>
      <w:r w:rsidRPr="005554ED">
        <w:rPr>
          <w:color w:val="000000" w:themeColor="text1"/>
        </w:rPr>
        <w:t>Sharabany</w:t>
      </w:r>
      <w:proofErr w:type="spellEnd"/>
      <w:r w:rsidRPr="005554ED">
        <w:rPr>
          <w:color w:val="000000" w:themeColor="text1"/>
        </w:rPr>
        <w:t xml:space="preserve">, R. (2006). Why are they lonely? Perceived quality of early relationships with parents, attachment, personality predispositions and loneliness in first-year university students. </w:t>
      </w:r>
      <w:r w:rsidRPr="005554ED">
        <w:rPr>
          <w:i/>
          <w:iCs/>
          <w:color w:val="000000" w:themeColor="text1"/>
        </w:rPr>
        <w:t>Personality and Individual Differences</w:t>
      </w:r>
      <w:r w:rsidRPr="005554ED">
        <w:rPr>
          <w:color w:val="000000" w:themeColor="text1"/>
        </w:rPr>
        <w:t xml:space="preserve">, </w:t>
      </w:r>
      <w:r w:rsidRPr="005554ED">
        <w:rPr>
          <w:i/>
          <w:iCs/>
          <w:color w:val="000000" w:themeColor="text1"/>
        </w:rPr>
        <w:t>40</w:t>
      </w:r>
      <w:r w:rsidRPr="005554ED">
        <w:rPr>
          <w:color w:val="000000" w:themeColor="text1"/>
        </w:rPr>
        <w:t xml:space="preserve">(2), 237–248. </w:t>
      </w:r>
      <w:hyperlink r:id="rId284" w:history="1">
        <w:r w:rsidRPr="005554ED">
          <w:rPr>
            <w:rStyle w:val="Hyperlink"/>
            <w:rFonts w:eastAsia="Arial"/>
            <w:color w:val="000000" w:themeColor="text1"/>
          </w:rPr>
          <w:t>https://doi.org/10.1016/j.paid.2005.05.015</w:t>
        </w:r>
      </w:hyperlink>
    </w:p>
    <w:p w14:paraId="1F75A2C0" w14:textId="77777777" w:rsidR="00B76713" w:rsidRPr="005554ED" w:rsidRDefault="00B76713" w:rsidP="00B76713">
      <w:pPr>
        <w:pStyle w:val="Bibliography"/>
        <w:rPr>
          <w:color w:val="000000" w:themeColor="text1"/>
        </w:rPr>
      </w:pPr>
      <w:r w:rsidRPr="005554ED">
        <w:rPr>
          <w:color w:val="000000" w:themeColor="text1"/>
        </w:rPr>
        <w:t xml:space="preserve">Wolf, T. M., </w:t>
      </w:r>
      <w:proofErr w:type="spellStart"/>
      <w:r w:rsidRPr="005554ED">
        <w:rPr>
          <w:color w:val="000000" w:themeColor="text1"/>
        </w:rPr>
        <w:t>Scurria</w:t>
      </w:r>
      <w:proofErr w:type="spellEnd"/>
      <w:r w:rsidRPr="005554ED">
        <w:rPr>
          <w:color w:val="000000" w:themeColor="text1"/>
        </w:rPr>
        <w:t xml:space="preserve">, P. L., &amp; Webster, M. G. (1998). A four-year study of anxiety, depression, loneliness, social support, and perceived mistreatment in medical students. </w:t>
      </w:r>
      <w:r w:rsidRPr="005554ED">
        <w:rPr>
          <w:i/>
          <w:iCs/>
          <w:color w:val="000000" w:themeColor="text1"/>
        </w:rPr>
        <w:t>Journal of Health Psychology</w:t>
      </w:r>
      <w:r w:rsidRPr="005554ED">
        <w:rPr>
          <w:color w:val="000000" w:themeColor="text1"/>
        </w:rPr>
        <w:t xml:space="preserve">, </w:t>
      </w:r>
      <w:r w:rsidRPr="005554ED">
        <w:rPr>
          <w:i/>
          <w:iCs/>
          <w:color w:val="000000" w:themeColor="text1"/>
        </w:rPr>
        <w:t>3</w:t>
      </w:r>
      <w:r w:rsidRPr="005554ED">
        <w:rPr>
          <w:color w:val="000000" w:themeColor="text1"/>
        </w:rPr>
        <w:t xml:space="preserve">(1), 125–136. </w:t>
      </w:r>
      <w:hyperlink r:id="rId285" w:history="1">
        <w:r w:rsidRPr="005554ED">
          <w:rPr>
            <w:rStyle w:val="Hyperlink"/>
            <w:rFonts w:eastAsia="Arial"/>
            <w:color w:val="000000" w:themeColor="text1"/>
          </w:rPr>
          <w:t>https://doi.org/10.1177/135910539800300110</w:t>
        </w:r>
      </w:hyperlink>
    </w:p>
    <w:p w14:paraId="7EF15BC4" w14:textId="77777777" w:rsidR="00B76713" w:rsidRPr="005554ED" w:rsidRDefault="00B76713" w:rsidP="00B76713">
      <w:pPr>
        <w:pStyle w:val="Bibliography"/>
        <w:rPr>
          <w:color w:val="000000" w:themeColor="text1"/>
          <w:lang w:val="de-DE"/>
        </w:rPr>
      </w:pPr>
      <w:r w:rsidRPr="005554ED">
        <w:rPr>
          <w:color w:val="000000" w:themeColor="text1"/>
        </w:rPr>
        <w:t xml:space="preserve">World Health Organization. (2020, August 19). </w:t>
      </w:r>
      <w:r w:rsidRPr="005554ED">
        <w:rPr>
          <w:i/>
          <w:iCs/>
          <w:color w:val="000000" w:themeColor="text1"/>
        </w:rPr>
        <w:t>Humanitarian Health Action—Definitions: Emergencies</w:t>
      </w:r>
      <w:r w:rsidRPr="005554ED">
        <w:rPr>
          <w:color w:val="000000" w:themeColor="text1"/>
        </w:rPr>
        <w:t xml:space="preserve">. </w:t>
      </w:r>
      <w:hyperlink r:id="rId286" w:history="1">
        <w:r w:rsidRPr="005554ED">
          <w:rPr>
            <w:rStyle w:val="Hyperlink"/>
            <w:rFonts w:eastAsia="Arial"/>
            <w:color w:val="000000" w:themeColor="text1"/>
            <w:lang w:val="de-DE"/>
          </w:rPr>
          <w:t>https://www.who.int/hac/about/definitions/en/</w:t>
        </w:r>
      </w:hyperlink>
    </w:p>
    <w:p w14:paraId="0C5A5B01" w14:textId="77777777" w:rsidR="00B76713" w:rsidRPr="005554ED" w:rsidRDefault="00B76713" w:rsidP="00B76713">
      <w:pPr>
        <w:pStyle w:val="Bibliography"/>
        <w:rPr>
          <w:color w:val="000000" w:themeColor="text1"/>
        </w:rPr>
      </w:pPr>
      <w:r w:rsidRPr="005554ED">
        <w:rPr>
          <w:color w:val="000000" w:themeColor="text1"/>
          <w:lang w:val="de-DE"/>
        </w:rPr>
        <w:t xml:space="preserve">Wortman, J., Donnellan, M. B., &amp; Lucas, R. E. (2014). </w:t>
      </w:r>
      <w:r w:rsidRPr="005554ED">
        <w:rPr>
          <w:color w:val="000000" w:themeColor="text1"/>
        </w:rPr>
        <w:t xml:space="preserve">Can physical warmth (or coldness) predict trait loneliness? A replication of </w:t>
      </w:r>
      <w:proofErr w:type="spellStart"/>
      <w:r w:rsidRPr="005554ED">
        <w:rPr>
          <w:color w:val="000000" w:themeColor="text1"/>
        </w:rPr>
        <w:t>Bargh</w:t>
      </w:r>
      <w:proofErr w:type="spellEnd"/>
      <w:r w:rsidRPr="005554ED">
        <w:rPr>
          <w:color w:val="000000" w:themeColor="text1"/>
        </w:rPr>
        <w:t xml:space="preserve"> and Shalev (2012). </w:t>
      </w:r>
      <w:r w:rsidRPr="005554ED">
        <w:rPr>
          <w:i/>
          <w:iCs/>
          <w:color w:val="000000" w:themeColor="text1"/>
        </w:rPr>
        <w:t>Archives of Scientific Psychology</w:t>
      </w:r>
      <w:r w:rsidRPr="005554ED">
        <w:rPr>
          <w:color w:val="000000" w:themeColor="text1"/>
        </w:rPr>
        <w:t xml:space="preserve">, </w:t>
      </w:r>
      <w:r w:rsidRPr="005554ED">
        <w:rPr>
          <w:i/>
          <w:iCs/>
          <w:color w:val="000000" w:themeColor="text1"/>
        </w:rPr>
        <w:t>2</w:t>
      </w:r>
      <w:r w:rsidRPr="005554ED">
        <w:rPr>
          <w:color w:val="000000" w:themeColor="text1"/>
        </w:rPr>
        <w:t xml:space="preserve">(1), 13–19. </w:t>
      </w:r>
      <w:hyperlink r:id="rId287" w:history="1">
        <w:r w:rsidRPr="005554ED">
          <w:rPr>
            <w:rStyle w:val="Hyperlink"/>
            <w:rFonts w:eastAsia="Arial"/>
            <w:color w:val="000000" w:themeColor="text1"/>
          </w:rPr>
          <w:t>https://doi.org/10.1037/arc0000007</w:t>
        </w:r>
      </w:hyperlink>
    </w:p>
    <w:p w14:paraId="0161DEF4" w14:textId="77777777" w:rsidR="00B76713" w:rsidRPr="005554ED" w:rsidRDefault="00B76713" w:rsidP="00B76713">
      <w:pPr>
        <w:pStyle w:val="Bibliography"/>
        <w:rPr>
          <w:color w:val="000000" w:themeColor="text1"/>
        </w:rPr>
      </w:pPr>
      <w:r w:rsidRPr="005554ED">
        <w:rPr>
          <w:color w:val="000000" w:themeColor="text1"/>
        </w:rPr>
        <w:lastRenderedPageBreak/>
        <w:t xml:space="preserve">Wright, A., &amp; Pritchard, M. E. (2009). An examination of the relation of gender, mass media influence, and loneliness to disordered eating among college students. </w:t>
      </w:r>
      <w:r w:rsidRPr="005554ED">
        <w:rPr>
          <w:i/>
          <w:iCs/>
          <w:color w:val="000000" w:themeColor="text1"/>
        </w:rPr>
        <w:t xml:space="preserve">Eating and Weight </w:t>
      </w:r>
      <w:proofErr w:type="gramStart"/>
      <w:r w:rsidRPr="005554ED">
        <w:rPr>
          <w:i/>
          <w:iCs/>
          <w:color w:val="000000" w:themeColor="text1"/>
        </w:rPr>
        <w:t>Disorders :</w:t>
      </w:r>
      <w:proofErr w:type="gramEnd"/>
      <w:r w:rsidRPr="005554ED">
        <w:rPr>
          <w:i/>
          <w:iCs/>
          <w:color w:val="000000" w:themeColor="text1"/>
        </w:rPr>
        <w:t xml:space="preserve"> EWD</w:t>
      </w:r>
      <w:r w:rsidRPr="005554ED">
        <w:rPr>
          <w:color w:val="000000" w:themeColor="text1"/>
        </w:rPr>
        <w:t xml:space="preserve">, </w:t>
      </w:r>
      <w:r w:rsidRPr="005554ED">
        <w:rPr>
          <w:i/>
          <w:iCs/>
          <w:color w:val="000000" w:themeColor="text1"/>
        </w:rPr>
        <w:t>14</w:t>
      </w:r>
      <w:r w:rsidRPr="005554ED">
        <w:rPr>
          <w:color w:val="000000" w:themeColor="text1"/>
        </w:rPr>
        <w:t xml:space="preserve">(2–3), e144-7. </w:t>
      </w:r>
      <w:hyperlink r:id="rId288" w:history="1">
        <w:r w:rsidRPr="005554ED">
          <w:rPr>
            <w:rStyle w:val="Hyperlink"/>
            <w:rFonts w:eastAsia="Arial"/>
            <w:color w:val="000000" w:themeColor="text1"/>
          </w:rPr>
          <w:t>https://doi.org/10.1007/BF03327813</w:t>
        </w:r>
      </w:hyperlink>
    </w:p>
    <w:p w14:paraId="22B2E2DA" w14:textId="77777777" w:rsidR="00B76713" w:rsidRPr="005554ED" w:rsidRDefault="00B76713" w:rsidP="00B76713">
      <w:pPr>
        <w:pStyle w:val="Bibliography"/>
        <w:rPr>
          <w:color w:val="000000" w:themeColor="text1"/>
        </w:rPr>
      </w:pPr>
      <w:r w:rsidRPr="005554ED">
        <w:rPr>
          <w:color w:val="000000" w:themeColor="text1"/>
        </w:rPr>
        <w:t xml:space="preserve">Wright, P. J. (2008). Predicting reaction to a message of ministry: An audience analysis. </w:t>
      </w:r>
      <w:r w:rsidRPr="005554ED">
        <w:rPr>
          <w:i/>
          <w:iCs/>
          <w:color w:val="000000" w:themeColor="text1"/>
        </w:rPr>
        <w:t>Journal for the Scientific Study of Religion</w:t>
      </w:r>
      <w:r w:rsidRPr="005554ED">
        <w:rPr>
          <w:color w:val="000000" w:themeColor="text1"/>
        </w:rPr>
        <w:t xml:space="preserve">, </w:t>
      </w:r>
      <w:r w:rsidRPr="005554ED">
        <w:rPr>
          <w:i/>
          <w:iCs/>
          <w:color w:val="000000" w:themeColor="text1"/>
        </w:rPr>
        <w:t>47</w:t>
      </w:r>
      <w:r w:rsidRPr="005554ED">
        <w:rPr>
          <w:color w:val="000000" w:themeColor="text1"/>
        </w:rPr>
        <w:t xml:space="preserve">(1), 63–81. </w:t>
      </w:r>
      <w:hyperlink r:id="rId289" w:history="1">
        <w:r w:rsidRPr="005554ED">
          <w:rPr>
            <w:rStyle w:val="Hyperlink"/>
            <w:rFonts w:eastAsia="Arial"/>
            <w:color w:val="000000" w:themeColor="text1"/>
          </w:rPr>
          <w:t>https://doi.org/10.1111/j.1468-5906.2008.00392.x</w:t>
        </w:r>
      </w:hyperlink>
    </w:p>
    <w:p w14:paraId="43B57F1E" w14:textId="77777777" w:rsidR="00B76713" w:rsidRPr="005554ED" w:rsidRDefault="00B76713" w:rsidP="00B76713">
      <w:pPr>
        <w:pStyle w:val="Bibliography"/>
        <w:rPr>
          <w:color w:val="000000" w:themeColor="text1"/>
        </w:rPr>
      </w:pPr>
      <w:r w:rsidRPr="005554ED">
        <w:rPr>
          <w:color w:val="000000" w:themeColor="text1"/>
        </w:rPr>
        <w:t xml:space="preserve">Wright, S. L., Perrone-McGovern, K. M., Boo, J. N., &amp; White, A. V. (2014). Influential factors in academic and career self-efficacy: Attachment, supports, and career barriers. </w:t>
      </w:r>
      <w:r w:rsidRPr="005554ED">
        <w:rPr>
          <w:i/>
          <w:iCs/>
          <w:color w:val="000000" w:themeColor="text1"/>
        </w:rPr>
        <w:t>Journal of Counseling &amp; Development</w:t>
      </w:r>
      <w:r w:rsidRPr="005554ED">
        <w:rPr>
          <w:color w:val="000000" w:themeColor="text1"/>
        </w:rPr>
        <w:t xml:space="preserve">, </w:t>
      </w:r>
      <w:r w:rsidRPr="005554ED">
        <w:rPr>
          <w:i/>
          <w:iCs/>
          <w:color w:val="000000" w:themeColor="text1"/>
        </w:rPr>
        <w:t>92</w:t>
      </w:r>
      <w:r w:rsidRPr="005554ED">
        <w:rPr>
          <w:color w:val="000000" w:themeColor="text1"/>
        </w:rPr>
        <w:t xml:space="preserve">(1), 36–46. </w:t>
      </w:r>
      <w:hyperlink r:id="rId290" w:history="1">
        <w:r w:rsidRPr="005554ED">
          <w:rPr>
            <w:rStyle w:val="Hyperlink"/>
            <w:rFonts w:eastAsia="Arial"/>
            <w:color w:val="000000" w:themeColor="text1"/>
          </w:rPr>
          <w:t>https://doi.org/10.1002/j.1556-6676.2014.00128.x</w:t>
        </w:r>
      </w:hyperlink>
    </w:p>
    <w:p w14:paraId="24DA708A" w14:textId="77777777" w:rsidR="00B76713" w:rsidRPr="006A16A9" w:rsidRDefault="00B76713" w:rsidP="00B76713">
      <w:pPr>
        <w:pStyle w:val="Bibliography"/>
        <w:rPr>
          <w:color w:val="000000" w:themeColor="text1"/>
        </w:rPr>
      </w:pPr>
      <w:proofErr w:type="spellStart"/>
      <w:r w:rsidRPr="005554ED">
        <w:rPr>
          <w:color w:val="000000" w:themeColor="text1"/>
        </w:rPr>
        <w:t>Xie</w:t>
      </w:r>
      <w:proofErr w:type="spellEnd"/>
      <w:r w:rsidRPr="005554ED">
        <w:rPr>
          <w:color w:val="000000" w:themeColor="text1"/>
        </w:rPr>
        <w:t xml:space="preserve">, X. (1997). Scores on loneliness of Chinese and American college students. </w:t>
      </w:r>
      <w:r w:rsidRPr="006A16A9">
        <w:rPr>
          <w:i/>
          <w:iCs/>
          <w:color w:val="000000" w:themeColor="text1"/>
        </w:rPr>
        <w:t>Psychological Reports</w:t>
      </w:r>
      <w:r w:rsidRPr="006A16A9">
        <w:rPr>
          <w:color w:val="000000" w:themeColor="text1"/>
        </w:rPr>
        <w:t xml:space="preserve">, </w:t>
      </w:r>
      <w:r w:rsidRPr="006A16A9">
        <w:rPr>
          <w:i/>
          <w:iCs/>
          <w:color w:val="000000" w:themeColor="text1"/>
        </w:rPr>
        <w:t>81</w:t>
      </w:r>
      <w:r w:rsidRPr="006A16A9">
        <w:rPr>
          <w:color w:val="000000" w:themeColor="text1"/>
        </w:rPr>
        <w:t xml:space="preserve">(5), 317. </w:t>
      </w:r>
      <w:hyperlink r:id="rId291" w:history="1">
        <w:r w:rsidRPr="006A16A9">
          <w:rPr>
            <w:rStyle w:val="Hyperlink"/>
            <w:rFonts w:eastAsia="Arial"/>
            <w:color w:val="000000" w:themeColor="text1"/>
          </w:rPr>
          <w:t>https://doi.org/10.2466/PR0.81.5.317-318</w:t>
        </w:r>
      </w:hyperlink>
    </w:p>
    <w:p w14:paraId="6B1C16A0" w14:textId="77777777" w:rsidR="00B76713" w:rsidRPr="005554ED" w:rsidRDefault="00B76713" w:rsidP="00B76713">
      <w:pPr>
        <w:pStyle w:val="Bibliography"/>
        <w:rPr>
          <w:color w:val="000000" w:themeColor="text1"/>
        </w:rPr>
      </w:pPr>
      <w:proofErr w:type="spellStart"/>
      <w:r w:rsidRPr="006A16A9">
        <w:rPr>
          <w:color w:val="000000" w:themeColor="text1"/>
        </w:rPr>
        <w:t>Yalçın</w:t>
      </w:r>
      <w:proofErr w:type="spellEnd"/>
      <w:r w:rsidRPr="006A16A9">
        <w:rPr>
          <w:color w:val="000000" w:themeColor="text1"/>
        </w:rPr>
        <w:t xml:space="preserve">, I., </w:t>
      </w:r>
      <w:proofErr w:type="spellStart"/>
      <w:r w:rsidRPr="006A16A9">
        <w:rPr>
          <w:color w:val="000000" w:themeColor="text1"/>
        </w:rPr>
        <w:t>Arıcıoğlu</w:t>
      </w:r>
      <w:proofErr w:type="spellEnd"/>
      <w:r w:rsidRPr="006A16A9">
        <w:rPr>
          <w:color w:val="000000" w:themeColor="text1"/>
        </w:rPr>
        <w:t xml:space="preserve">, A., &amp; </w:t>
      </w:r>
      <w:proofErr w:type="spellStart"/>
      <w:r w:rsidRPr="006A16A9">
        <w:rPr>
          <w:color w:val="000000" w:themeColor="text1"/>
        </w:rPr>
        <w:t>Malkoç</w:t>
      </w:r>
      <w:proofErr w:type="spellEnd"/>
      <w:r w:rsidRPr="006A16A9">
        <w:rPr>
          <w:color w:val="000000" w:themeColor="text1"/>
        </w:rPr>
        <w:t xml:space="preserve">, A. (2012). </w:t>
      </w:r>
      <w:r w:rsidRPr="005554ED">
        <w:rPr>
          <w:color w:val="000000" w:themeColor="text1"/>
        </w:rPr>
        <w:t xml:space="preserve">Premarital sex, social support, submissive behaviors, and loneliness among Turkish university students. </w:t>
      </w:r>
      <w:r w:rsidRPr="005554ED">
        <w:rPr>
          <w:i/>
          <w:iCs/>
          <w:color w:val="000000" w:themeColor="text1"/>
        </w:rPr>
        <w:t>International Journal for the Advancement of Counselling</w:t>
      </w:r>
      <w:r w:rsidRPr="005554ED">
        <w:rPr>
          <w:color w:val="000000" w:themeColor="text1"/>
        </w:rPr>
        <w:t xml:space="preserve">, </w:t>
      </w:r>
      <w:r w:rsidRPr="005554ED">
        <w:rPr>
          <w:i/>
          <w:iCs/>
          <w:color w:val="000000" w:themeColor="text1"/>
        </w:rPr>
        <w:t>34</w:t>
      </w:r>
      <w:r w:rsidRPr="005554ED">
        <w:rPr>
          <w:color w:val="000000" w:themeColor="text1"/>
        </w:rPr>
        <w:t xml:space="preserve">(3), 259–267. </w:t>
      </w:r>
      <w:hyperlink r:id="rId292" w:history="1">
        <w:r w:rsidRPr="005554ED">
          <w:rPr>
            <w:rStyle w:val="Hyperlink"/>
            <w:rFonts w:eastAsia="Arial"/>
            <w:color w:val="000000" w:themeColor="text1"/>
          </w:rPr>
          <w:t>https://doi.org/10.1007/s10447-012-9156-6</w:t>
        </w:r>
      </w:hyperlink>
    </w:p>
    <w:p w14:paraId="2F9CF6AE" w14:textId="77777777" w:rsidR="00B76713" w:rsidRPr="005554ED" w:rsidRDefault="00B76713" w:rsidP="00B76713">
      <w:pPr>
        <w:pStyle w:val="Bibliography"/>
        <w:rPr>
          <w:color w:val="000000" w:themeColor="text1"/>
        </w:rPr>
      </w:pPr>
      <w:r w:rsidRPr="005554ED">
        <w:rPr>
          <w:color w:val="000000" w:themeColor="text1"/>
        </w:rPr>
        <w:t xml:space="preserve">Yamaguchi, M., Smith, A., &amp; </w:t>
      </w:r>
      <w:proofErr w:type="spellStart"/>
      <w:r w:rsidRPr="005554ED">
        <w:rPr>
          <w:color w:val="000000" w:themeColor="text1"/>
        </w:rPr>
        <w:t>Ohtsubo</w:t>
      </w:r>
      <w:proofErr w:type="spellEnd"/>
      <w:r w:rsidRPr="005554ED">
        <w:rPr>
          <w:color w:val="000000" w:themeColor="text1"/>
        </w:rPr>
        <w:t xml:space="preserve">, Y. (2017). Loneliness predicts insensitivity to partner commitment. </w:t>
      </w:r>
      <w:r w:rsidRPr="005554ED">
        <w:rPr>
          <w:i/>
          <w:iCs/>
          <w:color w:val="000000" w:themeColor="text1"/>
        </w:rPr>
        <w:t>Personality and Individual Differences</w:t>
      </w:r>
      <w:r w:rsidRPr="005554ED">
        <w:rPr>
          <w:color w:val="000000" w:themeColor="text1"/>
        </w:rPr>
        <w:t xml:space="preserve">, </w:t>
      </w:r>
      <w:r w:rsidRPr="005554ED">
        <w:rPr>
          <w:i/>
          <w:iCs/>
          <w:color w:val="000000" w:themeColor="text1"/>
        </w:rPr>
        <w:t>105</w:t>
      </w:r>
      <w:r w:rsidRPr="005554ED">
        <w:rPr>
          <w:color w:val="000000" w:themeColor="text1"/>
        </w:rPr>
        <w:t xml:space="preserve">, 200–207. </w:t>
      </w:r>
      <w:hyperlink r:id="rId293" w:history="1">
        <w:r w:rsidRPr="005554ED">
          <w:rPr>
            <w:rStyle w:val="Hyperlink"/>
            <w:rFonts w:eastAsia="Arial"/>
            <w:color w:val="000000" w:themeColor="text1"/>
          </w:rPr>
          <w:t>https://doi.org/10.1016/j.paid.2016.09.047</w:t>
        </w:r>
      </w:hyperlink>
    </w:p>
    <w:p w14:paraId="33B0431C" w14:textId="77777777" w:rsidR="00B76713" w:rsidRPr="005554ED" w:rsidRDefault="00B76713" w:rsidP="00B76713">
      <w:pPr>
        <w:pStyle w:val="Bibliography"/>
        <w:rPr>
          <w:color w:val="000000" w:themeColor="text1"/>
        </w:rPr>
      </w:pPr>
      <w:r w:rsidRPr="005554ED">
        <w:rPr>
          <w:color w:val="000000" w:themeColor="text1"/>
        </w:rPr>
        <w:t xml:space="preserve">Yan, X., Su, J., Zhu, X., &amp; He, D. (2013). Loneliness and subjective happiness as mediators of the effects of core self-evaluations on life satisfaction among Chinese college students. </w:t>
      </w:r>
      <w:r w:rsidRPr="005554ED">
        <w:rPr>
          <w:i/>
          <w:iCs/>
          <w:color w:val="000000" w:themeColor="text1"/>
        </w:rPr>
        <w:t>Social Indicators Research</w:t>
      </w:r>
      <w:r w:rsidRPr="005554ED">
        <w:rPr>
          <w:color w:val="000000" w:themeColor="text1"/>
        </w:rPr>
        <w:t xml:space="preserve">, </w:t>
      </w:r>
      <w:r w:rsidRPr="005554ED">
        <w:rPr>
          <w:i/>
          <w:iCs/>
          <w:color w:val="000000" w:themeColor="text1"/>
        </w:rPr>
        <w:t>114</w:t>
      </w:r>
      <w:r w:rsidRPr="005554ED">
        <w:rPr>
          <w:color w:val="000000" w:themeColor="text1"/>
        </w:rPr>
        <w:t xml:space="preserve">(2), 757–766. </w:t>
      </w:r>
      <w:hyperlink r:id="rId294" w:history="1">
        <w:r w:rsidRPr="005554ED">
          <w:rPr>
            <w:rStyle w:val="Hyperlink"/>
            <w:rFonts w:eastAsia="Arial"/>
            <w:color w:val="000000" w:themeColor="text1"/>
          </w:rPr>
          <w:t>https://doi.org/10.1007/s11205-012-0172-z</w:t>
        </w:r>
      </w:hyperlink>
    </w:p>
    <w:p w14:paraId="0C0B511B" w14:textId="77777777" w:rsidR="00B76713" w:rsidRPr="005554ED" w:rsidRDefault="00B76713" w:rsidP="00B76713">
      <w:pPr>
        <w:pStyle w:val="Bibliography"/>
        <w:rPr>
          <w:color w:val="000000" w:themeColor="text1"/>
        </w:rPr>
      </w:pPr>
      <w:r w:rsidRPr="005554ED">
        <w:rPr>
          <w:color w:val="000000" w:themeColor="text1"/>
        </w:rPr>
        <w:lastRenderedPageBreak/>
        <w:t xml:space="preserve">Yang, C.-C. (2016). Instagram use, loneliness, and social comparison orientation: Interact and browse on social media, but don’t compare. </w:t>
      </w:r>
      <w:r w:rsidRPr="005554ED">
        <w:rPr>
          <w:i/>
          <w:iCs/>
          <w:color w:val="000000" w:themeColor="text1"/>
        </w:rPr>
        <w:t>Cyberpsychology, Behavior and Social Networking</w:t>
      </w:r>
      <w:r w:rsidRPr="005554ED">
        <w:rPr>
          <w:color w:val="000000" w:themeColor="text1"/>
        </w:rPr>
        <w:t xml:space="preserve">, </w:t>
      </w:r>
      <w:r w:rsidRPr="005554ED">
        <w:rPr>
          <w:i/>
          <w:iCs/>
          <w:color w:val="000000" w:themeColor="text1"/>
        </w:rPr>
        <w:t>19</w:t>
      </w:r>
      <w:r w:rsidRPr="005554ED">
        <w:rPr>
          <w:color w:val="000000" w:themeColor="text1"/>
        </w:rPr>
        <w:t xml:space="preserve">(12), 703–708. </w:t>
      </w:r>
      <w:hyperlink r:id="rId295" w:history="1">
        <w:r w:rsidRPr="005554ED">
          <w:rPr>
            <w:rStyle w:val="Hyperlink"/>
            <w:rFonts w:eastAsia="Arial"/>
            <w:color w:val="000000" w:themeColor="text1"/>
          </w:rPr>
          <w:t>https://doi.org/10.1089/cyber.2016.0201</w:t>
        </w:r>
      </w:hyperlink>
    </w:p>
    <w:p w14:paraId="29333AAC" w14:textId="77777777" w:rsidR="00B76713" w:rsidRPr="005554ED" w:rsidRDefault="00B76713" w:rsidP="00B76713">
      <w:pPr>
        <w:pStyle w:val="Bibliography"/>
        <w:rPr>
          <w:color w:val="000000" w:themeColor="text1"/>
        </w:rPr>
      </w:pPr>
      <w:r w:rsidRPr="005554ED">
        <w:rPr>
          <w:color w:val="000000" w:themeColor="text1"/>
        </w:rPr>
        <w:t xml:space="preserve">Yao, M. Z., &amp; Zhong, Z. (2014). Loneliness, social contacts and Internet addiction: A cross-lagged panel study. </w:t>
      </w:r>
      <w:r w:rsidRPr="005554ED">
        <w:rPr>
          <w:i/>
          <w:iCs/>
          <w:color w:val="000000" w:themeColor="text1"/>
        </w:rPr>
        <w:t>Computers in Human Behavior</w:t>
      </w:r>
      <w:r w:rsidRPr="005554ED">
        <w:rPr>
          <w:color w:val="000000" w:themeColor="text1"/>
        </w:rPr>
        <w:t xml:space="preserve">, </w:t>
      </w:r>
      <w:r w:rsidRPr="005554ED">
        <w:rPr>
          <w:i/>
          <w:iCs/>
          <w:color w:val="000000" w:themeColor="text1"/>
        </w:rPr>
        <w:t>30</w:t>
      </w:r>
      <w:r w:rsidRPr="005554ED">
        <w:rPr>
          <w:color w:val="000000" w:themeColor="text1"/>
        </w:rPr>
        <w:t xml:space="preserve">, 164–170. </w:t>
      </w:r>
      <w:hyperlink r:id="rId296" w:history="1">
        <w:r w:rsidRPr="005554ED">
          <w:rPr>
            <w:rStyle w:val="Hyperlink"/>
            <w:rFonts w:eastAsia="Arial"/>
            <w:color w:val="000000" w:themeColor="text1"/>
          </w:rPr>
          <w:t>https://doi.org/10.1016/j.chb.2013.08.007</w:t>
        </w:r>
      </w:hyperlink>
    </w:p>
    <w:p w14:paraId="2D5EA55D" w14:textId="77777777" w:rsidR="00B76713" w:rsidRPr="005554ED" w:rsidRDefault="00B76713" w:rsidP="00B76713">
      <w:pPr>
        <w:pStyle w:val="Bibliography"/>
        <w:rPr>
          <w:color w:val="000000" w:themeColor="text1"/>
        </w:rPr>
      </w:pPr>
      <w:r w:rsidRPr="005554ED">
        <w:rPr>
          <w:color w:val="000000" w:themeColor="text1"/>
        </w:rPr>
        <w:t xml:space="preserve">Yousaf, A., </w:t>
      </w:r>
      <w:proofErr w:type="spellStart"/>
      <w:r w:rsidRPr="005554ED">
        <w:rPr>
          <w:color w:val="000000" w:themeColor="text1"/>
        </w:rPr>
        <w:t>Ghayas</w:t>
      </w:r>
      <w:proofErr w:type="spellEnd"/>
      <w:r w:rsidRPr="005554ED">
        <w:rPr>
          <w:color w:val="000000" w:themeColor="text1"/>
        </w:rPr>
        <w:t xml:space="preserve">, S., &amp; Akhtar, S. T. (2015). Daydreaming in relation with loneliness and perceived social support among university undergraduates. </w:t>
      </w:r>
      <w:r w:rsidRPr="005554ED">
        <w:rPr>
          <w:i/>
          <w:iCs/>
          <w:color w:val="000000" w:themeColor="text1"/>
        </w:rPr>
        <w:t>Journal of the Indian Academy of Applied Psychology</w:t>
      </w:r>
      <w:r w:rsidRPr="005554ED">
        <w:rPr>
          <w:color w:val="000000" w:themeColor="text1"/>
        </w:rPr>
        <w:t xml:space="preserve">, </w:t>
      </w:r>
      <w:r w:rsidRPr="005554ED">
        <w:rPr>
          <w:i/>
          <w:iCs/>
          <w:color w:val="000000" w:themeColor="text1"/>
        </w:rPr>
        <w:t>41</w:t>
      </w:r>
      <w:r w:rsidRPr="005554ED">
        <w:rPr>
          <w:color w:val="000000" w:themeColor="text1"/>
        </w:rPr>
        <w:t>(2), 306.</w:t>
      </w:r>
    </w:p>
    <w:p w14:paraId="22FAA233" w14:textId="77777777" w:rsidR="00B76713" w:rsidRPr="005554ED" w:rsidRDefault="00B76713" w:rsidP="00B76713">
      <w:pPr>
        <w:pStyle w:val="Bibliography"/>
        <w:rPr>
          <w:color w:val="000000" w:themeColor="text1"/>
        </w:rPr>
      </w:pPr>
      <w:r w:rsidRPr="005554ED">
        <w:rPr>
          <w:color w:val="000000" w:themeColor="text1"/>
        </w:rPr>
        <w:t xml:space="preserve">Yu, S., Wu, A. M. S., &amp; </w:t>
      </w:r>
      <w:proofErr w:type="spellStart"/>
      <w:r w:rsidRPr="005554ED">
        <w:rPr>
          <w:color w:val="000000" w:themeColor="text1"/>
        </w:rPr>
        <w:t>Pesigan</w:t>
      </w:r>
      <w:proofErr w:type="spellEnd"/>
      <w:r w:rsidRPr="005554ED">
        <w:rPr>
          <w:color w:val="000000" w:themeColor="text1"/>
        </w:rPr>
        <w:t xml:space="preserve">, I. J. A. (2016). Cognitive and psychosocial health risk factors of social networking addiction. </w:t>
      </w:r>
      <w:r w:rsidRPr="005554ED">
        <w:rPr>
          <w:i/>
          <w:iCs/>
          <w:color w:val="000000" w:themeColor="text1"/>
        </w:rPr>
        <w:t>International Journal of Mental Health and Addiction</w:t>
      </w:r>
      <w:r w:rsidRPr="005554ED">
        <w:rPr>
          <w:color w:val="000000" w:themeColor="text1"/>
        </w:rPr>
        <w:t xml:space="preserve">, </w:t>
      </w:r>
      <w:r w:rsidRPr="005554ED">
        <w:rPr>
          <w:i/>
          <w:iCs/>
          <w:color w:val="000000" w:themeColor="text1"/>
        </w:rPr>
        <w:t>14</w:t>
      </w:r>
      <w:r w:rsidRPr="005554ED">
        <w:rPr>
          <w:color w:val="000000" w:themeColor="text1"/>
        </w:rPr>
        <w:t xml:space="preserve">(4), 550–564. </w:t>
      </w:r>
      <w:hyperlink r:id="rId297" w:history="1">
        <w:r w:rsidRPr="005554ED">
          <w:rPr>
            <w:rStyle w:val="Hyperlink"/>
            <w:rFonts w:eastAsia="Arial"/>
            <w:color w:val="000000" w:themeColor="text1"/>
          </w:rPr>
          <w:t>https://doi.org/10.1007/s11469-015-9612-8</w:t>
        </w:r>
      </w:hyperlink>
    </w:p>
    <w:p w14:paraId="042D47F6" w14:textId="77777777" w:rsidR="00B76713" w:rsidRPr="005554ED" w:rsidRDefault="00B76713" w:rsidP="00B76713">
      <w:pPr>
        <w:pStyle w:val="Bibliography"/>
        <w:rPr>
          <w:color w:val="000000" w:themeColor="text1"/>
        </w:rPr>
      </w:pPr>
      <w:proofErr w:type="spellStart"/>
      <w:r w:rsidRPr="005554ED">
        <w:rPr>
          <w:color w:val="000000" w:themeColor="text1"/>
        </w:rPr>
        <w:t>Yubero</w:t>
      </w:r>
      <w:proofErr w:type="spellEnd"/>
      <w:r w:rsidRPr="005554ED">
        <w:rPr>
          <w:color w:val="000000" w:themeColor="text1"/>
        </w:rPr>
        <w:t xml:space="preserve">, S., Navarro, R., Elche, M., </w:t>
      </w:r>
      <w:proofErr w:type="spellStart"/>
      <w:r w:rsidRPr="005554ED">
        <w:rPr>
          <w:color w:val="000000" w:themeColor="text1"/>
        </w:rPr>
        <w:t>Larrañaga</w:t>
      </w:r>
      <w:proofErr w:type="spellEnd"/>
      <w:r w:rsidRPr="005554ED">
        <w:rPr>
          <w:color w:val="000000" w:themeColor="text1"/>
        </w:rPr>
        <w:t xml:space="preserve">, E., &amp; </w:t>
      </w:r>
      <w:proofErr w:type="spellStart"/>
      <w:r w:rsidRPr="005554ED">
        <w:rPr>
          <w:color w:val="000000" w:themeColor="text1"/>
        </w:rPr>
        <w:t>Ovejero</w:t>
      </w:r>
      <w:proofErr w:type="spellEnd"/>
      <w:r w:rsidRPr="005554ED">
        <w:rPr>
          <w:color w:val="000000" w:themeColor="text1"/>
        </w:rPr>
        <w:t xml:space="preserve">, A. (2017). Cyberbullying victimization in higher education: An exploratory analysis of its association with social and emotional factors among Spanish students. </w:t>
      </w:r>
      <w:r w:rsidRPr="005554ED">
        <w:rPr>
          <w:i/>
          <w:iCs/>
          <w:color w:val="000000" w:themeColor="text1"/>
        </w:rPr>
        <w:t>Computers in Human Behavior</w:t>
      </w:r>
      <w:r w:rsidRPr="005554ED">
        <w:rPr>
          <w:color w:val="000000" w:themeColor="text1"/>
        </w:rPr>
        <w:t xml:space="preserve">, </w:t>
      </w:r>
      <w:r w:rsidRPr="005554ED">
        <w:rPr>
          <w:i/>
          <w:iCs/>
          <w:color w:val="000000" w:themeColor="text1"/>
        </w:rPr>
        <w:t>75</w:t>
      </w:r>
      <w:r w:rsidRPr="005554ED">
        <w:rPr>
          <w:color w:val="000000" w:themeColor="text1"/>
        </w:rPr>
        <w:t xml:space="preserve">, 439–449. </w:t>
      </w:r>
      <w:hyperlink r:id="rId298" w:history="1">
        <w:r w:rsidRPr="005554ED">
          <w:rPr>
            <w:rStyle w:val="Hyperlink"/>
            <w:rFonts w:eastAsia="Arial"/>
            <w:color w:val="000000" w:themeColor="text1"/>
          </w:rPr>
          <w:t>https://doi.org/10.1016/j.chb.2017.05.037</w:t>
        </w:r>
      </w:hyperlink>
    </w:p>
    <w:p w14:paraId="582E5C24" w14:textId="77777777" w:rsidR="00B76713" w:rsidRPr="005554ED" w:rsidRDefault="00B76713" w:rsidP="00B76713">
      <w:pPr>
        <w:pStyle w:val="Bibliography"/>
        <w:rPr>
          <w:color w:val="000000" w:themeColor="text1"/>
        </w:rPr>
      </w:pPr>
      <w:proofErr w:type="spellStart"/>
      <w:r w:rsidRPr="005554ED">
        <w:rPr>
          <w:color w:val="000000" w:themeColor="text1"/>
        </w:rPr>
        <w:t>Zarbatany</w:t>
      </w:r>
      <w:proofErr w:type="spellEnd"/>
      <w:r w:rsidRPr="005554ED">
        <w:rPr>
          <w:color w:val="000000" w:themeColor="text1"/>
        </w:rPr>
        <w:t xml:space="preserve">, L., Conley, R., &amp; Pepper, S. (2004). Personality and gender differences in friendship needs and experiences in preadolescence and young adulthood. </w:t>
      </w:r>
      <w:r w:rsidRPr="005554ED">
        <w:rPr>
          <w:i/>
          <w:iCs/>
          <w:color w:val="000000" w:themeColor="text1"/>
        </w:rPr>
        <w:t>International Journal of Behavioral Development</w:t>
      </w:r>
      <w:r w:rsidRPr="005554ED">
        <w:rPr>
          <w:color w:val="000000" w:themeColor="text1"/>
        </w:rPr>
        <w:t xml:space="preserve">, </w:t>
      </w:r>
      <w:r w:rsidRPr="005554ED">
        <w:rPr>
          <w:i/>
          <w:iCs/>
          <w:color w:val="000000" w:themeColor="text1"/>
        </w:rPr>
        <w:t>28</w:t>
      </w:r>
      <w:r w:rsidRPr="005554ED">
        <w:rPr>
          <w:color w:val="000000" w:themeColor="text1"/>
        </w:rPr>
        <w:t xml:space="preserve">(4), 299–310. </w:t>
      </w:r>
      <w:hyperlink r:id="rId299" w:history="1">
        <w:r w:rsidRPr="005554ED">
          <w:rPr>
            <w:rStyle w:val="Hyperlink"/>
            <w:rFonts w:eastAsia="Arial"/>
            <w:color w:val="000000" w:themeColor="text1"/>
          </w:rPr>
          <w:t>https://doi.org/10.1080/01650250344000514</w:t>
        </w:r>
      </w:hyperlink>
    </w:p>
    <w:p w14:paraId="0591BEA1" w14:textId="77777777" w:rsidR="00B76713" w:rsidRPr="005554ED" w:rsidRDefault="00B76713" w:rsidP="00B76713">
      <w:pPr>
        <w:pStyle w:val="Bibliography"/>
        <w:rPr>
          <w:color w:val="000000" w:themeColor="text1"/>
        </w:rPr>
      </w:pPr>
      <w:r w:rsidRPr="00A04F18">
        <w:rPr>
          <w:color w:val="000000" w:themeColor="text1"/>
          <w:lang w:val="de-DE"/>
        </w:rPr>
        <w:t xml:space="preserve">Zawadzki, M. J., Graham, J. E., &amp; Gerin, W. (2013). </w:t>
      </w:r>
      <w:r w:rsidRPr="005554ED">
        <w:rPr>
          <w:color w:val="000000" w:themeColor="text1"/>
        </w:rPr>
        <w:t xml:space="preserve">Rumination and anxiety mediate the effect of loneliness on depressed mood and sleep quality in college students. </w:t>
      </w:r>
      <w:r w:rsidRPr="005554ED">
        <w:rPr>
          <w:i/>
          <w:iCs/>
          <w:color w:val="000000" w:themeColor="text1"/>
        </w:rPr>
        <w:t xml:space="preserve">Health </w:t>
      </w:r>
      <w:proofErr w:type="gramStart"/>
      <w:r w:rsidRPr="005554ED">
        <w:rPr>
          <w:i/>
          <w:iCs/>
          <w:color w:val="000000" w:themeColor="text1"/>
        </w:rPr>
        <w:t>Psychology :</w:t>
      </w:r>
      <w:proofErr w:type="gramEnd"/>
      <w:r w:rsidRPr="005554ED">
        <w:rPr>
          <w:i/>
          <w:iCs/>
          <w:color w:val="000000" w:themeColor="text1"/>
        </w:rPr>
        <w:t xml:space="preserve"> Official Journal of the Division of Health Psychology, American Psychological Association</w:t>
      </w:r>
      <w:r w:rsidRPr="005554ED">
        <w:rPr>
          <w:color w:val="000000" w:themeColor="text1"/>
        </w:rPr>
        <w:t xml:space="preserve">, </w:t>
      </w:r>
      <w:r w:rsidRPr="005554ED">
        <w:rPr>
          <w:i/>
          <w:iCs/>
          <w:color w:val="000000" w:themeColor="text1"/>
        </w:rPr>
        <w:t>32</w:t>
      </w:r>
      <w:r w:rsidRPr="005554ED">
        <w:rPr>
          <w:color w:val="000000" w:themeColor="text1"/>
        </w:rPr>
        <w:t xml:space="preserve">(2), 212–222. </w:t>
      </w:r>
      <w:hyperlink r:id="rId300" w:history="1">
        <w:r w:rsidRPr="005554ED">
          <w:rPr>
            <w:rStyle w:val="Hyperlink"/>
            <w:rFonts w:eastAsia="Arial"/>
            <w:color w:val="000000" w:themeColor="text1"/>
          </w:rPr>
          <w:t>https://doi.org/10.1037/a0029007</w:t>
        </w:r>
      </w:hyperlink>
    </w:p>
    <w:p w14:paraId="434AC908" w14:textId="77777777" w:rsidR="00B76713" w:rsidRPr="005554ED" w:rsidRDefault="00B76713" w:rsidP="00B76713">
      <w:pPr>
        <w:pStyle w:val="Bibliography"/>
        <w:rPr>
          <w:color w:val="000000" w:themeColor="text1"/>
        </w:rPr>
      </w:pPr>
      <w:proofErr w:type="spellStart"/>
      <w:r w:rsidRPr="005554ED">
        <w:rPr>
          <w:color w:val="000000" w:themeColor="text1"/>
        </w:rPr>
        <w:lastRenderedPageBreak/>
        <w:t>Zeligman</w:t>
      </w:r>
      <w:proofErr w:type="spellEnd"/>
      <w:r w:rsidRPr="005554ED">
        <w:rPr>
          <w:color w:val="000000" w:themeColor="text1"/>
        </w:rPr>
        <w:t xml:space="preserve">, M., </w:t>
      </w:r>
      <w:proofErr w:type="spellStart"/>
      <w:r w:rsidRPr="005554ED">
        <w:rPr>
          <w:color w:val="000000" w:themeColor="text1"/>
        </w:rPr>
        <w:t>Bialo</w:t>
      </w:r>
      <w:proofErr w:type="spellEnd"/>
      <w:r w:rsidRPr="005554ED">
        <w:rPr>
          <w:color w:val="000000" w:themeColor="text1"/>
        </w:rPr>
        <w:t xml:space="preserve">, J. A., </w:t>
      </w:r>
      <w:proofErr w:type="spellStart"/>
      <w:r w:rsidRPr="005554ED">
        <w:rPr>
          <w:color w:val="000000" w:themeColor="text1"/>
        </w:rPr>
        <w:t>Brack</w:t>
      </w:r>
      <w:proofErr w:type="spellEnd"/>
      <w:r w:rsidRPr="005554ED">
        <w:rPr>
          <w:color w:val="000000" w:themeColor="text1"/>
        </w:rPr>
        <w:t xml:space="preserve">, J. L., &amp; Kearney, M. A. (2017). Loneliness as moderator between trauma and posttraumatic growth. </w:t>
      </w:r>
      <w:r w:rsidRPr="005554ED">
        <w:rPr>
          <w:i/>
          <w:iCs/>
          <w:color w:val="000000" w:themeColor="text1"/>
        </w:rPr>
        <w:t>Journal of Counseling &amp; Development</w:t>
      </w:r>
      <w:r w:rsidRPr="005554ED">
        <w:rPr>
          <w:color w:val="000000" w:themeColor="text1"/>
        </w:rPr>
        <w:t xml:space="preserve">, </w:t>
      </w:r>
      <w:r w:rsidRPr="005554ED">
        <w:rPr>
          <w:i/>
          <w:iCs/>
          <w:color w:val="000000" w:themeColor="text1"/>
        </w:rPr>
        <w:t>95</w:t>
      </w:r>
      <w:r w:rsidRPr="005554ED">
        <w:rPr>
          <w:color w:val="000000" w:themeColor="text1"/>
        </w:rPr>
        <w:t xml:space="preserve">(4), 435–444. </w:t>
      </w:r>
      <w:hyperlink r:id="rId301" w:history="1">
        <w:r w:rsidRPr="005554ED">
          <w:rPr>
            <w:rStyle w:val="Hyperlink"/>
            <w:rFonts w:eastAsia="Arial"/>
            <w:color w:val="000000" w:themeColor="text1"/>
          </w:rPr>
          <w:t>https://doi.org/10.1002/jcad.12158</w:t>
        </w:r>
      </w:hyperlink>
    </w:p>
    <w:p w14:paraId="270F07A2" w14:textId="77777777" w:rsidR="00B76713" w:rsidRPr="005554ED" w:rsidRDefault="00B76713" w:rsidP="00B76713">
      <w:pPr>
        <w:pStyle w:val="Bibliography"/>
        <w:rPr>
          <w:color w:val="000000" w:themeColor="text1"/>
        </w:rPr>
      </w:pPr>
      <w:proofErr w:type="spellStart"/>
      <w:r w:rsidRPr="005554ED">
        <w:rPr>
          <w:color w:val="000000" w:themeColor="text1"/>
        </w:rPr>
        <w:t>Zeligman</w:t>
      </w:r>
      <w:proofErr w:type="spellEnd"/>
      <w:r w:rsidRPr="005554ED">
        <w:rPr>
          <w:color w:val="000000" w:themeColor="text1"/>
        </w:rPr>
        <w:t xml:space="preserve">, M., Varney, M., Gheesling, S., &amp; </w:t>
      </w:r>
      <w:proofErr w:type="spellStart"/>
      <w:r w:rsidRPr="005554ED">
        <w:rPr>
          <w:color w:val="000000" w:themeColor="text1"/>
        </w:rPr>
        <w:t>Placeres</w:t>
      </w:r>
      <w:proofErr w:type="spellEnd"/>
      <w:r w:rsidRPr="005554ED">
        <w:rPr>
          <w:color w:val="000000" w:themeColor="text1"/>
        </w:rPr>
        <w:t xml:space="preserve">, V. (2019). Trauma, meaning making, and loneliness in college students. </w:t>
      </w:r>
      <w:r w:rsidRPr="005554ED">
        <w:rPr>
          <w:i/>
          <w:iCs/>
          <w:color w:val="000000" w:themeColor="text1"/>
        </w:rPr>
        <w:t>Journal of College Student Psychotherapy</w:t>
      </w:r>
      <w:r w:rsidRPr="005554ED">
        <w:rPr>
          <w:color w:val="000000" w:themeColor="text1"/>
        </w:rPr>
        <w:t xml:space="preserve">, </w:t>
      </w:r>
      <w:r w:rsidRPr="005554ED">
        <w:rPr>
          <w:i/>
          <w:iCs/>
          <w:color w:val="000000" w:themeColor="text1"/>
        </w:rPr>
        <w:t>33</w:t>
      </w:r>
      <w:r w:rsidRPr="005554ED">
        <w:rPr>
          <w:color w:val="000000" w:themeColor="text1"/>
        </w:rPr>
        <w:t xml:space="preserve">(4), 319–331. </w:t>
      </w:r>
      <w:hyperlink r:id="rId302" w:history="1">
        <w:r w:rsidRPr="005554ED">
          <w:rPr>
            <w:rStyle w:val="Hyperlink"/>
            <w:rFonts w:eastAsia="Arial"/>
            <w:color w:val="000000" w:themeColor="text1"/>
          </w:rPr>
          <w:t>https://doi.org/10.1080/87568225.2018.1523700</w:t>
        </w:r>
      </w:hyperlink>
    </w:p>
    <w:p w14:paraId="06A48F85" w14:textId="77777777" w:rsidR="00B76713" w:rsidRPr="005554ED" w:rsidRDefault="00B76713" w:rsidP="00B76713">
      <w:pPr>
        <w:pStyle w:val="Bibliography"/>
        <w:rPr>
          <w:color w:val="000000" w:themeColor="text1"/>
        </w:rPr>
      </w:pPr>
      <w:r w:rsidRPr="005554ED">
        <w:rPr>
          <w:color w:val="000000" w:themeColor="text1"/>
        </w:rPr>
        <w:t xml:space="preserve">Zhou, S. X., &amp; Leung, L. (2012). Gratification, loneliness, leisure boredom, and self-esteem as predictors of SNS-game addiction and usage pattern among Chinese college students. </w:t>
      </w:r>
      <w:r w:rsidRPr="005554ED">
        <w:rPr>
          <w:i/>
          <w:iCs/>
          <w:color w:val="000000" w:themeColor="text1"/>
        </w:rPr>
        <w:t>International Journal of Cyber Behavior, Psychology and Learning</w:t>
      </w:r>
      <w:r w:rsidRPr="005554ED">
        <w:rPr>
          <w:color w:val="000000" w:themeColor="text1"/>
        </w:rPr>
        <w:t xml:space="preserve">, </w:t>
      </w:r>
      <w:r w:rsidRPr="005554ED">
        <w:rPr>
          <w:i/>
          <w:iCs/>
          <w:color w:val="000000" w:themeColor="text1"/>
        </w:rPr>
        <w:t>2</w:t>
      </w:r>
      <w:r w:rsidRPr="005554ED">
        <w:rPr>
          <w:color w:val="000000" w:themeColor="text1"/>
        </w:rPr>
        <w:t xml:space="preserve">(4), 34–48. </w:t>
      </w:r>
      <w:hyperlink r:id="rId303" w:history="1">
        <w:r w:rsidRPr="005554ED">
          <w:rPr>
            <w:rStyle w:val="Hyperlink"/>
            <w:rFonts w:eastAsia="Arial"/>
            <w:color w:val="000000" w:themeColor="text1"/>
          </w:rPr>
          <w:t>https://doi.org/10.4018/ijcbpl.2012100103</w:t>
        </w:r>
      </w:hyperlink>
    </w:p>
    <w:p w14:paraId="7222A799" w14:textId="77777777" w:rsidR="00B76713" w:rsidRPr="005554ED" w:rsidRDefault="00B76713" w:rsidP="00B76713">
      <w:pPr>
        <w:pStyle w:val="Bibliography"/>
        <w:rPr>
          <w:color w:val="000000" w:themeColor="text1"/>
        </w:rPr>
      </w:pPr>
      <w:r w:rsidRPr="005554ED">
        <w:rPr>
          <w:color w:val="000000" w:themeColor="text1"/>
          <w:lang w:val="de-DE"/>
        </w:rPr>
        <w:t xml:space="preserve">Zimmer-Gembeck, M. J., &amp; Gallaty, K. J. (2006). </w:t>
      </w:r>
      <w:r w:rsidRPr="005554ED">
        <w:rPr>
          <w:color w:val="000000" w:themeColor="text1"/>
        </w:rPr>
        <w:t xml:space="preserve">Hanging out or hanging in? Young females’ socioemotional functioning and the changing motives for dating and romance. </w:t>
      </w:r>
      <w:r w:rsidRPr="005554ED">
        <w:rPr>
          <w:i/>
          <w:iCs/>
          <w:color w:val="000000" w:themeColor="text1"/>
        </w:rPr>
        <w:t>Advances in Psychology Research</w:t>
      </w:r>
      <w:r w:rsidRPr="005554ED">
        <w:rPr>
          <w:color w:val="000000" w:themeColor="text1"/>
        </w:rPr>
        <w:t xml:space="preserve">, </w:t>
      </w:r>
      <w:r w:rsidRPr="005554ED">
        <w:rPr>
          <w:i/>
          <w:iCs/>
          <w:color w:val="000000" w:themeColor="text1"/>
        </w:rPr>
        <w:t>44</w:t>
      </w:r>
      <w:r w:rsidRPr="005554ED">
        <w:rPr>
          <w:color w:val="000000" w:themeColor="text1"/>
        </w:rPr>
        <w:t>, 81–112.</w:t>
      </w:r>
    </w:p>
    <w:p w14:paraId="368480F5" w14:textId="77777777" w:rsidR="00B76713" w:rsidRPr="005554ED" w:rsidRDefault="00B76713" w:rsidP="00B76713">
      <w:pPr>
        <w:pStyle w:val="Bibliography"/>
        <w:rPr>
          <w:color w:val="000000" w:themeColor="text1"/>
        </w:rPr>
      </w:pPr>
      <w:proofErr w:type="spellStart"/>
      <w:r w:rsidRPr="005554ED">
        <w:rPr>
          <w:color w:val="000000" w:themeColor="text1"/>
        </w:rPr>
        <w:t>Zysberg</w:t>
      </w:r>
      <w:proofErr w:type="spellEnd"/>
      <w:r w:rsidRPr="005554ED">
        <w:rPr>
          <w:color w:val="000000" w:themeColor="text1"/>
        </w:rPr>
        <w:t xml:space="preserve">, L. (2012). Loneliness and emotional intelligence. </w:t>
      </w:r>
      <w:r w:rsidRPr="005554ED">
        <w:rPr>
          <w:i/>
          <w:iCs/>
          <w:color w:val="000000" w:themeColor="text1"/>
        </w:rPr>
        <w:t>The Journal of Psychology</w:t>
      </w:r>
      <w:r w:rsidRPr="005554ED">
        <w:rPr>
          <w:color w:val="000000" w:themeColor="text1"/>
        </w:rPr>
        <w:t xml:space="preserve">, </w:t>
      </w:r>
      <w:r w:rsidRPr="005554ED">
        <w:rPr>
          <w:i/>
          <w:iCs/>
          <w:color w:val="000000" w:themeColor="text1"/>
        </w:rPr>
        <w:t>146</w:t>
      </w:r>
      <w:r w:rsidRPr="005554ED">
        <w:rPr>
          <w:color w:val="000000" w:themeColor="text1"/>
        </w:rPr>
        <w:t xml:space="preserve">(1–2), 37–46. </w:t>
      </w:r>
      <w:hyperlink r:id="rId304" w:history="1">
        <w:r w:rsidRPr="005554ED">
          <w:rPr>
            <w:rStyle w:val="Hyperlink"/>
            <w:rFonts w:eastAsia="Arial"/>
            <w:color w:val="000000" w:themeColor="text1"/>
          </w:rPr>
          <w:t>https://doi.org/10.1080/00223980.2011.574746</w:t>
        </w:r>
      </w:hyperlink>
    </w:p>
    <w:p w14:paraId="41A17066" w14:textId="77777777" w:rsidR="00120996" w:rsidRPr="005554ED" w:rsidRDefault="00120996" w:rsidP="00120996">
      <w:pPr>
        <w:rPr>
          <w:color w:val="000000" w:themeColor="text1"/>
        </w:rPr>
      </w:pPr>
    </w:p>
    <w:sectPr w:rsidR="00120996" w:rsidRPr="005554ED">
      <w:footnotePr>
        <w:pos w:val="beneathText"/>
      </w:footnotePr>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40D0B8A" w14:textId="77777777" w:rsidR="00CA3B7C" w:rsidRDefault="00CA3B7C">
      <w:pPr>
        <w:spacing w:line="240" w:lineRule="auto"/>
      </w:pPr>
      <w:r>
        <w:separator/>
      </w:r>
    </w:p>
  </w:endnote>
  <w:endnote w:type="continuationSeparator" w:id="0">
    <w:p w14:paraId="66703D10" w14:textId="77777777" w:rsidR="00CA3B7C" w:rsidRDefault="00CA3B7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4F08B4D" w14:textId="77777777" w:rsidR="00CA3B7C" w:rsidRDefault="00CA3B7C">
      <w:pPr>
        <w:spacing w:line="240" w:lineRule="auto"/>
      </w:pPr>
      <w:r>
        <w:separator/>
      </w:r>
    </w:p>
    <w:p w14:paraId="2B1CFEC3" w14:textId="77777777" w:rsidR="00CA3B7C" w:rsidRDefault="00CA3B7C"/>
  </w:footnote>
  <w:footnote w:type="continuationSeparator" w:id="0">
    <w:p w14:paraId="78BE7B67" w14:textId="77777777" w:rsidR="00CA3B7C" w:rsidRDefault="00CA3B7C">
      <w:pPr>
        <w:spacing w:line="240" w:lineRule="auto"/>
      </w:pPr>
      <w:r>
        <w:continuationSeparator/>
      </w:r>
    </w:p>
    <w:p w14:paraId="3E91054C" w14:textId="77777777" w:rsidR="00CA3B7C" w:rsidRDefault="00CA3B7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773A52" w14:textId="5D235DD6" w:rsidR="00484660" w:rsidRDefault="00484660">
    <w:pPr>
      <w:pStyle w:val="Header"/>
    </w:pPr>
    <w:r>
      <w:t>Supplement: LONELINESS IN EMERGING ADULTS</w:t>
    </w:r>
    <w:r>
      <w:tab/>
    </w:r>
    <w:r>
      <w:tab/>
    </w:r>
    <w:r>
      <w:tab/>
    </w:r>
    <w:r>
      <w:tab/>
    </w:r>
    <w:r>
      <w:tab/>
    </w:r>
    <w:r>
      <w:rPr>
        <w:rStyle w:val="Strong"/>
        <w:caps w:val="0"/>
      </w:rPr>
      <w:fldChar w:fldCharType="begin"/>
    </w:r>
    <w:r>
      <w:rPr>
        <w:rStyle w:val="Strong"/>
        <w:caps w:val="0"/>
      </w:rPr>
      <w:instrText xml:space="preserve"> PAGE   \* MERGEFORMAT </w:instrText>
    </w:r>
    <w:r>
      <w:rPr>
        <w:rStyle w:val="Strong"/>
        <w:caps w:val="0"/>
      </w:rPr>
      <w:fldChar w:fldCharType="separate"/>
    </w:r>
    <w:r>
      <w:rPr>
        <w:rStyle w:val="Strong"/>
        <w:caps w:val="0"/>
        <w:noProof/>
      </w:rPr>
      <w:t>49</w:t>
    </w:r>
    <w:r>
      <w:rPr>
        <w:rStyle w:val="Strong"/>
        <w:caps w:val="0"/>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7E0884" w14:textId="6DB7A564" w:rsidR="00484660" w:rsidRDefault="00484660">
    <w:pPr>
      <w:pStyle w:val="Header"/>
      <w:rPr>
        <w:rStyle w:val="Strong"/>
      </w:rPr>
    </w:pPr>
    <w:r>
      <w:t>Supplement: LONELINESS IN EMERGING ADULTS</w:t>
    </w:r>
    <w:r>
      <w:tab/>
    </w:r>
    <w:r>
      <w:tab/>
    </w:r>
    <w:r>
      <w:tab/>
    </w:r>
    <w:r>
      <w:tab/>
    </w:r>
    <w:r>
      <w:tab/>
    </w:r>
    <w:r>
      <w:rPr>
        <w:rStyle w:val="Strong"/>
      </w:rPr>
      <w:fldChar w:fldCharType="begin"/>
    </w:r>
    <w:r>
      <w:rPr>
        <w:rStyle w:val="Strong"/>
      </w:rPr>
      <w:instrText xml:space="preserve"> PAGE   \* MERGEFORMAT </w:instrText>
    </w:r>
    <w:r>
      <w:rPr>
        <w:rStyle w:val="Strong"/>
      </w:rPr>
      <w:fldChar w:fldCharType="separate"/>
    </w:r>
    <w:r>
      <w:rPr>
        <w:rStyle w:val="Strong"/>
        <w:noProof/>
      </w:rPr>
      <w:t>1</w:t>
    </w:r>
    <w:r>
      <w:rPr>
        <w:rStyle w:val="Strong"/>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4B6961"/>
    <w:multiLevelType w:val="hybridMultilevel"/>
    <w:tmpl w:val="EFB6B980"/>
    <w:lvl w:ilvl="0" w:tplc="D3A85FD0">
      <w:start w:val="1"/>
      <w:numFmt w:val="decimal"/>
      <w:pStyle w:val="ListNumber5"/>
      <w:lvlText w:val="%1."/>
      <w:lvlJc w:val="left"/>
      <w:pPr>
        <w:tabs>
          <w:tab w:val="left" w:pos="1800"/>
        </w:tabs>
        <w:ind w:left="1800" w:hanging="360"/>
      </w:pPr>
    </w:lvl>
    <w:lvl w:ilvl="1" w:tplc="0FF23B8A">
      <w:start w:val="1"/>
      <w:numFmt w:val="bullet"/>
      <w:lvlText w:val="o"/>
      <w:lvlJc w:val="left"/>
      <w:pPr>
        <w:ind w:left="1440" w:hanging="360"/>
      </w:pPr>
      <w:rPr>
        <w:rFonts w:ascii="Courier New" w:eastAsia="Courier New" w:hAnsi="Courier New" w:cs="Courier New" w:hint="default"/>
      </w:rPr>
    </w:lvl>
    <w:lvl w:ilvl="2" w:tplc="6CBAAC9C">
      <w:start w:val="1"/>
      <w:numFmt w:val="bullet"/>
      <w:lvlText w:val="§"/>
      <w:lvlJc w:val="left"/>
      <w:pPr>
        <w:ind w:left="2160" w:hanging="360"/>
      </w:pPr>
      <w:rPr>
        <w:rFonts w:ascii="Wingdings" w:eastAsia="Wingdings" w:hAnsi="Wingdings" w:cs="Wingdings" w:hint="default"/>
      </w:rPr>
    </w:lvl>
    <w:lvl w:ilvl="3" w:tplc="5764E8F2">
      <w:start w:val="1"/>
      <w:numFmt w:val="bullet"/>
      <w:lvlText w:val="·"/>
      <w:lvlJc w:val="left"/>
      <w:pPr>
        <w:ind w:left="2880" w:hanging="360"/>
      </w:pPr>
      <w:rPr>
        <w:rFonts w:ascii="Symbol" w:eastAsia="Symbol" w:hAnsi="Symbol" w:cs="Symbol" w:hint="default"/>
      </w:rPr>
    </w:lvl>
    <w:lvl w:ilvl="4" w:tplc="3AFE8366">
      <w:start w:val="1"/>
      <w:numFmt w:val="bullet"/>
      <w:lvlText w:val="o"/>
      <w:lvlJc w:val="left"/>
      <w:pPr>
        <w:ind w:left="3600" w:hanging="360"/>
      </w:pPr>
      <w:rPr>
        <w:rFonts w:ascii="Courier New" w:eastAsia="Courier New" w:hAnsi="Courier New" w:cs="Courier New" w:hint="default"/>
      </w:rPr>
    </w:lvl>
    <w:lvl w:ilvl="5" w:tplc="7E506970">
      <w:start w:val="1"/>
      <w:numFmt w:val="bullet"/>
      <w:lvlText w:val="§"/>
      <w:lvlJc w:val="left"/>
      <w:pPr>
        <w:ind w:left="4320" w:hanging="360"/>
      </w:pPr>
      <w:rPr>
        <w:rFonts w:ascii="Wingdings" w:eastAsia="Wingdings" w:hAnsi="Wingdings" w:cs="Wingdings" w:hint="default"/>
      </w:rPr>
    </w:lvl>
    <w:lvl w:ilvl="6" w:tplc="6FF0AFF0">
      <w:start w:val="1"/>
      <w:numFmt w:val="bullet"/>
      <w:lvlText w:val="·"/>
      <w:lvlJc w:val="left"/>
      <w:pPr>
        <w:ind w:left="5040" w:hanging="360"/>
      </w:pPr>
      <w:rPr>
        <w:rFonts w:ascii="Symbol" w:eastAsia="Symbol" w:hAnsi="Symbol" w:cs="Symbol" w:hint="default"/>
      </w:rPr>
    </w:lvl>
    <w:lvl w:ilvl="7" w:tplc="048856DC">
      <w:start w:val="1"/>
      <w:numFmt w:val="bullet"/>
      <w:lvlText w:val="o"/>
      <w:lvlJc w:val="left"/>
      <w:pPr>
        <w:ind w:left="5760" w:hanging="360"/>
      </w:pPr>
      <w:rPr>
        <w:rFonts w:ascii="Courier New" w:eastAsia="Courier New" w:hAnsi="Courier New" w:cs="Courier New" w:hint="default"/>
      </w:rPr>
    </w:lvl>
    <w:lvl w:ilvl="8" w:tplc="A38A4C44">
      <w:start w:val="1"/>
      <w:numFmt w:val="bullet"/>
      <w:lvlText w:val="§"/>
      <w:lvlJc w:val="left"/>
      <w:pPr>
        <w:ind w:left="6480" w:hanging="360"/>
      </w:pPr>
      <w:rPr>
        <w:rFonts w:ascii="Wingdings" w:eastAsia="Wingdings" w:hAnsi="Wingdings" w:cs="Wingdings" w:hint="default"/>
      </w:rPr>
    </w:lvl>
  </w:abstractNum>
  <w:abstractNum w:abstractNumId="1" w15:restartNumberingAfterBreak="0">
    <w:nsid w:val="0CA4328C"/>
    <w:multiLevelType w:val="multilevel"/>
    <w:tmpl w:val="5EF8CF7A"/>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 w15:restartNumberingAfterBreak="0">
    <w:nsid w:val="17A24894"/>
    <w:multiLevelType w:val="hybridMultilevel"/>
    <w:tmpl w:val="338286A6"/>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 w15:restartNumberingAfterBreak="0">
    <w:nsid w:val="202A235A"/>
    <w:multiLevelType w:val="hybridMultilevel"/>
    <w:tmpl w:val="F1561F4A"/>
    <w:lvl w:ilvl="0" w:tplc="A3F46988">
      <w:start w:val="1"/>
      <w:numFmt w:val="decimal"/>
      <w:pStyle w:val="ListNumber4"/>
      <w:lvlText w:val="%1."/>
      <w:lvlJc w:val="left"/>
      <w:pPr>
        <w:tabs>
          <w:tab w:val="left" w:pos="1440"/>
        </w:tabs>
        <w:ind w:left="1440" w:hanging="360"/>
      </w:pPr>
    </w:lvl>
    <w:lvl w:ilvl="1" w:tplc="0C9AC318">
      <w:start w:val="1"/>
      <w:numFmt w:val="bullet"/>
      <w:lvlText w:val="o"/>
      <w:lvlJc w:val="left"/>
      <w:pPr>
        <w:ind w:left="1440" w:hanging="360"/>
      </w:pPr>
      <w:rPr>
        <w:rFonts w:ascii="Courier New" w:eastAsia="Courier New" w:hAnsi="Courier New" w:cs="Courier New" w:hint="default"/>
      </w:rPr>
    </w:lvl>
    <w:lvl w:ilvl="2" w:tplc="09F6A3FE">
      <w:start w:val="1"/>
      <w:numFmt w:val="bullet"/>
      <w:lvlText w:val="§"/>
      <w:lvlJc w:val="left"/>
      <w:pPr>
        <w:ind w:left="2160" w:hanging="360"/>
      </w:pPr>
      <w:rPr>
        <w:rFonts w:ascii="Wingdings" w:eastAsia="Wingdings" w:hAnsi="Wingdings" w:cs="Wingdings" w:hint="default"/>
      </w:rPr>
    </w:lvl>
    <w:lvl w:ilvl="3" w:tplc="D236EE9A">
      <w:start w:val="1"/>
      <w:numFmt w:val="bullet"/>
      <w:lvlText w:val="·"/>
      <w:lvlJc w:val="left"/>
      <w:pPr>
        <w:ind w:left="2880" w:hanging="360"/>
      </w:pPr>
      <w:rPr>
        <w:rFonts w:ascii="Symbol" w:eastAsia="Symbol" w:hAnsi="Symbol" w:cs="Symbol" w:hint="default"/>
      </w:rPr>
    </w:lvl>
    <w:lvl w:ilvl="4" w:tplc="4C108804">
      <w:start w:val="1"/>
      <w:numFmt w:val="bullet"/>
      <w:lvlText w:val="o"/>
      <w:lvlJc w:val="left"/>
      <w:pPr>
        <w:ind w:left="3600" w:hanging="360"/>
      </w:pPr>
      <w:rPr>
        <w:rFonts w:ascii="Courier New" w:eastAsia="Courier New" w:hAnsi="Courier New" w:cs="Courier New" w:hint="default"/>
      </w:rPr>
    </w:lvl>
    <w:lvl w:ilvl="5" w:tplc="860AC11E">
      <w:start w:val="1"/>
      <w:numFmt w:val="bullet"/>
      <w:lvlText w:val="§"/>
      <w:lvlJc w:val="left"/>
      <w:pPr>
        <w:ind w:left="4320" w:hanging="360"/>
      </w:pPr>
      <w:rPr>
        <w:rFonts w:ascii="Wingdings" w:eastAsia="Wingdings" w:hAnsi="Wingdings" w:cs="Wingdings" w:hint="default"/>
      </w:rPr>
    </w:lvl>
    <w:lvl w:ilvl="6" w:tplc="0E78558C">
      <w:start w:val="1"/>
      <w:numFmt w:val="bullet"/>
      <w:lvlText w:val="·"/>
      <w:lvlJc w:val="left"/>
      <w:pPr>
        <w:ind w:left="5040" w:hanging="360"/>
      </w:pPr>
      <w:rPr>
        <w:rFonts w:ascii="Symbol" w:eastAsia="Symbol" w:hAnsi="Symbol" w:cs="Symbol" w:hint="default"/>
      </w:rPr>
    </w:lvl>
    <w:lvl w:ilvl="7" w:tplc="3634F3F8">
      <w:start w:val="1"/>
      <w:numFmt w:val="bullet"/>
      <w:lvlText w:val="o"/>
      <w:lvlJc w:val="left"/>
      <w:pPr>
        <w:ind w:left="5760" w:hanging="360"/>
      </w:pPr>
      <w:rPr>
        <w:rFonts w:ascii="Courier New" w:eastAsia="Courier New" w:hAnsi="Courier New" w:cs="Courier New" w:hint="default"/>
      </w:rPr>
    </w:lvl>
    <w:lvl w:ilvl="8" w:tplc="3B8E2FC4">
      <w:start w:val="1"/>
      <w:numFmt w:val="bullet"/>
      <w:lvlText w:val="§"/>
      <w:lvlJc w:val="left"/>
      <w:pPr>
        <w:ind w:left="6480" w:hanging="360"/>
      </w:pPr>
      <w:rPr>
        <w:rFonts w:ascii="Wingdings" w:eastAsia="Wingdings" w:hAnsi="Wingdings" w:cs="Wingdings" w:hint="default"/>
      </w:rPr>
    </w:lvl>
  </w:abstractNum>
  <w:abstractNum w:abstractNumId="4" w15:restartNumberingAfterBreak="0">
    <w:nsid w:val="22FF5351"/>
    <w:multiLevelType w:val="hybridMultilevel"/>
    <w:tmpl w:val="0407001D"/>
    <w:lvl w:ilvl="0" w:tplc="2FC2A81C">
      <w:start w:val="1"/>
      <w:numFmt w:val="decimal"/>
      <w:lvlText w:val="%1)"/>
      <w:lvlJc w:val="left"/>
      <w:pPr>
        <w:ind w:left="360" w:hanging="360"/>
      </w:pPr>
    </w:lvl>
    <w:lvl w:ilvl="1" w:tplc="D9A63972">
      <w:start w:val="1"/>
      <w:numFmt w:val="lowerLetter"/>
      <w:lvlText w:val="%2)"/>
      <w:lvlJc w:val="left"/>
      <w:pPr>
        <w:ind w:left="720" w:hanging="360"/>
      </w:pPr>
    </w:lvl>
    <w:lvl w:ilvl="2" w:tplc="1DDCD2AC">
      <w:start w:val="1"/>
      <w:numFmt w:val="lowerRoman"/>
      <w:lvlText w:val="%3)"/>
      <w:lvlJc w:val="left"/>
      <w:pPr>
        <w:ind w:left="1080" w:hanging="360"/>
      </w:pPr>
    </w:lvl>
    <w:lvl w:ilvl="3" w:tplc="C55870F6">
      <w:start w:val="1"/>
      <w:numFmt w:val="decimal"/>
      <w:lvlText w:val="(%4)"/>
      <w:lvlJc w:val="left"/>
      <w:pPr>
        <w:ind w:left="1440" w:hanging="360"/>
      </w:pPr>
    </w:lvl>
    <w:lvl w:ilvl="4" w:tplc="0470766C">
      <w:start w:val="1"/>
      <w:numFmt w:val="lowerLetter"/>
      <w:lvlText w:val="(%5)"/>
      <w:lvlJc w:val="left"/>
      <w:pPr>
        <w:ind w:left="1800" w:hanging="360"/>
      </w:pPr>
    </w:lvl>
    <w:lvl w:ilvl="5" w:tplc="9BDEFC42">
      <w:start w:val="1"/>
      <w:numFmt w:val="lowerRoman"/>
      <w:lvlText w:val="(%6)"/>
      <w:lvlJc w:val="left"/>
      <w:pPr>
        <w:ind w:left="2160" w:hanging="360"/>
      </w:pPr>
    </w:lvl>
    <w:lvl w:ilvl="6" w:tplc="0CB02B2E">
      <w:start w:val="1"/>
      <w:numFmt w:val="decimal"/>
      <w:lvlText w:val="%7."/>
      <w:lvlJc w:val="left"/>
      <w:pPr>
        <w:ind w:left="2520" w:hanging="360"/>
      </w:pPr>
    </w:lvl>
    <w:lvl w:ilvl="7" w:tplc="F1D8B50E">
      <w:start w:val="1"/>
      <w:numFmt w:val="lowerLetter"/>
      <w:lvlText w:val="%8."/>
      <w:lvlJc w:val="left"/>
      <w:pPr>
        <w:ind w:left="2880" w:hanging="360"/>
      </w:pPr>
    </w:lvl>
    <w:lvl w:ilvl="8" w:tplc="89864CB2">
      <w:start w:val="1"/>
      <w:numFmt w:val="lowerRoman"/>
      <w:lvlText w:val="%9."/>
      <w:lvlJc w:val="left"/>
      <w:pPr>
        <w:ind w:left="3240" w:hanging="360"/>
      </w:pPr>
    </w:lvl>
  </w:abstractNum>
  <w:abstractNum w:abstractNumId="5" w15:restartNumberingAfterBreak="0">
    <w:nsid w:val="2EB87CE0"/>
    <w:multiLevelType w:val="hybridMultilevel"/>
    <w:tmpl w:val="FC82C220"/>
    <w:lvl w:ilvl="0" w:tplc="E3F6EE30">
      <w:start w:val="1"/>
      <w:numFmt w:val="bullet"/>
      <w:pStyle w:val="ListBullet4"/>
      <w:lvlText w:val=""/>
      <w:lvlJc w:val="left"/>
      <w:pPr>
        <w:tabs>
          <w:tab w:val="left" w:pos="1440"/>
        </w:tabs>
        <w:ind w:left="1440" w:hanging="360"/>
      </w:pPr>
      <w:rPr>
        <w:rFonts w:ascii="Symbol" w:hAnsi="Symbol" w:hint="default"/>
      </w:rPr>
    </w:lvl>
    <w:lvl w:ilvl="1" w:tplc="3500AA3E">
      <w:start w:val="1"/>
      <w:numFmt w:val="bullet"/>
      <w:lvlText w:val="o"/>
      <w:lvlJc w:val="left"/>
      <w:pPr>
        <w:ind w:left="1440" w:hanging="360"/>
      </w:pPr>
      <w:rPr>
        <w:rFonts w:ascii="Courier New" w:eastAsia="Courier New" w:hAnsi="Courier New" w:cs="Courier New" w:hint="default"/>
      </w:rPr>
    </w:lvl>
    <w:lvl w:ilvl="2" w:tplc="B17C51F6">
      <w:start w:val="1"/>
      <w:numFmt w:val="bullet"/>
      <w:lvlText w:val="§"/>
      <w:lvlJc w:val="left"/>
      <w:pPr>
        <w:ind w:left="2160" w:hanging="360"/>
      </w:pPr>
      <w:rPr>
        <w:rFonts w:ascii="Wingdings" w:eastAsia="Wingdings" w:hAnsi="Wingdings" w:cs="Wingdings" w:hint="default"/>
      </w:rPr>
    </w:lvl>
    <w:lvl w:ilvl="3" w:tplc="D2128BC4">
      <w:start w:val="1"/>
      <w:numFmt w:val="bullet"/>
      <w:lvlText w:val="·"/>
      <w:lvlJc w:val="left"/>
      <w:pPr>
        <w:ind w:left="2880" w:hanging="360"/>
      </w:pPr>
      <w:rPr>
        <w:rFonts w:ascii="Symbol" w:eastAsia="Symbol" w:hAnsi="Symbol" w:cs="Symbol" w:hint="default"/>
      </w:rPr>
    </w:lvl>
    <w:lvl w:ilvl="4" w:tplc="5E160BB6">
      <w:start w:val="1"/>
      <w:numFmt w:val="bullet"/>
      <w:lvlText w:val="o"/>
      <w:lvlJc w:val="left"/>
      <w:pPr>
        <w:ind w:left="3600" w:hanging="360"/>
      </w:pPr>
      <w:rPr>
        <w:rFonts w:ascii="Courier New" w:eastAsia="Courier New" w:hAnsi="Courier New" w:cs="Courier New" w:hint="default"/>
      </w:rPr>
    </w:lvl>
    <w:lvl w:ilvl="5" w:tplc="8A56A366">
      <w:start w:val="1"/>
      <w:numFmt w:val="bullet"/>
      <w:lvlText w:val="§"/>
      <w:lvlJc w:val="left"/>
      <w:pPr>
        <w:ind w:left="4320" w:hanging="360"/>
      </w:pPr>
      <w:rPr>
        <w:rFonts w:ascii="Wingdings" w:eastAsia="Wingdings" w:hAnsi="Wingdings" w:cs="Wingdings" w:hint="default"/>
      </w:rPr>
    </w:lvl>
    <w:lvl w:ilvl="6" w:tplc="1D6C2880">
      <w:start w:val="1"/>
      <w:numFmt w:val="bullet"/>
      <w:lvlText w:val="·"/>
      <w:lvlJc w:val="left"/>
      <w:pPr>
        <w:ind w:left="5040" w:hanging="360"/>
      </w:pPr>
      <w:rPr>
        <w:rFonts w:ascii="Symbol" w:eastAsia="Symbol" w:hAnsi="Symbol" w:cs="Symbol" w:hint="default"/>
      </w:rPr>
    </w:lvl>
    <w:lvl w:ilvl="7" w:tplc="2416E8E8">
      <w:start w:val="1"/>
      <w:numFmt w:val="bullet"/>
      <w:lvlText w:val="o"/>
      <w:lvlJc w:val="left"/>
      <w:pPr>
        <w:ind w:left="5760" w:hanging="360"/>
      </w:pPr>
      <w:rPr>
        <w:rFonts w:ascii="Courier New" w:eastAsia="Courier New" w:hAnsi="Courier New" w:cs="Courier New" w:hint="default"/>
      </w:rPr>
    </w:lvl>
    <w:lvl w:ilvl="8" w:tplc="973E8DC2">
      <w:start w:val="1"/>
      <w:numFmt w:val="bullet"/>
      <w:lvlText w:val="§"/>
      <w:lvlJc w:val="left"/>
      <w:pPr>
        <w:ind w:left="6480" w:hanging="360"/>
      </w:pPr>
      <w:rPr>
        <w:rFonts w:ascii="Wingdings" w:eastAsia="Wingdings" w:hAnsi="Wingdings" w:cs="Wingdings" w:hint="default"/>
      </w:rPr>
    </w:lvl>
  </w:abstractNum>
  <w:abstractNum w:abstractNumId="6" w15:restartNumberingAfterBreak="0">
    <w:nsid w:val="2EFB112D"/>
    <w:multiLevelType w:val="hybridMultilevel"/>
    <w:tmpl w:val="0146110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3094671A"/>
    <w:multiLevelType w:val="hybridMultilevel"/>
    <w:tmpl w:val="2B0CD396"/>
    <w:lvl w:ilvl="0" w:tplc="C1323142">
      <w:start w:val="1"/>
      <w:numFmt w:val="decimal"/>
      <w:pStyle w:val="ListNumber"/>
      <w:lvlText w:val="%1."/>
      <w:lvlJc w:val="left"/>
      <w:pPr>
        <w:tabs>
          <w:tab w:val="left" w:pos="1080"/>
        </w:tabs>
        <w:ind w:left="1080" w:hanging="360"/>
      </w:pPr>
      <w:rPr>
        <w:rFonts w:hint="default"/>
      </w:rPr>
    </w:lvl>
    <w:lvl w:ilvl="1" w:tplc="246EFA16">
      <w:start w:val="1"/>
      <w:numFmt w:val="bullet"/>
      <w:lvlText w:val="o"/>
      <w:lvlJc w:val="left"/>
      <w:pPr>
        <w:ind w:left="1440" w:hanging="360"/>
      </w:pPr>
      <w:rPr>
        <w:rFonts w:ascii="Courier New" w:eastAsia="Courier New" w:hAnsi="Courier New" w:cs="Courier New" w:hint="default"/>
      </w:rPr>
    </w:lvl>
    <w:lvl w:ilvl="2" w:tplc="CD04947C">
      <w:start w:val="1"/>
      <w:numFmt w:val="bullet"/>
      <w:lvlText w:val="§"/>
      <w:lvlJc w:val="left"/>
      <w:pPr>
        <w:ind w:left="2160" w:hanging="360"/>
      </w:pPr>
      <w:rPr>
        <w:rFonts w:ascii="Wingdings" w:eastAsia="Wingdings" w:hAnsi="Wingdings" w:cs="Wingdings" w:hint="default"/>
      </w:rPr>
    </w:lvl>
    <w:lvl w:ilvl="3" w:tplc="E1984526">
      <w:start w:val="1"/>
      <w:numFmt w:val="bullet"/>
      <w:lvlText w:val="·"/>
      <w:lvlJc w:val="left"/>
      <w:pPr>
        <w:ind w:left="2880" w:hanging="360"/>
      </w:pPr>
      <w:rPr>
        <w:rFonts w:ascii="Symbol" w:eastAsia="Symbol" w:hAnsi="Symbol" w:cs="Symbol" w:hint="default"/>
      </w:rPr>
    </w:lvl>
    <w:lvl w:ilvl="4" w:tplc="2D8EE940">
      <w:start w:val="1"/>
      <w:numFmt w:val="bullet"/>
      <w:lvlText w:val="o"/>
      <w:lvlJc w:val="left"/>
      <w:pPr>
        <w:ind w:left="3600" w:hanging="360"/>
      </w:pPr>
      <w:rPr>
        <w:rFonts w:ascii="Courier New" w:eastAsia="Courier New" w:hAnsi="Courier New" w:cs="Courier New" w:hint="default"/>
      </w:rPr>
    </w:lvl>
    <w:lvl w:ilvl="5" w:tplc="BC36DBCC">
      <w:start w:val="1"/>
      <w:numFmt w:val="bullet"/>
      <w:lvlText w:val="§"/>
      <w:lvlJc w:val="left"/>
      <w:pPr>
        <w:ind w:left="4320" w:hanging="360"/>
      </w:pPr>
      <w:rPr>
        <w:rFonts w:ascii="Wingdings" w:eastAsia="Wingdings" w:hAnsi="Wingdings" w:cs="Wingdings" w:hint="default"/>
      </w:rPr>
    </w:lvl>
    <w:lvl w:ilvl="6" w:tplc="CF6A93C0">
      <w:start w:val="1"/>
      <w:numFmt w:val="bullet"/>
      <w:lvlText w:val="·"/>
      <w:lvlJc w:val="left"/>
      <w:pPr>
        <w:ind w:left="5040" w:hanging="360"/>
      </w:pPr>
      <w:rPr>
        <w:rFonts w:ascii="Symbol" w:eastAsia="Symbol" w:hAnsi="Symbol" w:cs="Symbol" w:hint="default"/>
      </w:rPr>
    </w:lvl>
    <w:lvl w:ilvl="7" w:tplc="ABDA56FA">
      <w:start w:val="1"/>
      <w:numFmt w:val="bullet"/>
      <w:lvlText w:val="o"/>
      <w:lvlJc w:val="left"/>
      <w:pPr>
        <w:ind w:left="5760" w:hanging="360"/>
      </w:pPr>
      <w:rPr>
        <w:rFonts w:ascii="Courier New" w:eastAsia="Courier New" w:hAnsi="Courier New" w:cs="Courier New" w:hint="default"/>
      </w:rPr>
    </w:lvl>
    <w:lvl w:ilvl="8" w:tplc="18025BDC">
      <w:start w:val="1"/>
      <w:numFmt w:val="bullet"/>
      <w:lvlText w:val="§"/>
      <w:lvlJc w:val="left"/>
      <w:pPr>
        <w:ind w:left="6480" w:hanging="360"/>
      </w:pPr>
      <w:rPr>
        <w:rFonts w:ascii="Wingdings" w:eastAsia="Wingdings" w:hAnsi="Wingdings" w:cs="Wingdings" w:hint="default"/>
      </w:rPr>
    </w:lvl>
  </w:abstractNum>
  <w:abstractNum w:abstractNumId="8" w15:restartNumberingAfterBreak="0">
    <w:nsid w:val="32AE7301"/>
    <w:multiLevelType w:val="hybridMultilevel"/>
    <w:tmpl w:val="6E7CEE90"/>
    <w:lvl w:ilvl="0" w:tplc="9F1A4020">
      <w:start w:val="1"/>
      <w:numFmt w:val="bullet"/>
      <w:pStyle w:val="ListBullet"/>
      <w:lvlText w:val=""/>
      <w:lvlJc w:val="left"/>
      <w:pPr>
        <w:tabs>
          <w:tab w:val="left" w:pos="1080"/>
        </w:tabs>
        <w:ind w:left="1080" w:hanging="360"/>
      </w:pPr>
      <w:rPr>
        <w:rFonts w:ascii="Symbol" w:hAnsi="Symbol" w:hint="default"/>
      </w:rPr>
    </w:lvl>
    <w:lvl w:ilvl="1" w:tplc="8CEA5BE0">
      <w:start w:val="1"/>
      <w:numFmt w:val="bullet"/>
      <w:lvlText w:val="o"/>
      <w:lvlJc w:val="left"/>
      <w:pPr>
        <w:ind w:left="1440" w:hanging="360"/>
      </w:pPr>
      <w:rPr>
        <w:rFonts w:ascii="Courier New" w:eastAsia="Courier New" w:hAnsi="Courier New" w:cs="Courier New" w:hint="default"/>
      </w:rPr>
    </w:lvl>
    <w:lvl w:ilvl="2" w:tplc="FB70C354">
      <w:start w:val="1"/>
      <w:numFmt w:val="bullet"/>
      <w:lvlText w:val="§"/>
      <w:lvlJc w:val="left"/>
      <w:pPr>
        <w:ind w:left="2160" w:hanging="360"/>
      </w:pPr>
      <w:rPr>
        <w:rFonts w:ascii="Wingdings" w:eastAsia="Wingdings" w:hAnsi="Wingdings" w:cs="Wingdings" w:hint="default"/>
      </w:rPr>
    </w:lvl>
    <w:lvl w:ilvl="3" w:tplc="12164D6E">
      <w:start w:val="1"/>
      <w:numFmt w:val="bullet"/>
      <w:lvlText w:val="·"/>
      <w:lvlJc w:val="left"/>
      <w:pPr>
        <w:ind w:left="2880" w:hanging="360"/>
      </w:pPr>
      <w:rPr>
        <w:rFonts w:ascii="Symbol" w:eastAsia="Symbol" w:hAnsi="Symbol" w:cs="Symbol" w:hint="default"/>
      </w:rPr>
    </w:lvl>
    <w:lvl w:ilvl="4" w:tplc="FD16D604">
      <w:start w:val="1"/>
      <w:numFmt w:val="bullet"/>
      <w:lvlText w:val="o"/>
      <w:lvlJc w:val="left"/>
      <w:pPr>
        <w:ind w:left="3600" w:hanging="360"/>
      </w:pPr>
      <w:rPr>
        <w:rFonts w:ascii="Courier New" w:eastAsia="Courier New" w:hAnsi="Courier New" w:cs="Courier New" w:hint="default"/>
      </w:rPr>
    </w:lvl>
    <w:lvl w:ilvl="5" w:tplc="EC1EDB86">
      <w:start w:val="1"/>
      <w:numFmt w:val="bullet"/>
      <w:lvlText w:val="§"/>
      <w:lvlJc w:val="left"/>
      <w:pPr>
        <w:ind w:left="4320" w:hanging="360"/>
      </w:pPr>
      <w:rPr>
        <w:rFonts w:ascii="Wingdings" w:eastAsia="Wingdings" w:hAnsi="Wingdings" w:cs="Wingdings" w:hint="default"/>
      </w:rPr>
    </w:lvl>
    <w:lvl w:ilvl="6" w:tplc="6186DD30">
      <w:start w:val="1"/>
      <w:numFmt w:val="bullet"/>
      <w:lvlText w:val="·"/>
      <w:lvlJc w:val="left"/>
      <w:pPr>
        <w:ind w:left="5040" w:hanging="360"/>
      </w:pPr>
      <w:rPr>
        <w:rFonts w:ascii="Symbol" w:eastAsia="Symbol" w:hAnsi="Symbol" w:cs="Symbol" w:hint="default"/>
      </w:rPr>
    </w:lvl>
    <w:lvl w:ilvl="7" w:tplc="2564E8BA">
      <w:start w:val="1"/>
      <w:numFmt w:val="bullet"/>
      <w:lvlText w:val="o"/>
      <w:lvlJc w:val="left"/>
      <w:pPr>
        <w:ind w:left="5760" w:hanging="360"/>
      </w:pPr>
      <w:rPr>
        <w:rFonts w:ascii="Courier New" w:eastAsia="Courier New" w:hAnsi="Courier New" w:cs="Courier New" w:hint="default"/>
      </w:rPr>
    </w:lvl>
    <w:lvl w:ilvl="8" w:tplc="CE401690">
      <w:start w:val="1"/>
      <w:numFmt w:val="bullet"/>
      <w:lvlText w:val="§"/>
      <w:lvlJc w:val="left"/>
      <w:pPr>
        <w:ind w:left="6480" w:hanging="360"/>
      </w:pPr>
      <w:rPr>
        <w:rFonts w:ascii="Wingdings" w:eastAsia="Wingdings" w:hAnsi="Wingdings" w:cs="Wingdings" w:hint="default"/>
      </w:rPr>
    </w:lvl>
  </w:abstractNum>
  <w:abstractNum w:abstractNumId="9" w15:restartNumberingAfterBreak="0">
    <w:nsid w:val="4DDF1DA6"/>
    <w:multiLevelType w:val="hybridMultilevel"/>
    <w:tmpl w:val="0A3AAB5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54D5418F"/>
    <w:multiLevelType w:val="multilevel"/>
    <w:tmpl w:val="2F8C5C16"/>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1" w15:restartNumberingAfterBreak="0">
    <w:nsid w:val="5A694460"/>
    <w:multiLevelType w:val="multilevel"/>
    <w:tmpl w:val="429CDAA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5E245D0B"/>
    <w:multiLevelType w:val="hybridMultilevel"/>
    <w:tmpl w:val="82488E06"/>
    <w:lvl w:ilvl="0" w:tplc="F88248C4">
      <w:start w:val="1"/>
      <w:numFmt w:val="bullet"/>
      <w:pStyle w:val="ListBullet2"/>
      <w:lvlText w:val=""/>
      <w:lvlJc w:val="left"/>
      <w:pPr>
        <w:tabs>
          <w:tab w:val="left" w:pos="720"/>
        </w:tabs>
        <w:ind w:left="720" w:hanging="360"/>
      </w:pPr>
      <w:rPr>
        <w:rFonts w:ascii="Symbol" w:hAnsi="Symbol" w:hint="default"/>
      </w:rPr>
    </w:lvl>
    <w:lvl w:ilvl="1" w:tplc="1576BB3C">
      <w:start w:val="1"/>
      <w:numFmt w:val="bullet"/>
      <w:lvlText w:val="o"/>
      <w:lvlJc w:val="left"/>
      <w:pPr>
        <w:ind w:left="1440" w:hanging="360"/>
      </w:pPr>
      <w:rPr>
        <w:rFonts w:ascii="Courier New" w:eastAsia="Courier New" w:hAnsi="Courier New" w:cs="Courier New" w:hint="default"/>
      </w:rPr>
    </w:lvl>
    <w:lvl w:ilvl="2" w:tplc="855A5EDA">
      <w:start w:val="1"/>
      <w:numFmt w:val="bullet"/>
      <w:lvlText w:val="§"/>
      <w:lvlJc w:val="left"/>
      <w:pPr>
        <w:ind w:left="2160" w:hanging="360"/>
      </w:pPr>
      <w:rPr>
        <w:rFonts w:ascii="Wingdings" w:eastAsia="Wingdings" w:hAnsi="Wingdings" w:cs="Wingdings" w:hint="default"/>
      </w:rPr>
    </w:lvl>
    <w:lvl w:ilvl="3" w:tplc="6CAC9716">
      <w:start w:val="1"/>
      <w:numFmt w:val="bullet"/>
      <w:lvlText w:val="·"/>
      <w:lvlJc w:val="left"/>
      <w:pPr>
        <w:ind w:left="2880" w:hanging="360"/>
      </w:pPr>
      <w:rPr>
        <w:rFonts w:ascii="Symbol" w:eastAsia="Symbol" w:hAnsi="Symbol" w:cs="Symbol" w:hint="default"/>
      </w:rPr>
    </w:lvl>
    <w:lvl w:ilvl="4" w:tplc="CDFE36F4">
      <w:start w:val="1"/>
      <w:numFmt w:val="bullet"/>
      <w:lvlText w:val="o"/>
      <w:lvlJc w:val="left"/>
      <w:pPr>
        <w:ind w:left="3600" w:hanging="360"/>
      </w:pPr>
      <w:rPr>
        <w:rFonts w:ascii="Courier New" w:eastAsia="Courier New" w:hAnsi="Courier New" w:cs="Courier New" w:hint="default"/>
      </w:rPr>
    </w:lvl>
    <w:lvl w:ilvl="5" w:tplc="A33A6AB8">
      <w:start w:val="1"/>
      <w:numFmt w:val="bullet"/>
      <w:lvlText w:val="§"/>
      <w:lvlJc w:val="left"/>
      <w:pPr>
        <w:ind w:left="4320" w:hanging="360"/>
      </w:pPr>
      <w:rPr>
        <w:rFonts w:ascii="Wingdings" w:eastAsia="Wingdings" w:hAnsi="Wingdings" w:cs="Wingdings" w:hint="default"/>
      </w:rPr>
    </w:lvl>
    <w:lvl w:ilvl="6" w:tplc="B4D4D650">
      <w:start w:val="1"/>
      <w:numFmt w:val="bullet"/>
      <w:lvlText w:val="·"/>
      <w:lvlJc w:val="left"/>
      <w:pPr>
        <w:ind w:left="5040" w:hanging="360"/>
      </w:pPr>
      <w:rPr>
        <w:rFonts w:ascii="Symbol" w:eastAsia="Symbol" w:hAnsi="Symbol" w:cs="Symbol" w:hint="default"/>
      </w:rPr>
    </w:lvl>
    <w:lvl w:ilvl="7" w:tplc="525ADFD4">
      <w:start w:val="1"/>
      <w:numFmt w:val="bullet"/>
      <w:lvlText w:val="o"/>
      <w:lvlJc w:val="left"/>
      <w:pPr>
        <w:ind w:left="5760" w:hanging="360"/>
      </w:pPr>
      <w:rPr>
        <w:rFonts w:ascii="Courier New" w:eastAsia="Courier New" w:hAnsi="Courier New" w:cs="Courier New" w:hint="default"/>
      </w:rPr>
    </w:lvl>
    <w:lvl w:ilvl="8" w:tplc="717655D0">
      <w:start w:val="1"/>
      <w:numFmt w:val="bullet"/>
      <w:lvlText w:val="§"/>
      <w:lvlJc w:val="left"/>
      <w:pPr>
        <w:ind w:left="6480" w:hanging="360"/>
      </w:pPr>
      <w:rPr>
        <w:rFonts w:ascii="Wingdings" w:eastAsia="Wingdings" w:hAnsi="Wingdings" w:cs="Wingdings" w:hint="default"/>
      </w:rPr>
    </w:lvl>
  </w:abstractNum>
  <w:abstractNum w:abstractNumId="13" w15:restartNumberingAfterBreak="0">
    <w:nsid w:val="60B9739A"/>
    <w:multiLevelType w:val="hybridMultilevel"/>
    <w:tmpl w:val="431025DC"/>
    <w:lvl w:ilvl="0" w:tplc="CEE475E0">
      <w:start w:val="1"/>
      <w:numFmt w:val="decimal"/>
      <w:pStyle w:val="ListNumber3"/>
      <w:lvlText w:val="%1."/>
      <w:lvlJc w:val="left"/>
      <w:pPr>
        <w:tabs>
          <w:tab w:val="left" w:pos="1080"/>
        </w:tabs>
        <w:ind w:left="1080" w:hanging="360"/>
      </w:pPr>
    </w:lvl>
    <w:lvl w:ilvl="1" w:tplc="A094F9BE">
      <w:start w:val="1"/>
      <w:numFmt w:val="bullet"/>
      <w:lvlText w:val="o"/>
      <w:lvlJc w:val="left"/>
      <w:pPr>
        <w:ind w:left="1440" w:hanging="360"/>
      </w:pPr>
      <w:rPr>
        <w:rFonts w:ascii="Courier New" w:eastAsia="Courier New" w:hAnsi="Courier New" w:cs="Courier New" w:hint="default"/>
      </w:rPr>
    </w:lvl>
    <w:lvl w:ilvl="2" w:tplc="AD365D50">
      <w:start w:val="1"/>
      <w:numFmt w:val="bullet"/>
      <w:lvlText w:val="§"/>
      <w:lvlJc w:val="left"/>
      <w:pPr>
        <w:ind w:left="2160" w:hanging="360"/>
      </w:pPr>
      <w:rPr>
        <w:rFonts w:ascii="Wingdings" w:eastAsia="Wingdings" w:hAnsi="Wingdings" w:cs="Wingdings" w:hint="default"/>
      </w:rPr>
    </w:lvl>
    <w:lvl w:ilvl="3" w:tplc="469C5F84">
      <w:start w:val="1"/>
      <w:numFmt w:val="bullet"/>
      <w:lvlText w:val="·"/>
      <w:lvlJc w:val="left"/>
      <w:pPr>
        <w:ind w:left="2880" w:hanging="360"/>
      </w:pPr>
      <w:rPr>
        <w:rFonts w:ascii="Symbol" w:eastAsia="Symbol" w:hAnsi="Symbol" w:cs="Symbol" w:hint="default"/>
      </w:rPr>
    </w:lvl>
    <w:lvl w:ilvl="4" w:tplc="B5C4B58A">
      <w:start w:val="1"/>
      <w:numFmt w:val="bullet"/>
      <w:lvlText w:val="o"/>
      <w:lvlJc w:val="left"/>
      <w:pPr>
        <w:ind w:left="3600" w:hanging="360"/>
      </w:pPr>
      <w:rPr>
        <w:rFonts w:ascii="Courier New" w:eastAsia="Courier New" w:hAnsi="Courier New" w:cs="Courier New" w:hint="default"/>
      </w:rPr>
    </w:lvl>
    <w:lvl w:ilvl="5" w:tplc="F62A71D4">
      <w:start w:val="1"/>
      <w:numFmt w:val="bullet"/>
      <w:lvlText w:val="§"/>
      <w:lvlJc w:val="left"/>
      <w:pPr>
        <w:ind w:left="4320" w:hanging="360"/>
      </w:pPr>
      <w:rPr>
        <w:rFonts w:ascii="Wingdings" w:eastAsia="Wingdings" w:hAnsi="Wingdings" w:cs="Wingdings" w:hint="default"/>
      </w:rPr>
    </w:lvl>
    <w:lvl w:ilvl="6" w:tplc="7040CEB2">
      <w:start w:val="1"/>
      <w:numFmt w:val="bullet"/>
      <w:lvlText w:val="·"/>
      <w:lvlJc w:val="left"/>
      <w:pPr>
        <w:ind w:left="5040" w:hanging="360"/>
      </w:pPr>
      <w:rPr>
        <w:rFonts w:ascii="Symbol" w:eastAsia="Symbol" w:hAnsi="Symbol" w:cs="Symbol" w:hint="default"/>
      </w:rPr>
    </w:lvl>
    <w:lvl w:ilvl="7" w:tplc="180003C2">
      <w:start w:val="1"/>
      <w:numFmt w:val="bullet"/>
      <w:lvlText w:val="o"/>
      <w:lvlJc w:val="left"/>
      <w:pPr>
        <w:ind w:left="5760" w:hanging="360"/>
      </w:pPr>
      <w:rPr>
        <w:rFonts w:ascii="Courier New" w:eastAsia="Courier New" w:hAnsi="Courier New" w:cs="Courier New" w:hint="default"/>
      </w:rPr>
    </w:lvl>
    <w:lvl w:ilvl="8" w:tplc="72328698">
      <w:start w:val="1"/>
      <w:numFmt w:val="bullet"/>
      <w:lvlText w:val="§"/>
      <w:lvlJc w:val="left"/>
      <w:pPr>
        <w:ind w:left="6480" w:hanging="360"/>
      </w:pPr>
      <w:rPr>
        <w:rFonts w:ascii="Wingdings" w:eastAsia="Wingdings" w:hAnsi="Wingdings" w:cs="Wingdings" w:hint="default"/>
      </w:rPr>
    </w:lvl>
  </w:abstractNum>
  <w:abstractNum w:abstractNumId="14" w15:restartNumberingAfterBreak="0">
    <w:nsid w:val="612D52E6"/>
    <w:multiLevelType w:val="hybridMultilevel"/>
    <w:tmpl w:val="9792444E"/>
    <w:lvl w:ilvl="0" w:tplc="3AB80BAE">
      <w:start w:val="1993"/>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615F4B9A"/>
    <w:multiLevelType w:val="hybridMultilevel"/>
    <w:tmpl w:val="3AB48B00"/>
    <w:lvl w:ilvl="0" w:tplc="08F4C890">
      <w:start w:val="1"/>
      <w:numFmt w:val="bullet"/>
      <w:pStyle w:val="ListBullet3"/>
      <w:lvlText w:val=""/>
      <w:lvlJc w:val="left"/>
      <w:pPr>
        <w:tabs>
          <w:tab w:val="left" w:pos="1080"/>
        </w:tabs>
        <w:ind w:left="1080" w:hanging="360"/>
      </w:pPr>
      <w:rPr>
        <w:rFonts w:ascii="Symbol" w:hAnsi="Symbol" w:hint="default"/>
      </w:rPr>
    </w:lvl>
    <w:lvl w:ilvl="1" w:tplc="C2E6A54A">
      <w:start w:val="1"/>
      <w:numFmt w:val="bullet"/>
      <w:lvlText w:val="o"/>
      <w:lvlJc w:val="left"/>
      <w:pPr>
        <w:ind w:left="1440" w:hanging="360"/>
      </w:pPr>
      <w:rPr>
        <w:rFonts w:ascii="Courier New" w:eastAsia="Courier New" w:hAnsi="Courier New" w:cs="Courier New" w:hint="default"/>
      </w:rPr>
    </w:lvl>
    <w:lvl w:ilvl="2" w:tplc="ADD2F034">
      <w:start w:val="1"/>
      <w:numFmt w:val="bullet"/>
      <w:lvlText w:val="§"/>
      <w:lvlJc w:val="left"/>
      <w:pPr>
        <w:ind w:left="2160" w:hanging="360"/>
      </w:pPr>
      <w:rPr>
        <w:rFonts w:ascii="Wingdings" w:eastAsia="Wingdings" w:hAnsi="Wingdings" w:cs="Wingdings" w:hint="default"/>
      </w:rPr>
    </w:lvl>
    <w:lvl w:ilvl="3" w:tplc="916C717E">
      <w:start w:val="1"/>
      <w:numFmt w:val="bullet"/>
      <w:lvlText w:val="·"/>
      <w:lvlJc w:val="left"/>
      <w:pPr>
        <w:ind w:left="2880" w:hanging="360"/>
      </w:pPr>
      <w:rPr>
        <w:rFonts w:ascii="Symbol" w:eastAsia="Symbol" w:hAnsi="Symbol" w:cs="Symbol" w:hint="default"/>
      </w:rPr>
    </w:lvl>
    <w:lvl w:ilvl="4" w:tplc="68ECA56A">
      <w:start w:val="1"/>
      <w:numFmt w:val="bullet"/>
      <w:lvlText w:val="o"/>
      <w:lvlJc w:val="left"/>
      <w:pPr>
        <w:ind w:left="3600" w:hanging="360"/>
      </w:pPr>
      <w:rPr>
        <w:rFonts w:ascii="Courier New" w:eastAsia="Courier New" w:hAnsi="Courier New" w:cs="Courier New" w:hint="default"/>
      </w:rPr>
    </w:lvl>
    <w:lvl w:ilvl="5" w:tplc="3C8293E0">
      <w:start w:val="1"/>
      <w:numFmt w:val="bullet"/>
      <w:lvlText w:val="§"/>
      <w:lvlJc w:val="left"/>
      <w:pPr>
        <w:ind w:left="4320" w:hanging="360"/>
      </w:pPr>
      <w:rPr>
        <w:rFonts w:ascii="Wingdings" w:eastAsia="Wingdings" w:hAnsi="Wingdings" w:cs="Wingdings" w:hint="default"/>
      </w:rPr>
    </w:lvl>
    <w:lvl w:ilvl="6" w:tplc="847AE218">
      <w:start w:val="1"/>
      <w:numFmt w:val="bullet"/>
      <w:lvlText w:val="·"/>
      <w:lvlJc w:val="left"/>
      <w:pPr>
        <w:ind w:left="5040" w:hanging="360"/>
      </w:pPr>
      <w:rPr>
        <w:rFonts w:ascii="Symbol" w:eastAsia="Symbol" w:hAnsi="Symbol" w:cs="Symbol" w:hint="default"/>
      </w:rPr>
    </w:lvl>
    <w:lvl w:ilvl="7" w:tplc="332EB9D2">
      <w:start w:val="1"/>
      <w:numFmt w:val="bullet"/>
      <w:lvlText w:val="o"/>
      <w:lvlJc w:val="left"/>
      <w:pPr>
        <w:ind w:left="5760" w:hanging="360"/>
      </w:pPr>
      <w:rPr>
        <w:rFonts w:ascii="Courier New" w:eastAsia="Courier New" w:hAnsi="Courier New" w:cs="Courier New" w:hint="default"/>
      </w:rPr>
    </w:lvl>
    <w:lvl w:ilvl="8" w:tplc="50A8A6A0">
      <w:start w:val="1"/>
      <w:numFmt w:val="bullet"/>
      <w:lvlText w:val="§"/>
      <w:lvlJc w:val="left"/>
      <w:pPr>
        <w:ind w:left="6480" w:hanging="360"/>
      </w:pPr>
      <w:rPr>
        <w:rFonts w:ascii="Wingdings" w:eastAsia="Wingdings" w:hAnsi="Wingdings" w:cs="Wingdings" w:hint="default"/>
      </w:rPr>
    </w:lvl>
  </w:abstractNum>
  <w:abstractNum w:abstractNumId="16" w15:restartNumberingAfterBreak="0">
    <w:nsid w:val="671023B1"/>
    <w:multiLevelType w:val="hybridMultilevel"/>
    <w:tmpl w:val="45E48848"/>
    <w:lvl w:ilvl="0" w:tplc="B7E8B6E6">
      <w:numFmt w:val="bullet"/>
      <w:lvlText w:val=""/>
      <w:lvlJc w:val="left"/>
      <w:pPr>
        <w:ind w:left="720" w:hanging="360"/>
      </w:pPr>
      <w:rPr>
        <w:rFonts w:ascii="Wingdings" w:eastAsia="Times New Roman"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76CB10D6"/>
    <w:multiLevelType w:val="hybridMultilevel"/>
    <w:tmpl w:val="17D00E22"/>
    <w:lvl w:ilvl="0" w:tplc="8376E462">
      <w:start w:val="1"/>
      <w:numFmt w:val="bullet"/>
      <w:pStyle w:val="ListBullet5"/>
      <w:lvlText w:val=""/>
      <w:lvlJc w:val="left"/>
      <w:pPr>
        <w:tabs>
          <w:tab w:val="left" w:pos="1800"/>
        </w:tabs>
        <w:ind w:left="1800" w:hanging="360"/>
      </w:pPr>
      <w:rPr>
        <w:rFonts w:ascii="Symbol" w:hAnsi="Symbol" w:hint="default"/>
      </w:rPr>
    </w:lvl>
    <w:lvl w:ilvl="1" w:tplc="096018E8">
      <w:start w:val="1"/>
      <w:numFmt w:val="bullet"/>
      <w:lvlText w:val="o"/>
      <w:lvlJc w:val="left"/>
      <w:pPr>
        <w:ind w:left="1440" w:hanging="360"/>
      </w:pPr>
      <w:rPr>
        <w:rFonts w:ascii="Courier New" w:eastAsia="Courier New" w:hAnsi="Courier New" w:cs="Courier New" w:hint="default"/>
      </w:rPr>
    </w:lvl>
    <w:lvl w:ilvl="2" w:tplc="DF6EFB64">
      <w:start w:val="1"/>
      <w:numFmt w:val="bullet"/>
      <w:lvlText w:val="§"/>
      <w:lvlJc w:val="left"/>
      <w:pPr>
        <w:ind w:left="2160" w:hanging="360"/>
      </w:pPr>
      <w:rPr>
        <w:rFonts w:ascii="Wingdings" w:eastAsia="Wingdings" w:hAnsi="Wingdings" w:cs="Wingdings" w:hint="default"/>
      </w:rPr>
    </w:lvl>
    <w:lvl w:ilvl="3" w:tplc="B3429CC6">
      <w:start w:val="1"/>
      <w:numFmt w:val="bullet"/>
      <w:lvlText w:val="·"/>
      <w:lvlJc w:val="left"/>
      <w:pPr>
        <w:ind w:left="2880" w:hanging="360"/>
      </w:pPr>
      <w:rPr>
        <w:rFonts w:ascii="Symbol" w:eastAsia="Symbol" w:hAnsi="Symbol" w:cs="Symbol" w:hint="default"/>
      </w:rPr>
    </w:lvl>
    <w:lvl w:ilvl="4" w:tplc="01882110">
      <w:start w:val="1"/>
      <w:numFmt w:val="bullet"/>
      <w:lvlText w:val="o"/>
      <w:lvlJc w:val="left"/>
      <w:pPr>
        <w:ind w:left="3600" w:hanging="360"/>
      </w:pPr>
      <w:rPr>
        <w:rFonts w:ascii="Courier New" w:eastAsia="Courier New" w:hAnsi="Courier New" w:cs="Courier New" w:hint="default"/>
      </w:rPr>
    </w:lvl>
    <w:lvl w:ilvl="5" w:tplc="B55AF034">
      <w:start w:val="1"/>
      <w:numFmt w:val="bullet"/>
      <w:lvlText w:val="§"/>
      <w:lvlJc w:val="left"/>
      <w:pPr>
        <w:ind w:left="4320" w:hanging="360"/>
      </w:pPr>
      <w:rPr>
        <w:rFonts w:ascii="Wingdings" w:eastAsia="Wingdings" w:hAnsi="Wingdings" w:cs="Wingdings" w:hint="default"/>
      </w:rPr>
    </w:lvl>
    <w:lvl w:ilvl="6" w:tplc="BFC47BD0">
      <w:start w:val="1"/>
      <w:numFmt w:val="bullet"/>
      <w:lvlText w:val="·"/>
      <w:lvlJc w:val="left"/>
      <w:pPr>
        <w:ind w:left="5040" w:hanging="360"/>
      </w:pPr>
      <w:rPr>
        <w:rFonts w:ascii="Symbol" w:eastAsia="Symbol" w:hAnsi="Symbol" w:cs="Symbol" w:hint="default"/>
      </w:rPr>
    </w:lvl>
    <w:lvl w:ilvl="7" w:tplc="5AB2F60E">
      <w:start w:val="1"/>
      <w:numFmt w:val="bullet"/>
      <w:lvlText w:val="o"/>
      <w:lvlJc w:val="left"/>
      <w:pPr>
        <w:ind w:left="5760" w:hanging="360"/>
      </w:pPr>
      <w:rPr>
        <w:rFonts w:ascii="Courier New" w:eastAsia="Courier New" w:hAnsi="Courier New" w:cs="Courier New" w:hint="default"/>
      </w:rPr>
    </w:lvl>
    <w:lvl w:ilvl="8" w:tplc="219CDAAA">
      <w:start w:val="1"/>
      <w:numFmt w:val="bullet"/>
      <w:lvlText w:val="§"/>
      <w:lvlJc w:val="left"/>
      <w:pPr>
        <w:ind w:left="6480" w:hanging="360"/>
      </w:pPr>
      <w:rPr>
        <w:rFonts w:ascii="Wingdings" w:eastAsia="Wingdings" w:hAnsi="Wingdings" w:cs="Wingdings" w:hint="default"/>
      </w:rPr>
    </w:lvl>
  </w:abstractNum>
  <w:abstractNum w:abstractNumId="18" w15:restartNumberingAfterBreak="0">
    <w:nsid w:val="7AD46A38"/>
    <w:multiLevelType w:val="hybridMultilevel"/>
    <w:tmpl w:val="6B94A85E"/>
    <w:lvl w:ilvl="0" w:tplc="B84E39A2">
      <w:start w:val="1"/>
      <w:numFmt w:val="decimal"/>
      <w:pStyle w:val="ListNumber2"/>
      <w:lvlText w:val="%1."/>
      <w:lvlJc w:val="left"/>
      <w:pPr>
        <w:tabs>
          <w:tab w:val="left" w:pos="720"/>
        </w:tabs>
        <w:ind w:left="720" w:hanging="360"/>
      </w:pPr>
    </w:lvl>
    <w:lvl w:ilvl="1" w:tplc="59CE9996">
      <w:start w:val="1"/>
      <w:numFmt w:val="bullet"/>
      <w:lvlText w:val="o"/>
      <w:lvlJc w:val="left"/>
      <w:pPr>
        <w:ind w:left="1440" w:hanging="360"/>
      </w:pPr>
      <w:rPr>
        <w:rFonts w:ascii="Courier New" w:eastAsia="Courier New" w:hAnsi="Courier New" w:cs="Courier New" w:hint="default"/>
      </w:rPr>
    </w:lvl>
    <w:lvl w:ilvl="2" w:tplc="B7CEE242">
      <w:start w:val="1"/>
      <w:numFmt w:val="bullet"/>
      <w:lvlText w:val="§"/>
      <w:lvlJc w:val="left"/>
      <w:pPr>
        <w:ind w:left="2160" w:hanging="360"/>
      </w:pPr>
      <w:rPr>
        <w:rFonts w:ascii="Wingdings" w:eastAsia="Wingdings" w:hAnsi="Wingdings" w:cs="Wingdings" w:hint="default"/>
      </w:rPr>
    </w:lvl>
    <w:lvl w:ilvl="3" w:tplc="A232D6FC">
      <w:start w:val="1"/>
      <w:numFmt w:val="bullet"/>
      <w:lvlText w:val="·"/>
      <w:lvlJc w:val="left"/>
      <w:pPr>
        <w:ind w:left="2880" w:hanging="360"/>
      </w:pPr>
      <w:rPr>
        <w:rFonts w:ascii="Symbol" w:eastAsia="Symbol" w:hAnsi="Symbol" w:cs="Symbol" w:hint="default"/>
      </w:rPr>
    </w:lvl>
    <w:lvl w:ilvl="4" w:tplc="4384AD6E">
      <w:start w:val="1"/>
      <w:numFmt w:val="bullet"/>
      <w:lvlText w:val="o"/>
      <w:lvlJc w:val="left"/>
      <w:pPr>
        <w:ind w:left="3600" w:hanging="360"/>
      </w:pPr>
      <w:rPr>
        <w:rFonts w:ascii="Courier New" w:eastAsia="Courier New" w:hAnsi="Courier New" w:cs="Courier New" w:hint="default"/>
      </w:rPr>
    </w:lvl>
    <w:lvl w:ilvl="5" w:tplc="D834E5CE">
      <w:start w:val="1"/>
      <w:numFmt w:val="bullet"/>
      <w:lvlText w:val="§"/>
      <w:lvlJc w:val="left"/>
      <w:pPr>
        <w:ind w:left="4320" w:hanging="360"/>
      </w:pPr>
      <w:rPr>
        <w:rFonts w:ascii="Wingdings" w:eastAsia="Wingdings" w:hAnsi="Wingdings" w:cs="Wingdings" w:hint="default"/>
      </w:rPr>
    </w:lvl>
    <w:lvl w:ilvl="6" w:tplc="AA9A7A32">
      <w:start w:val="1"/>
      <w:numFmt w:val="bullet"/>
      <w:lvlText w:val="·"/>
      <w:lvlJc w:val="left"/>
      <w:pPr>
        <w:ind w:left="5040" w:hanging="360"/>
      </w:pPr>
      <w:rPr>
        <w:rFonts w:ascii="Symbol" w:eastAsia="Symbol" w:hAnsi="Symbol" w:cs="Symbol" w:hint="default"/>
      </w:rPr>
    </w:lvl>
    <w:lvl w:ilvl="7" w:tplc="4E0A53DE">
      <w:start w:val="1"/>
      <w:numFmt w:val="bullet"/>
      <w:lvlText w:val="o"/>
      <w:lvlJc w:val="left"/>
      <w:pPr>
        <w:ind w:left="5760" w:hanging="360"/>
      </w:pPr>
      <w:rPr>
        <w:rFonts w:ascii="Courier New" w:eastAsia="Courier New" w:hAnsi="Courier New" w:cs="Courier New" w:hint="default"/>
      </w:rPr>
    </w:lvl>
    <w:lvl w:ilvl="8" w:tplc="D3526AA0">
      <w:start w:val="1"/>
      <w:numFmt w:val="bullet"/>
      <w:lvlText w:val="§"/>
      <w:lvlJc w:val="left"/>
      <w:pPr>
        <w:ind w:left="6480" w:hanging="360"/>
      </w:pPr>
      <w:rPr>
        <w:rFonts w:ascii="Wingdings" w:eastAsia="Wingdings" w:hAnsi="Wingdings" w:cs="Wingdings" w:hint="default"/>
      </w:rPr>
    </w:lvl>
  </w:abstractNum>
  <w:num w:numId="1">
    <w:abstractNumId w:val="8"/>
  </w:num>
  <w:num w:numId="2">
    <w:abstractNumId w:val="12"/>
  </w:num>
  <w:num w:numId="3">
    <w:abstractNumId w:val="15"/>
  </w:num>
  <w:num w:numId="4">
    <w:abstractNumId w:val="5"/>
  </w:num>
  <w:num w:numId="5">
    <w:abstractNumId w:val="17"/>
  </w:num>
  <w:num w:numId="6">
    <w:abstractNumId w:val="7"/>
  </w:num>
  <w:num w:numId="7">
    <w:abstractNumId w:val="18"/>
  </w:num>
  <w:num w:numId="8">
    <w:abstractNumId w:val="13"/>
  </w:num>
  <w:num w:numId="9">
    <w:abstractNumId w:val="3"/>
  </w:num>
  <w:num w:numId="10">
    <w:abstractNumId w:val="0"/>
  </w:num>
  <w:num w:numId="11">
    <w:abstractNumId w:val="8"/>
    <w:lvlOverride w:ilvl="0">
      <w:startOverride w:val="1"/>
    </w:lvlOverride>
  </w:num>
  <w:num w:numId="12">
    <w:abstractNumId w:val="11"/>
  </w:num>
  <w:num w:numId="13">
    <w:abstractNumId w:val="4"/>
  </w:num>
  <w:num w:numId="14">
    <w:abstractNumId w:val="1"/>
  </w:num>
  <w:num w:numId="15">
    <w:abstractNumId w:val="10"/>
  </w:num>
  <w:num w:numId="16">
    <w:abstractNumId w:val="16"/>
  </w:num>
  <w:num w:numId="17">
    <w:abstractNumId w:val="9"/>
  </w:num>
  <w:num w:numId="18">
    <w:abstractNumId w:val="2"/>
  </w:num>
  <w:num w:numId="19">
    <w:abstractNumId w:val="6"/>
  </w:num>
  <w:num w:numId="2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trackRevisions/>
  <w:defaultTabStop w:val="720"/>
  <w:hyphenationZone w:val="425"/>
  <w:characterSpacingControl w:val="doNotCompres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7M0NbQwsTAzNLc0NDBR0lEKTi0uzszPAykwrAUAfo6ucywAAAA="/>
  </w:docVars>
  <w:rsids>
    <w:rsidRoot w:val="002A1516"/>
    <w:rsid w:val="00000868"/>
    <w:rsid w:val="000019BD"/>
    <w:rsid w:val="000048CF"/>
    <w:rsid w:val="000059FD"/>
    <w:rsid w:val="0000610D"/>
    <w:rsid w:val="000104B2"/>
    <w:rsid w:val="00011F42"/>
    <w:rsid w:val="000121D5"/>
    <w:rsid w:val="00014F14"/>
    <w:rsid w:val="0001587F"/>
    <w:rsid w:val="000216D1"/>
    <w:rsid w:val="00021EC0"/>
    <w:rsid w:val="00024C05"/>
    <w:rsid w:val="000339F8"/>
    <w:rsid w:val="000402E5"/>
    <w:rsid w:val="000447B9"/>
    <w:rsid w:val="00052B3F"/>
    <w:rsid w:val="00055E80"/>
    <w:rsid w:val="00056BC0"/>
    <w:rsid w:val="00057681"/>
    <w:rsid w:val="0006065B"/>
    <w:rsid w:val="00060865"/>
    <w:rsid w:val="00065029"/>
    <w:rsid w:val="00066AEE"/>
    <w:rsid w:val="000679CC"/>
    <w:rsid w:val="00070C1F"/>
    <w:rsid w:val="00072C4C"/>
    <w:rsid w:val="00074CCF"/>
    <w:rsid w:val="00075A34"/>
    <w:rsid w:val="00077E72"/>
    <w:rsid w:val="00084055"/>
    <w:rsid w:val="0008495A"/>
    <w:rsid w:val="00085F47"/>
    <w:rsid w:val="000903DC"/>
    <w:rsid w:val="00092C8C"/>
    <w:rsid w:val="0009370C"/>
    <w:rsid w:val="000A2591"/>
    <w:rsid w:val="000A25CF"/>
    <w:rsid w:val="000A429E"/>
    <w:rsid w:val="000B0C91"/>
    <w:rsid w:val="000B7ABF"/>
    <w:rsid w:val="000C30D4"/>
    <w:rsid w:val="000D4919"/>
    <w:rsid w:val="000D6216"/>
    <w:rsid w:val="000D70F5"/>
    <w:rsid w:val="000D7418"/>
    <w:rsid w:val="000E2D3E"/>
    <w:rsid w:val="000E49D1"/>
    <w:rsid w:val="000E4EC5"/>
    <w:rsid w:val="000E7990"/>
    <w:rsid w:val="000E7E66"/>
    <w:rsid w:val="000F376D"/>
    <w:rsid w:val="000F46FA"/>
    <w:rsid w:val="000F50E0"/>
    <w:rsid w:val="000F63AE"/>
    <w:rsid w:val="00100A31"/>
    <w:rsid w:val="00102012"/>
    <w:rsid w:val="0010287D"/>
    <w:rsid w:val="00103BC8"/>
    <w:rsid w:val="00112657"/>
    <w:rsid w:val="001146CF"/>
    <w:rsid w:val="00120996"/>
    <w:rsid w:val="00123542"/>
    <w:rsid w:val="00132047"/>
    <w:rsid w:val="00132BF6"/>
    <w:rsid w:val="00134362"/>
    <w:rsid w:val="001347DA"/>
    <w:rsid w:val="00134A0F"/>
    <w:rsid w:val="00141468"/>
    <w:rsid w:val="0014628D"/>
    <w:rsid w:val="00147235"/>
    <w:rsid w:val="00150EF9"/>
    <w:rsid w:val="001519F4"/>
    <w:rsid w:val="00152C3A"/>
    <w:rsid w:val="00155387"/>
    <w:rsid w:val="00160435"/>
    <w:rsid w:val="001607AE"/>
    <w:rsid w:val="00161D0E"/>
    <w:rsid w:val="001660E9"/>
    <w:rsid w:val="00170A6E"/>
    <w:rsid w:val="001710BE"/>
    <w:rsid w:val="001718F9"/>
    <w:rsid w:val="00172CEF"/>
    <w:rsid w:val="00173131"/>
    <w:rsid w:val="0017652F"/>
    <w:rsid w:val="00177D1F"/>
    <w:rsid w:val="00180EFB"/>
    <w:rsid w:val="0018263D"/>
    <w:rsid w:val="00187C6F"/>
    <w:rsid w:val="001902AF"/>
    <w:rsid w:val="0019098B"/>
    <w:rsid w:val="001917EB"/>
    <w:rsid w:val="001A1A16"/>
    <w:rsid w:val="001A32E3"/>
    <w:rsid w:val="001A52ED"/>
    <w:rsid w:val="001A5AE9"/>
    <w:rsid w:val="001A5CB5"/>
    <w:rsid w:val="001A6920"/>
    <w:rsid w:val="001B0AB6"/>
    <w:rsid w:val="001B0DA3"/>
    <w:rsid w:val="001B1F9A"/>
    <w:rsid w:val="001B3ABB"/>
    <w:rsid w:val="001B6FBE"/>
    <w:rsid w:val="001C0C3B"/>
    <w:rsid w:val="001C2773"/>
    <w:rsid w:val="001C72C7"/>
    <w:rsid w:val="001C7B2D"/>
    <w:rsid w:val="001C7F29"/>
    <w:rsid w:val="001D3930"/>
    <w:rsid w:val="001D4651"/>
    <w:rsid w:val="001D6B49"/>
    <w:rsid w:val="001E1767"/>
    <w:rsid w:val="001E5D43"/>
    <w:rsid w:val="001E630D"/>
    <w:rsid w:val="001E6428"/>
    <w:rsid w:val="001E7877"/>
    <w:rsid w:val="001F1252"/>
    <w:rsid w:val="001F28C4"/>
    <w:rsid w:val="001F3E60"/>
    <w:rsid w:val="001F44E8"/>
    <w:rsid w:val="001F70E3"/>
    <w:rsid w:val="001F74B6"/>
    <w:rsid w:val="001F7526"/>
    <w:rsid w:val="0020021A"/>
    <w:rsid w:val="002002DE"/>
    <w:rsid w:val="00200E08"/>
    <w:rsid w:val="0020229A"/>
    <w:rsid w:val="00203570"/>
    <w:rsid w:val="00212C86"/>
    <w:rsid w:val="00213609"/>
    <w:rsid w:val="00216ECF"/>
    <w:rsid w:val="00225220"/>
    <w:rsid w:val="00226451"/>
    <w:rsid w:val="002346E6"/>
    <w:rsid w:val="00235272"/>
    <w:rsid w:val="00241538"/>
    <w:rsid w:val="002425E4"/>
    <w:rsid w:val="00243E50"/>
    <w:rsid w:val="00244593"/>
    <w:rsid w:val="00245F82"/>
    <w:rsid w:val="00246B22"/>
    <w:rsid w:val="00253BCC"/>
    <w:rsid w:val="00260154"/>
    <w:rsid w:val="00262D2A"/>
    <w:rsid w:val="00265531"/>
    <w:rsid w:val="00266B0B"/>
    <w:rsid w:val="00284AD1"/>
    <w:rsid w:val="002977DE"/>
    <w:rsid w:val="002A1516"/>
    <w:rsid w:val="002A3F2E"/>
    <w:rsid w:val="002A4206"/>
    <w:rsid w:val="002A7FC6"/>
    <w:rsid w:val="002B0276"/>
    <w:rsid w:val="002B08F4"/>
    <w:rsid w:val="002B2964"/>
    <w:rsid w:val="002B393B"/>
    <w:rsid w:val="002B4123"/>
    <w:rsid w:val="002C4CAA"/>
    <w:rsid w:val="002C5108"/>
    <w:rsid w:val="002C70E3"/>
    <w:rsid w:val="002D05D4"/>
    <w:rsid w:val="002D0EB1"/>
    <w:rsid w:val="002D24CD"/>
    <w:rsid w:val="002D3B0E"/>
    <w:rsid w:val="002D63CE"/>
    <w:rsid w:val="002E47DB"/>
    <w:rsid w:val="002F11B0"/>
    <w:rsid w:val="002F1743"/>
    <w:rsid w:val="002F236A"/>
    <w:rsid w:val="002F42B5"/>
    <w:rsid w:val="002F5701"/>
    <w:rsid w:val="003001D7"/>
    <w:rsid w:val="003022AB"/>
    <w:rsid w:val="003058A0"/>
    <w:rsid w:val="003058A6"/>
    <w:rsid w:val="00305F6F"/>
    <w:rsid w:val="0031210B"/>
    <w:rsid w:val="00315E6C"/>
    <w:rsid w:val="003163D7"/>
    <w:rsid w:val="003225D4"/>
    <w:rsid w:val="003232F5"/>
    <w:rsid w:val="0032373E"/>
    <w:rsid w:val="0032513E"/>
    <w:rsid w:val="00325747"/>
    <w:rsid w:val="003261C4"/>
    <w:rsid w:val="00326B61"/>
    <w:rsid w:val="003272B7"/>
    <w:rsid w:val="00335A1B"/>
    <w:rsid w:val="00337854"/>
    <w:rsid w:val="00343C4E"/>
    <w:rsid w:val="00343F4B"/>
    <w:rsid w:val="00350EFF"/>
    <w:rsid w:val="00353415"/>
    <w:rsid w:val="00353A61"/>
    <w:rsid w:val="00354AF2"/>
    <w:rsid w:val="00355660"/>
    <w:rsid w:val="00362ED1"/>
    <w:rsid w:val="003635B4"/>
    <w:rsid w:val="003640E9"/>
    <w:rsid w:val="003656EB"/>
    <w:rsid w:val="00367A89"/>
    <w:rsid w:val="00373460"/>
    <w:rsid w:val="003746EA"/>
    <w:rsid w:val="003766E0"/>
    <w:rsid w:val="003770DD"/>
    <w:rsid w:val="003810B8"/>
    <w:rsid w:val="003822FA"/>
    <w:rsid w:val="0039420E"/>
    <w:rsid w:val="003977C9"/>
    <w:rsid w:val="00397EDC"/>
    <w:rsid w:val="003A06C2"/>
    <w:rsid w:val="003A0BF4"/>
    <w:rsid w:val="003A2D20"/>
    <w:rsid w:val="003A39F8"/>
    <w:rsid w:val="003A413F"/>
    <w:rsid w:val="003A7938"/>
    <w:rsid w:val="003A7B77"/>
    <w:rsid w:val="003B135D"/>
    <w:rsid w:val="003B1D64"/>
    <w:rsid w:val="003B249D"/>
    <w:rsid w:val="003B6E9A"/>
    <w:rsid w:val="003B7EFE"/>
    <w:rsid w:val="003C06F2"/>
    <w:rsid w:val="003C1E87"/>
    <w:rsid w:val="003C2656"/>
    <w:rsid w:val="003C4051"/>
    <w:rsid w:val="003C721E"/>
    <w:rsid w:val="003D1F36"/>
    <w:rsid w:val="003D52B2"/>
    <w:rsid w:val="003E277D"/>
    <w:rsid w:val="003F01A0"/>
    <w:rsid w:val="00400E2A"/>
    <w:rsid w:val="0040134B"/>
    <w:rsid w:val="00402F9C"/>
    <w:rsid w:val="004042D5"/>
    <w:rsid w:val="00404B8C"/>
    <w:rsid w:val="00404EE1"/>
    <w:rsid w:val="004052FE"/>
    <w:rsid w:val="00407624"/>
    <w:rsid w:val="00414629"/>
    <w:rsid w:val="00417894"/>
    <w:rsid w:val="0043293E"/>
    <w:rsid w:val="00433710"/>
    <w:rsid w:val="00433E02"/>
    <w:rsid w:val="004354FE"/>
    <w:rsid w:val="00437B9D"/>
    <w:rsid w:val="00440FAD"/>
    <w:rsid w:val="0044132F"/>
    <w:rsid w:val="00446A79"/>
    <w:rsid w:val="00451C14"/>
    <w:rsid w:val="00455F4E"/>
    <w:rsid w:val="0046173B"/>
    <w:rsid w:val="004637B7"/>
    <w:rsid w:val="004664C4"/>
    <w:rsid w:val="00470336"/>
    <w:rsid w:val="0047206B"/>
    <w:rsid w:val="00474061"/>
    <w:rsid w:val="004763EE"/>
    <w:rsid w:val="004804C4"/>
    <w:rsid w:val="004831FB"/>
    <w:rsid w:val="00483DCD"/>
    <w:rsid w:val="004842BC"/>
    <w:rsid w:val="00484660"/>
    <w:rsid w:val="004857CF"/>
    <w:rsid w:val="004900E2"/>
    <w:rsid w:val="00493BD8"/>
    <w:rsid w:val="004948DE"/>
    <w:rsid w:val="004A2B01"/>
    <w:rsid w:val="004A2B95"/>
    <w:rsid w:val="004A309A"/>
    <w:rsid w:val="004A4398"/>
    <w:rsid w:val="004A7747"/>
    <w:rsid w:val="004B0403"/>
    <w:rsid w:val="004B2687"/>
    <w:rsid w:val="004B3ED5"/>
    <w:rsid w:val="004B43EF"/>
    <w:rsid w:val="004B74BF"/>
    <w:rsid w:val="004B7F49"/>
    <w:rsid w:val="004C152F"/>
    <w:rsid w:val="004C51E8"/>
    <w:rsid w:val="004D4579"/>
    <w:rsid w:val="004D46E4"/>
    <w:rsid w:val="004E2A70"/>
    <w:rsid w:val="004E3DA6"/>
    <w:rsid w:val="004E41B5"/>
    <w:rsid w:val="004E470E"/>
    <w:rsid w:val="004F2D72"/>
    <w:rsid w:val="004F48EB"/>
    <w:rsid w:val="00500209"/>
    <w:rsid w:val="0050481F"/>
    <w:rsid w:val="00512A98"/>
    <w:rsid w:val="00515BD4"/>
    <w:rsid w:val="00515E6A"/>
    <w:rsid w:val="0052120F"/>
    <w:rsid w:val="0052191C"/>
    <w:rsid w:val="00521EB5"/>
    <w:rsid w:val="00530033"/>
    <w:rsid w:val="0053273E"/>
    <w:rsid w:val="00533EDD"/>
    <w:rsid w:val="0053451F"/>
    <w:rsid w:val="00536D93"/>
    <w:rsid w:val="00541668"/>
    <w:rsid w:val="00545AF6"/>
    <w:rsid w:val="0054603B"/>
    <w:rsid w:val="00546DDF"/>
    <w:rsid w:val="00551243"/>
    <w:rsid w:val="00553C34"/>
    <w:rsid w:val="00554908"/>
    <w:rsid w:val="005554ED"/>
    <w:rsid w:val="0055678A"/>
    <w:rsid w:val="0055769D"/>
    <w:rsid w:val="00560F09"/>
    <w:rsid w:val="00562C66"/>
    <w:rsid w:val="00566575"/>
    <w:rsid w:val="005675CC"/>
    <w:rsid w:val="005724E6"/>
    <w:rsid w:val="005749D3"/>
    <w:rsid w:val="00574E7C"/>
    <w:rsid w:val="00575C4C"/>
    <w:rsid w:val="0057738A"/>
    <w:rsid w:val="0057792F"/>
    <w:rsid w:val="00580DC9"/>
    <w:rsid w:val="005971EB"/>
    <w:rsid w:val="005A2169"/>
    <w:rsid w:val="005A4956"/>
    <w:rsid w:val="005B106A"/>
    <w:rsid w:val="005B1C6F"/>
    <w:rsid w:val="005B2DC6"/>
    <w:rsid w:val="005B3ECB"/>
    <w:rsid w:val="005B417A"/>
    <w:rsid w:val="005B4407"/>
    <w:rsid w:val="005B63C8"/>
    <w:rsid w:val="005C0E48"/>
    <w:rsid w:val="005C25D9"/>
    <w:rsid w:val="005C3CD2"/>
    <w:rsid w:val="005C54A2"/>
    <w:rsid w:val="005C5CF3"/>
    <w:rsid w:val="005C61A6"/>
    <w:rsid w:val="005D02CA"/>
    <w:rsid w:val="005D2CF3"/>
    <w:rsid w:val="005D6074"/>
    <w:rsid w:val="005E2970"/>
    <w:rsid w:val="005E5D26"/>
    <w:rsid w:val="005F388D"/>
    <w:rsid w:val="005F4E31"/>
    <w:rsid w:val="00605E79"/>
    <w:rsid w:val="006061F9"/>
    <w:rsid w:val="00610210"/>
    <w:rsid w:val="00617CAA"/>
    <w:rsid w:val="0062115C"/>
    <w:rsid w:val="00625937"/>
    <w:rsid w:val="006272CF"/>
    <w:rsid w:val="0063282F"/>
    <w:rsid w:val="00632F01"/>
    <w:rsid w:val="00634B75"/>
    <w:rsid w:val="006350BA"/>
    <w:rsid w:val="006405FE"/>
    <w:rsid w:val="00640CE5"/>
    <w:rsid w:val="00640F5D"/>
    <w:rsid w:val="006412AD"/>
    <w:rsid w:val="0064741B"/>
    <w:rsid w:val="00647423"/>
    <w:rsid w:val="00652CB3"/>
    <w:rsid w:val="00652FB5"/>
    <w:rsid w:val="0065445D"/>
    <w:rsid w:val="00654A35"/>
    <w:rsid w:val="00657461"/>
    <w:rsid w:val="006658FF"/>
    <w:rsid w:val="00666586"/>
    <w:rsid w:val="00667036"/>
    <w:rsid w:val="0067201E"/>
    <w:rsid w:val="0067616A"/>
    <w:rsid w:val="006841D1"/>
    <w:rsid w:val="00687B96"/>
    <w:rsid w:val="006922D8"/>
    <w:rsid w:val="00694F50"/>
    <w:rsid w:val="00695453"/>
    <w:rsid w:val="0069715B"/>
    <w:rsid w:val="006A08CD"/>
    <w:rsid w:val="006A11A6"/>
    <w:rsid w:val="006A16A9"/>
    <w:rsid w:val="006A19D4"/>
    <w:rsid w:val="006A58BE"/>
    <w:rsid w:val="006A5F73"/>
    <w:rsid w:val="006B207E"/>
    <w:rsid w:val="006B2EFF"/>
    <w:rsid w:val="006C5135"/>
    <w:rsid w:val="006C54A2"/>
    <w:rsid w:val="006C5EE8"/>
    <w:rsid w:val="006D1890"/>
    <w:rsid w:val="006D4F5B"/>
    <w:rsid w:val="006D55D1"/>
    <w:rsid w:val="006E018E"/>
    <w:rsid w:val="006E49EB"/>
    <w:rsid w:val="006E65EA"/>
    <w:rsid w:val="006E7520"/>
    <w:rsid w:val="006F318A"/>
    <w:rsid w:val="006F3DBF"/>
    <w:rsid w:val="006F51DC"/>
    <w:rsid w:val="006F7CB9"/>
    <w:rsid w:val="00702757"/>
    <w:rsid w:val="00704435"/>
    <w:rsid w:val="00716BFA"/>
    <w:rsid w:val="007216D2"/>
    <w:rsid w:val="007222C3"/>
    <w:rsid w:val="0072298A"/>
    <w:rsid w:val="00723947"/>
    <w:rsid w:val="00723D86"/>
    <w:rsid w:val="00724870"/>
    <w:rsid w:val="00724B15"/>
    <w:rsid w:val="00724DE4"/>
    <w:rsid w:val="007266E9"/>
    <w:rsid w:val="00727A72"/>
    <w:rsid w:val="0073055E"/>
    <w:rsid w:val="00730584"/>
    <w:rsid w:val="0073182C"/>
    <w:rsid w:val="0073208A"/>
    <w:rsid w:val="007326C0"/>
    <w:rsid w:val="00734FBF"/>
    <w:rsid w:val="007435A9"/>
    <w:rsid w:val="00744129"/>
    <w:rsid w:val="00744825"/>
    <w:rsid w:val="00745B30"/>
    <w:rsid w:val="00751DAE"/>
    <w:rsid w:val="00754E33"/>
    <w:rsid w:val="00755413"/>
    <w:rsid w:val="00755EC9"/>
    <w:rsid w:val="00761EE6"/>
    <w:rsid w:val="0076259D"/>
    <w:rsid w:val="00762717"/>
    <w:rsid w:val="00763713"/>
    <w:rsid w:val="0076477C"/>
    <w:rsid w:val="007663C6"/>
    <w:rsid w:val="007755B1"/>
    <w:rsid w:val="00776163"/>
    <w:rsid w:val="00781279"/>
    <w:rsid w:val="00782253"/>
    <w:rsid w:val="00782286"/>
    <w:rsid w:val="00784700"/>
    <w:rsid w:val="0078588B"/>
    <w:rsid w:val="00790C7A"/>
    <w:rsid w:val="00792AF2"/>
    <w:rsid w:val="007953FC"/>
    <w:rsid w:val="00795F38"/>
    <w:rsid w:val="00795FF3"/>
    <w:rsid w:val="007962C0"/>
    <w:rsid w:val="007A0A0F"/>
    <w:rsid w:val="007A2091"/>
    <w:rsid w:val="007A3704"/>
    <w:rsid w:val="007A3C9B"/>
    <w:rsid w:val="007B1F4F"/>
    <w:rsid w:val="007B4581"/>
    <w:rsid w:val="007B722C"/>
    <w:rsid w:val="007C20E2"/>
    <w:rsid w:val="007D4372"/>
    <w:rsid w:val="007D5841"/>
    <w:rsid w:val="007D666E"/>
    <w:rsid w:val="007E3CB4"/>
    <w:rsid w:val="007E44AA"/>
    <w:rsid w:val="007F0964"/>
    <w:rsid w:val="007F29A2"/>
    <w:rsid w:val="007F4116"/>
    <w:rsid w:val="00806777"/>
    <w:rsid w:val="00810455"/>
    <w:rsid w:val="0081106D"/>
    <w:rsid w:val="0081259B"/>
    <w:rsid w:val="008166EB"/>
    <w:rsid w:val="008167DD"/>
    <w:rsid w:val="0082388A"/>
    <w:rsid w:val="00823DDA"/>
    <w:rsid w:val="0082692D"/>
    <w:rsid w:val="00833F86"/>
    <w:rsid w:val="00835A58"/>
    <w:rsid w:val="00836533"/>
    <w:rsid w:val="008379AC"/>
    <w:rsid w:val="00840781"/>
    <w:rsid w:val="00842074"/>
    <w:rsid w:val="00844F12"/>
    <w:rsid w:val="00854D23"/>
    <w:rsid w:val="008577CC"/>
    <w:rsid w:val="008611DC"/>
    <w:rsid w:val="00861CB6"/>
    <w:rsid w:val="00864303"/>
    <w:rsid w:val="008665C8"/>
    <w:rsid w:val="00866BB5"/>
    <w:rsid w:val="0086710F"/>
    <w:rsid w:val="00867653"/>
    <w:rsid w:val="008701AF"/>
    <w:rsid w:val="00870AC7"/>
    <w:rsid w:val="00870D3F"/>
    <w:rsid w:val="00871B3A"/>
    <w:rsid w:val="0087650F"/>
    <w:rsid w:val="00876BFC"/>
    <w:rsid w:val="00882637"/>
    <w:rsid w:val="0088714A"/>
    <w:rsid w:val="00887990"/>
    <w:rsid w:val="00887DB5"/>
    <w:rsid w:val="008927EB"/>
    <w:rsid w:val="00893402"/>
    <w:rsid w:val="008979DB"/>
    <w:rsid w:val="008A06AE"/>
    <w:rsid w:val="008A203C"/>
    <w:rsid w:val="008A3BC4"/>
    <w:rsid w:val="008B0ED0"/>
    <w:rsid w:val="008B2BBE"/>
    <w:rsid w:val="008B4F5E"/>
    <w:rsid w:val="008C0F7A"/>
    <w:rsid w:val="008C25C0"/>
    <w:rsid w:val="008C2D10"/>
    <w:rsid w:val="008C5038"/>
    <w:rsid w:val="008C6453"/>
    <w:rsid w:val="008D2CDA"/>
    <w:rsid w:val="008D30F4"/>
    <w:rsid w:val="008D5441"/>
    <w:rsid w:val="008D656F"/>
    <w:rsid w:val="008E0770"/>
    <w:rsid w:val="008E4E31"/>
    <w:rsid w:val="008E4F7B"/>
    <w:rsid w:val="008F0073"/>
    <w:rsid w:val="008F0121"/>
    <w:rsid w:val="008F35BE"/>
    <w:rsid w:val="008F4729"/>
    <w:rsid w:val="008F64A7"/>
    <w:rsid w:val="009001A8"/>
    <w:rsid w:val="009017CD"/>
    <w:rsid w:val="009038B8"/>
    <w:rsid w:val="00906AD0"/>
    <w:rsid w:val="009102F7"/>
    <w:rsid w:val="00915F66"/>
    <w:rsid w:val="00924656"/>
    <w:rsid w:val="00935920"/>
    <w:rsid w:val="00946B36"/>
    <w:rsid w:val="00947F13"/>
    <w:rsid w:val="00951DCF"/>
    <w:rsid w:val="00953BF7"/>
    <w:rsid w:val="009575AC"/>
    <w:rsid w:val="00960419"/>
    <w:rsid w:val="00962812"/>
    <w:rsid w:val="00962F10"/>
    <w:rsid w:val="0096726E"/>
    <w:rsid w:val="009745D1"/>
    <w:rsid w:val="009763DF"/>
    <w:rsid w:val="0098250E"/>
    <w:rsid w:val="00982F28"/>
    <w:rsid w:val="009833A0"/>
    <w:rsid w:val="0098460B"/>
    <w:rsid w:val="00985862"/>
    <w:rsid w:val="00987CE5"/>
    <w:rsid w:val="00990896"/>
    <w:rsid w:val="009909B9"/>
    <w:rsid w:val="009911A6"/>
    <w:rsid w:val="00993ECA"/>
    <w:rsid w:val="00995101"/>
    <w:rsid w:val="009A076A"/>
    <w:rsid w:val="009A0F25"/>
    <w:rsid w:val="009A471A"/>
    <w:rsid w:val="009B064E"/>
    <w:rsid w:val="009B2B1C"/>
    <w:rsid w:val="009B2E12"/>
    <w:rsid w:val="009B355B"/>
    <w:rsid w:val="009B4FEF"/>
    <w:rsid w:val="009B5C7C"/>
    <w:rsid w:val="009C066B"/>
    <w:rsid w:val="009C07FE"/>
    <w:rsid w:val="009C2E50"/>
    <w:rsid w:val="009C35A6"/>
    <w:rsid w:val="009D269C"/>
    <w:rsid w:val="009D3196"/>
    <w:rsid w:val="009D3C9D"/>
    <w:rsid w:val="009E0A12"/>
    <w:rsid w:val="009E0A27"/>
    <w:rsid w:val="009E19ED"/>
    <w:rsid w:val="009E53AB"/>
    <w:rsid w:val="009E53D8"/>
    <w:rsid w:val="009E5754"/>
    <w:rsid w:val="009E6E3F"/>
    <w:rsid w:val="009E7864"/>
    <w:rsid w:val="009F6548"/>
    <w:rsid w:val="009F66EC"/>
    <w:rsid w:val="00A01F3C"/>
    <w:rsid w:val="00A0345D"/>
    <w:rsid w:val="00A047D3"/>
    <w:rsid w:val="00A04F18"/>
    <w:rsid w:val="00A05176"/>
    <w:rsid w:val="00A06AD5"/>
    <w:rsid w:val="00A1013F"/>
    <w:rsid w:val="00A10DCD"/>
    <w:rsid w:val="00A11815"/>
    <w:rsid w:val="00A12F01"/>
    <w:rsid w:val="00A134A0"/>
    <w:rsid w:val="00A13E8C"/>
    <w:rsid w:val="00A151A2"/>
    <w:rsid w:val="00A2015F"/>
    <w:rsid w:val="00A2354C"/>
    <w:rsid w:val="00A24E39"/>
    <w:rsid w:val="00A2714A"/>
    <w:rsid w:val="00A27BB8"/>
    <w:rsid w:val="00A30175"/>
    <w:rsid w:val="00A30A73"/>
    <w:rsid w:val="00A32B87"/>
    <w:rsid w:val="00A33900"/>
    <w:rsid w:val="00A34230"/>
    <w:rsid w:val="00A36472"/>
    <w:rsid w:val="00A425BE"/>
    <w:rsid w:val="00A430BF"/>
    <w:rsid w:val="00A47315"/>
    <w:rsid w:val="00A47368"/>
    <w:rsid w:val="00A47B4C"/>
    <w:rsid w:val="00A50898"/>
    <w:rsid w:val="00A519D1"/>
    <w:rsid w:val="00A528E8"/>
    <w:rsid w:val="00A52D85"/>
    <w:rsid w:val="00A56C32"/>
    <w:rsid w:val="00A63887"/>
    <w:rsid w:val="00A66E88"/>
    <w:rsid w:val="00A679DF"/>
    <w:rsid w:val="00A67DFF"/>
    <w:rsid w:val="00A70254"/>
    <w:rsid w:val="00A740EA"/>
    <w:rsid w:val="00A756EF"/>
    <w:rsid w:val="00A76EDA"/>
    <w:rsid w:val="00A817CD"/>
    <w:rsid w:val="00A86D2B"/>
    <w:rsid w:val="00A9462C"/>
    <w:rsid w:val="00A95C3A"/>
    <w:rsid w:val="00A97CA7"/>
    <w:rsid w:val="00AA0B2E"/>
    <w:rsid w:val="00AA159A"/>
    <w:rsid w:val="00AA1CB8"/>
    <w:rsid w:val="00AA4C35"/>
    <w:rsid w:val="00AA7CFA"/>
    <w:rsid w:val="00AB58BE"/>
    <w:rsid w:val="00AB5F4B"/>
    <w:rsid w:val="00AC55A0"/>
    <w:rsid w:val="00AC60A9"/>
    <w:rsid w:val="00AD0DDA"/>
    <w:rsid w:val="00AD2AC0"/>
    <w:rsid w:val="00AD65AF"/>
    <w:rsid w:val="00AD7DD7"/>
    <w:rsid w:val="00AE3CD9"/>
    <w:rsid w:val="00AE591E"/>
    <w:rsid w:val="00AE7105"/>
    <w:rsid w:val="00AF0843"/>
    <w:rsid w:val="00AF4F83"/>
    <w:rsid w:val="00B0269F"/>
    <w:rsid w:val="00B06777"/>
    <w:rsid w:val="00B105BF"/>
    <w:rsid w:val="00B11167"/>
    <w:rsid w:val="00B14AE7"/>
    <w:rsid w:val="00B16863"/>
    <w:rsid w:val="00B226ED"/>
    <w:rsid w:val="00B2626E"/>
    <w:rsid w:val="00B2722E"/>
    <w:rsid w:val="00B301A7"/>
    <w:rsid w:val="00B30C25"/>
    <w:rsid w:val="00B3134E"/>
    <w:rsid w:val="00B3439D"/>
    <w:rsid w:val="00B3636B"/>
    <w:rsid w:val="00B373BD"/>
    <w:rsid w:val="00B42A1A"/>
    <w:rsid w:val="00B432C1"/>
    <w:rsid w:val="00B45D41"/>
    <w:rsid w:val="00B50E60"/>
    <w:rsid w:val="00B5134B"/>
    <w:rsid w:val="00B524E2"/>
    <w:rsid w:val="00B54C2C"/>
    <w:rsid w:val="00B554B1"/>
    <w:rsid w:val="00B55C1B"/>
    <w:rsid w:val="00B57087"/>
    <w:rsid w:val="00B60984"/>
    <w:rsid w:val="00B61F0D"/>
    <w:rsid w:val="00B6461A"/>
    <w:rsid w:val="00B64CA5"/>
    <w:rsid w:val="00B67BE3"/>
    <w:rsid w:val="00B67E78"/>
    <w:rsid w:val="00B76713"/>
    <w:rsid w:val="00B85253"/>
    <w:rsid w:val="00B87F6A"/>
    <w:rsid w:val="00B93E48"/>
    <w:rsid w:val="00BA2D01"/>
    <w:rsid w:val="00BA576A"/>
    <w:rsid w:val="00BB097E"/>
    <w:rsid w:val="00BB0C09"/>
    <w:rsid w:val="00BC17A9"/>
    <w:rsid w:val="00BC2B4E"/>
    <w:rsid w:val="00BC3493"/>
    <w:rsid w:val="00BD087B"/>
    <w:rsid w:val="00BD6D5C"/>
    <w:rsid w:val="00BE1A94"/>
    <w:rsid w:val="00BE2435"/>
    <w:rsid w:val="00BE4722"/>
    <w:rsid w:val="00BE4A5F"/>
    <w:rsid w:val="00BE5598"/>
    <w:rsid w:val="00BE624B"/>
    <w:rsid w:val="00BF2E30"/>
    <w:rsid w:val="00BF574F"/>
    <w:rsid w:val="00BF69D7"/>
    <w:rsid w:val="00C001F9"/>
    <w:rsid w:val="00C0040C"/>
    <w:rsid w:val="00C0092D"/>
    <w:rsid w:val="00C0275F"/>
    <w:rsid w:val="00C054D5"/>
    <w:rsid w:val="00C06464"/>
    <w:rsid w:val="00C11332"/>
    <w:rsid w:val="00C1158D"/>
    <w:rsid w:val="00C11D38"/>
    <w:rsid w:val="00C30886"/>
    <w:rsid w:val="00C3159E"/>
    <w:rsid w:val="00C3309B"/>
    <w:rsid w:val="00C35C73"/>
    <w:rsid w:val="00C421D0"/>
    <w:rsid w:val="00C4224E"/>
    <w:rsid w:val="00C4480F"/>
    <w:rsid w:val="00C44AA8"/>
    <w:rsid w:val="00C465A6"/>
    <w:rsid w:val="00C5421A"/>
    <w:rsid w:val="00C63DD0"/>
    <w:rsid w:val="00C706A7"/>
    <w:rsid w:val="00C73C9C"/>
    <w:rsid w:val="00C83E7E"/>
    <w:rsid w:val="00C8599C"/>
    <w:rsid w:val="00C94BE7"/>
    <w:rsid w:val="00C954A4"/>
    <w:rsid w:val="00C96B28"/>
    <w:rsid w:val="00C9784F"/>
    <w:rsid w:val="00CA221C"/>
    <w:rsid w:val="00CA3B7C"/>
    <w:rsid w:val="00CA5970"/>
    <w:rsid w:val="00CA656A"/>
    <w:rsid w:val="00CA67F2"/>
    <w:rsid w:val="00CB1724"/>
    <w:rsid w:val="00CB241F"/>
    <w:rsid w:val="00CB3226"/>
    <w:rsid w:val="00CB38B6"/>
    <w:rsid w:val="00CB4703"/>
    <w:rsid w:val="00CB67B7"/>
    <w:rsid w:val="00CB74E5"/>
    <w:rsid w:val="00CC070C"/>
    <w:rsid w:val="00CC3614"/>
    <w:rsid w:val="00CC3D16"/>
    <w:rsid w:val="00CC3D38"/>
    <w:rsid w:val="00CD0021"/>
    <w:rsid w:val="00CD309E"/>
    <w:rsid w:val="00CD44E6"/>
    <w:rsid w:val="00CD70BD"/>
    <w:rsid w:val="00CE2DC3"/>
    <w:rsid w:val="00CE31A6"/>
    <w:rsid w:val="00CE4FAD"/>
    <w:rsid w:val="00CF1064"/>
    <w:rsid w:val="00CF2324"/>
    <w:rsid w:val="00CF6BDD"/>
    <w:rsid w:val="00D00646"/>
    <w:rsid w:val="00D008C1"/>
    <w:rsid w:val="00D02320"/>
    <w:rsid w:val="00D05ED3"/>
    <w:rsid w:val="00D06908"/>
    <w:rsid w:val="00D100F8"/>
    <w:rsid w:val="00D10436"/>
    <w:rsid w:val="00D17054"/>
    <w:rsid w:val="00D208ED"/>
    <w:rsid w:val="00D22783"/>
    <w:rsid w:val="00D23E70"/>
    <w:rsid w:val="00D25A36"/>
    <w:rsid w:val="00D3215F"/>
    <w:rsid w:val="00D3483C"/>
    <w:rsid w:val="00D43318"/>
    <w:rsid w:val="00D44858"/>
    <w:rsid w:val="00D44984"/>
    <w:rsid w:val="00D44DBB"/>
    <w:rsid w:val="00D50525"/>
    <w:rsid w:val="00D63CEF"/>
    <w:rsid w:val="00D63F9D"/>
    <w:rsid w:val="00D64818"/>
    <w:rsid w:val="00D64E30"/>
    <w:rsid w:val="00D67B10"/>
    <w:rsid w:val="00D757C1"/>
    <w:rsid w:val="00D82C44"/>
    <w:rsid w:val="00D9177C"/>
    <w:rsid w:val="00D91FD4"/>
    <w:rsid w:val="00D95769"/>
    <w:rsid w:val="00D959B5"/>
    <w:rsid w:val="00DA2D5A"/>
    <w:rsid w:val="00DA7FA4"/>
    <w:rsid w:val="00DB003A"/>
    <w:rsid w:val="00DB1F6D"/>
    <w:rsid w:val="00DB7588"/>
    <w:rsid w:val="00DC3BCF"/>
    <w:rsid w:val="00DC4B32"/>
    <w:rsid w:val="00DC7703"/>
    <w:rsid w:val="00DE3A71"/>
    <w:rsid w:val="00DE548A"/>
    <w:rsid w:val="00DE5859"/>
    <w:rsid w:val="00DE64A3"/>
    <w:rsid w:val="00DE7266"/>
    <w:rsid w:val="00DF1E22"/>
    <w:rsid w:val="00DF5C2B"/>
    <w:rsid w:val="00E00E21"/>
    <w:rsid w:val="00E0428A"/>
    <w:rsid w:val="00E0508E"/>
    <w:rsid w:val="00E06DBE"/>
    <w:rsid w:val="00E152B4"/>
    <w:rsid w:val="00E15F71"/>
    <w:rsid w:val="00E17747"/>
    <w:rsid w:val="00E20F3F"/>
    <w:rsid w:val="00E21F9C"/>
    <w:rsid w:val="00E2227F"/>
    <w:rsid w:val="00E2243E"/>
    <w:rsid w:val="00E227A0"/>
    <w:rsid w:val="00E24DE8"/>
    <w:rsid w:val="00E25784"/>
    <w:rsid w:val="00E305EC"/>
    <w:rsid w:val="00E30A46"/>
    <w:rsid w:val="00E34C1F"/>
    <w:rsid w:val="00E368A9"/>
    <w:rsid w:val="00E37A3B"/>
    <w:rsid w:val="00E40B72"/>
    <w:rsid w:val="00E4312F"/>
    <w:rsid w:val="00E45FE7"/>
    <w:rsid w:val="00E47DCC"/>
    <w:rsid w:val="00E516AC"/>
    <w:rsid w:val="00E51AC5"/>
    <w:rsid w:val="00E5222E"/>
    <w:rsid w:val="00E5286D"/>
    <w:rsid w:val="00E5375B"/>
    <w:rsid w:val="00E53EB8"/>
    <w:rsid w:val="00E57D44"/>
    <w:rsid w:val="00E616D6"/>
    <w:rsid w:val="00E62262"/>
    <w:rsid w:val="00E64AEA"/>
    <w:rsid w:val="00E71FF4"/>
    <w:rsid w:val="00E72CF2"/>
    <w:rsid w:val="00E7687B"/>
    <w:rsid w:val="00E809DC"/>
    <w:rsid w:val="00E83876"/>
    <w:rsid w:val="00E8569C"/>
    <w:rsid w:val="00E90DCE"/>
    <w:rsid w:val="00E94B17"/>
    <w:rsid w:val="00E963CB"/>
    <w:rsid w:val="00E96D49"/>
    <w:rsid w:val="00EA4728"/>
    <w:rsid w:val="00EA69E9"/>
    <w:rsid w:val="00EA7661"/>
    <w:rsid w:val="00EB1DCB"/>
    <w:rsid w:val="00EB2BE4"/>
    <w:rsid w:val="00EB3E07"/>
    <w:rsid w:val="00EC063C"/>
    <w:rsid w:val="00EC1B7B"/>
    <w:rsid w:val="00EC2538"/>
    <w:rsid w:val="00EC6E29"/>
    <w:rsid w:val="00ED2794"/>
    <w:rsid w:val="00ED3514"/>
    <w:rsid w:val="00ED74C7"/>
    <w:rsid w:val="00ED75E1"/>
    <w:rsid w:val="00EE1CF9"/>
    <w:rsid w:val="00EE2C0E"/>
    <w:rsid w:val="00EE33E0"/>
    <w:rsid w:val="00EE690E"/>
    <w:rsid w:val="00EE6A47"/>
    <w:rsid w:val="00EF1A18"/>
    <w:rsid w:val="00EF292D"/>
    <w:rsid w:val="00EF3D21"/>
    <w:rsid w:val="00F02443"/>
    <w:rsid w:val="00F05947"/>
    <w:rsid w:val="00F0710B"/>
    <w:rsid w:val="00F12717"/>
    <w:rsid w:val="00F15A30"/>
    <w:rsid w:val="00F233C1"/>
    <w:rsid w:val="00F2680B"/>
    <w:rsid w:val="00F30868"/>
    <w:rsid w:val="00F34A9B"/>
    <w:rsid w:val="00F35867"/>
    <w:rsid w:val="00F36113"/>
    <w:rsid w:val="00F36245"/>
    <w:rsid w:val="00F415CD"/>
    <w:rsid w:val="00F424A6"/>
    <w:rsid w:val="00F466CA"/>
    <w:rsid w:val="00F53032"/>
    <w:rsid w:val="00F539F3"/>
    <w:rsid w:val="00F54AE2"/>
    <w:rsid w:val="00F577C4"/>
    <w:rsid w:val="00F6003C"/>
    <w:rsid w:val="00F61FA2"/>
    <w:rsid w:val="00F6452F"/>
    <w:rsid w:val="00F67B45"/>
    <w:rsid w:val="00F70350"/>
    <w:rsid w:val="00F707AA"/>
    <w:rsid w:val="00F71A3D"/>
    <w:rsid w:val="00F721D0"/>
    <w:rsid w:val="00F77F17"/>
    <w:rsid w:val="00F82DEA"/>
    <w:rsid w:val="00F85B38"/>
    <w:rsid w:val="00F866DF"/>
    <w:rsid w:val="00F90918"/>
    <w:rsid w:val="00F90A00"/>
    <w:rsid w:val="00F916E8"/>
    <w:rsid w:val="00F97B72"/>
    <w:rsid w:val="00FA0E15"/>
    <w:rsid w:val="00FA10C0"/>
    <w:rsid w:val="00FA22ED"/>
    <w:rsid w:val="00FA3848"/>
    <w:rsid w:val="00FA4272"/>
    <w:rsid w:val="00FA5F9C"/>
    <w:rsid w:val="00FB16D0"/>
    <w:rsid w:val="00FB44CD"/>
    <w:rsid w:val="00FC108C"/>
    <w:rsid w:val="00FC32A8"/>
    <w:rsid w:val="00FC4839"/>
    <w:rsid w:val="00FC6768"/>
    <w:rsid w:val="00FC6FAC"/>
    <w:rsid w:val="00FC7043"/>
    <w:rsid w:val="00FC7D7B"/>
    <w:rsid w:val="00FD4B38"/>
    <w:rsid w:val="00FD4FC2"/>
    <w:rsid w:val="00FD6D05"/>
    <w:rsid w:val="00FD6FAB"/>
    <w:rsid w:val="00FE5899"/>
    <w:rsid w:val="00FE5B84"/>
    <w:rsid w:val="00FF02EF"/>
    <w:rsid w:val="00FF35F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5A58E1"/>
  <w15:docId w15:val="{B72388B2-CECF-4F4A-A4F8-9476373FDE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en-US" w:eastAsia="ja-JP" w:bidi="ar-SA"/>
      </w:rPr>
    </w:rPrDefault>
    <w:pPrDefault>
      <w:pPr>
        <w:pBdr>
          <w:top w:val="none" w:sz="4" w:space="0" w:color="000000"/>
          <w:left w:val="none" w:sz="4" w:space="0" w:color="000000"/>
          <w:bottom w:val="none" w:sz="4" w:space="0" w:color="000000"/>
          <w:right w:val="none" w:sz="4" w:space="0" w:color="000000"/>
          <w:between w:val="none" w:sz="4" w:space="0" w:color="000000"/>
        </w:pBdr>
        <w:spacing w:line="480" w:lineRule="auto"/>
        <w:ind w:firstLine="7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6BFA"/>
  </w:style>
  <w:style w:type="paragraph" w:styleId="Heading1">
    <w:name w:val="heading 1"/>
    <w:basedOn w:val="Normal"/>
    <w:next w:val="Normal"/>
    <w:link w:val="Heading1Char1"/>
    <w:uiPriority w:val="9"/>
    <w:qFormat/>
    <w:pPr>
      <w:keepNext/>
      <w:keepLines/>
      <w:ind w:firstLine="0"/>
      <w:jc w:val="center"/>
      <w:outlineLvl w:val="0"/>
    </w:pPr>
    <w:rPr>
      <w:b/>
      <w:bCs/>
    </w:rPr>
  </w:style>
  <w:style w:type="paragraph" w:styleId="Heading2">
    <w:name w:val="heading 2"/>
    <w:basedOn w:val="Normal"/>
    <w:next w:val="Normal"/>
    <w:link w:val="Heading2Char1"/>
    <w:uiPriority w:val="4"/>
    <w:unhideWhenUsed/>
    <w:qFormat/>
    <w:pPr>
      <w:keepNext/>
      <w:keepLines/>
      <w:ind w:firstLine="0"/>
      <w:outlineLvl w:val="1"/>
    </w:pPr>
    <w:rPr>
      <w:b/>
      <w:bCs/>
    </w:rPr>
  </w:style>
  <w:style w:type="paragraph" w:styleId="Heading3">
    <w:name w:val="heading 3"/>
    <w:basedOn w:val="Normal"/>
    <w:next w:val="Normal"/>
    <w:link w:val="Heading3Char1"/>
    <w:uiPriority w:val="4"/>
    <w:unhideWhenUsed/>
    <w:qFormat/>
    <w:pPr>
      <w:keepNext/>
      <w:keepLines/>
      <w:outlineLvl w:val="2"/>
    </w:pPr>
    <w:rPr>
      <w:b/>
      <w:bCs/>
    </w:rPr>
  </w:style>
  <w:style w:type="paragraph" w:styleId="Heading4">
    <w:name w:val="heading 4"/>
    <w:basedOn w:val="Normal"/>
    <w:next w:val="Normal"/>
    <w:link w:val="Heading4Char1"/>
    <w:uiPriority w:val="4"/>
    <w:unhideWhenUsed/>
    <w:qFormat/>
    <w:pPr>
      <w:keepNext/>
      <w:keepLines/>
      <w:outlineLvl w:val="3"/>
    </w:pPr>
    <w:rPr>
      <w:b/>
      <w:bCs/>
      <w:i/>
      <w:iCs/>
    </w:rPr>
  </w:style>
  <w:style w:type="paragraph" w:styleId="Heading5">
    <w:name w:val="heading 5"/>
    <w:basedOn w:val="Normal"/>
    <w:next w:val="Normal"/>
    <w:link w:val="Heading5Char1"/>
    <w:uiPriority w:val="4"/>
    <w:unhideWhenUsed/>
    <w:qFormat/>
    <w:pPr>
      <w:keepNext/>
      <w:keepLines/>
      <w:outlineLvl w:val="4"/>
    </w:pPr>
    <w:rPr>
      <w:i/>
      <w:iCs/>
    </w:rPr>
  </w:style>
  <w:style w:type="paragraph" w:styleId="Heading6">
    <w:name w:val="heading 6"/>
    <w:basedOn w:val="Normal"/>
    <w:next w:val="Normal"/>
    <w:link w:val="Heading6Char1"/>
    <w:uiPriority w:val="9"/>
    <w:semiHidden/>
    <w:qFormat/>
    <w:pPr>
      <w:keepNext/>
      <w:keepLines/>
      <w:spacing w:before="40"/>
      <w:ind w:firstLine="0"/>
      <w:outlineLvl w:val="5"/>
    </w:pPr>
    <w:rPr>
      <w:color w:val="6E6E6E" w:themeColor="accent1" w:themeShade="7F"/>
    </w:rPr>
  </w:style>
  <w:style w:type="paragraph" w:styleId="Heading7">
    <w:name w:val="heading 7"/>
    <w:basedOn w:val="Normal"/>
    <w:next w:val="Normal"/>
    <w:link w:val="Heading7Char1"/>
    <w:uiPriority w:val="9"/>
    <w:semiHidden/>
    <w:qFormat/>
    <w:pPr>
      <w:keepNext/>
      <w:keepLines/>
      <w:spacing w:before="40"/>
      <w:ind w:firstLine="0"/>
      <w:outlineLvl w:val="6"/>
    </w:pPr>
    <w:rPr>
      <w:i/>
      <w:iCs/>
      <w:color w:val="6E6E6E" w:themeColor="accent1" w:themeShade="7F"/>
    </w:rPr>
  </w:style>
  <w:style w:type="paragraph" w:styleId="Heading8">
    <w:name w:val="heading 8"/>
    <w:basedOn w:val="Normal"/>
    <w:next w:val="Normal"/>
    <w:link w:val="Heading8Char1"/>
    <w:uiPriority w:val="9"/>
    <w:semiHidden/>
    <w:qFormat/>
    <w:pPr>
      <w:keepNext/>
      <w:keepLines/>
      <w:spacing w:before="40"/>
      <w:ind w:firstLine="0"/>
      <w:outlineLvl w:val="7"/>
    </w:pPr>
    <w:rPr>
      <w:color w:val="272727" w:themeColor="text1" w:themeTint="D8"/>
      <w:sz w:val="22"/>
      <w:szCs w:val="21"/>
    </w:rPr>
  </w:style>
  <w:style w:type="paragraph" w:styleId="Heading9">
    <w:name w:val="heading 9"/>
    <w:basedOn w:val="Normal"/>
    <w:next w:val="Normal"/>
    <w:link w:val="Heading9Char1"/>
    <w:uiPriority w:val="9"/>
    <w:semiHidden/>
    <w:qFormat/>
    <w:pPr>
      <w:keepNext/>
      <w:keepLines/>
      <w:spacing w:before="40"/>
      <w:ind w:firstLine="0"/>
      <w:outlineLvl w:val="8"/>
    </w:pPr>
    <w:rPr>
      <w:i/>
      <w:iCs/>
      <w:color w:val="272727" w:themeColor="text1" w:themeTint="D8"/>
      <w:sz w:val="2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basedOn w:val="DefaultParagraphFont"/>
    <w:link w:val="Heading1"/>
    <w:uiPriority w:val="9"/>
    <w:rPr>
      <w:rFonts w:ascii="Times New Roman" w:eastAsia="Times New Roman" w:hAnsi="Times New Roman" w:cs="Times New Roman"/>
      <w:b/>
      <w:bCs/>
    </w:rPr>
  </w:style>
  <w:style w:type="character" w:customStyle="1" w:styleId="Heading2Char1">
    <w:name w:val="Heading 2 Char1"/>
    <w:basedOn w:val="DefaultParagraphFont"/>
    <w:link w:val="Heading2"/>
    <w:uiPriority w:val="4"/>
    <w:rPr>
      <w:rFonts w:ascii="Times New Roman" w:eastAsia="Times New Roman" w:hAnsi="Times New Roman" w:cs="Times New Roman"/>
      <w:b/>
      <w:bCs/>
    </w:rPr>
  </w:style>
  <w:style w:type="character" w:customStyle="1" w:styleId="Heading3Char1">
    <w:name w:val="Heading 3 Char1"/>
    <w:basedOn w:val="DefaultParagraphFont"/>
    <w:link w:val="Heading3"/>
    <w:uiPriority w:val="4"/>
    <w:rPr>
      <w:rFonts w:ascii="Times New Roman" w:eastAsia="Times New Roman" w:hAnsi="Times New Roman" w:cs="Times New Roman"/>
      <w:b/>
      <w:bCs/>
    </w:rPr>
  </w:style>
  <w:style w:type="character" w:customStyle="1" w:styleId="Heading4Char1">
    <w:name w:val="Heading 4 Char1"/>
    <w:basedOn w:val="DefaultParagraphFont"/>
    <w:link w:val="Heading4"/>
    <w:uiPriority w:val="4"/>
    <w:rPr>
      <w:rFonts w:ascii="Times New Roman" w:eastAsia="Times New Roman" w:hAnsi="Times New Roman" w:cs="Times New Roman"/>
      <w:b/>
      <w:bCs/>
      <w:i/>
      <w:iCs/>
    </w:rPr>
  </w:style>
  <w:style w:type="character" w:customStyle="1" w:styleId="Heading5Char1">
    <w:name w:val="Heading 5 Char1"/>
    <w:basedOn w:val="DefaultParagraphFont"/>
    <w:link w:val="Heading5"/>
    <w:uiPriority w:val="4"/>
    <w:rPr>
      <w:rFonts w:ascii="Times New Roman" w:eastAsia="Times New Roman" w:hAnsi="Times New Roman" w:cs="Times New Roman"/>
      <w:i/>
      <w:iCs/>
    </w:rPr>
  </w:style>
  <w:style w:type="character" w:customStyle="1" w:styleId="Heading6Char1">
    <w:name w:val="Heading 6 Char1"/>
    <w:basedOn w:val="DefaultParagraphFont"/>
    <w:link w:val="Heading6"/>
    <w:uiPriority w:val="9"/>
    <w:semiHidden/>
    <w:rPr>
      <w:rFonts w:ascii="Times New Roman" w:eastAsia="Times New Roman" w:hAnsi="Times New Roman" w:cs="Times New Roman"/>
      <w:color w:val="6E6E6E" w:themeColor="accent1" w:themeShade="7F"/>
    </w:rPr>
  </w:style>
  <w:style w:type="character" w:customStyle="1" w:styleId="Heading7Char1">
    <w:name w:val="Heading 7 Char1"/>
    <w:basedOn w:val="DefaultParagraphFont"/>
    <w:link w:val="Heading7"/>
    <w:uiPriority w:val="9"/>
    <w:semiHidden/>
    <w:rPr>
      <w:rFonts w:ascii="Times New Roman" w:eastAsia="Times New Roman" w:hAnsi="Times New Roman" w:cs="Times New Roman"/>
      <w:i/>
      <w:iCs/>
      <w:color w:val="6E6E6E" w:themeColor="accent1" w:themeShade="7F"/>
    </w:rPr>
  </w:style>
  <w:style w:type="character" w:customStyle="1" w:styleId="Heading8Char1">
    <w:name w:val="Heading 8 Char1"/>
    <w:basedOn w:val="DefaultParagraphFont"/>
    <w:link w:val="Heading8"/>
    <w:uiPriority w:val="9"/>
    <w:semiHidden/>
    <w:rPr>
      <w:rFonts w:ascii="Times New Roman" w:eastAsia="Times New Roman" w:hAnsi="Times New Roman" w:cs="Times New Roman"/>
      <w:color w:val="272727" w:themeColor="text1" w:themeTint="D8"/>
      <w:sz w:val="22"/>
      <w:szCs w:val="21"/>
    </w:rPr>
  </w:style>
  <w:style w:type="character" w:customStyle="1" w:styleId="Heading9Char1">
    <w:name w:val="Heading 9 Char1"/>
    <w:basedOn w:val="DefaultParagraphFont"/>
    <w:link w:val="Heading9"/>
    <w:uiPriority w:val="9"/>
    <w:semiHidden/>
    <w:rPr>
      <w:rFonts w:ascii="Times New Roman" w:eastAsia="Times New Roman" w:hAnsi="Times New Roman" w:cs="Times New Roman"/>
      <w:i/>
      <w:iCs/>
      <w:color w:val="272727" w:themeColor="text1" w:themeTint="D8"/>
      <w:sz w:val="22"/>
      <w:szCs w:val="21"/>
    </w:rPr>
  </w:style>
  <w:style w:type="character" w:customStyle="1" w:styleId="Heading1Char">
    <w:name w:val="Heading 1 Char"/>
    <w:basedOn w:val="DefaultParagraphFont"/>
    <w:uiPriority w:val="9"/>
    <w:rPr>
      <w:rFonts w:ascii="Arial" w:eastAsia="Arial" w:hAnsi="Arial" w:cs="Arial"/>
      <w:sz w:val="40"/>
      <w:szCs w:val="40"/>
    </w:rPr>
  </w:style>
  <w:style w:type="character" w:customStyle="1" w:styleId="Heading2Char">
    <w:name w:val="Heading 2 Char"/>
    <w:basedOn w:val="DefaultParagraphFont"/>
    <w:uiPriority w:val="9"/>
    <w:rPr>
      <w:rFonts w:ascii="Arial" w:eastAsia="Arial" w:hAnsi="Arial" w:cs="Arial"/>
      <w:sz w:val="34"/>
    </w:rPr>
  </w:style>
  <w:style w:type="character" w:customStyle="1" w:styleId="Heading3Char">
    <w:name w:val="Heading 3 Char"/>
    <w:basedOn w:val="DefaultParagraphFont"/>
    <w:uiPriority w:val="9"/>
    <w:rPr>
      <w:rFonts w:ascii="Arial" w:eastAsia="Arial" w:hAnsi="Arial" w:cs="Arial"/>
      <w:sz w:val="30"/>
      <w:szCs w:val="30"/>
    </w:rPr>
  </w:style>
  <w:style w:type="character" w:customStyle="1" w:styleId="Heading4Char">
    <w:name w:val="Heading 4 Char"/>
    <w:basedOn w:val="DefaultParagraphFont"/>
    <w:uiPriority w:val="9"/>
    <w:rPr>
      <w:rFonts w:ascii="Arial" w:eastAsia="Arial" w:hAnsi="Arial" w:cs="Arial"/>
      <w:b/>
      <w:bCs/>
      <w:sz w:val="26"/>
      <w:szCs w:val="26"/>
    </w:rPr>
  </w:style>
  <w:style w:type="character" w:customStyle="1" w:styleId="Heading5Char">
    <w:name w:val="Heading 5 Char"/>
    <w:basedOn w:val="DefaultParagraphFont"/>
    <w:uiPriority w:val="9"/>
    <w:rPr>
      <w:rFonts w:ascii="Arial" w:eastAsia="Arial" w:hAnsi="Arial" w:cs="Arial"/>
      <w:b/>
      <w:bCs/>
      <w:sz w:val="24"/>
      <w:szCs w:val="24"/>
    </w:rPr>
  </w:style>
  <w:style w:type="character" w:customStyle="1" w:styleId="Heading6Char">
    <w:name w:val="Heading 6 Char"/>
    <w:basedOn w:val="DefaultParagraphFont"/>
    <w:uiPriority w:val="9"/>
    <w:rPr>
      <w:rFonts w:ascii="Arial" w:eastAsia="Arial" w:hAnsi="Arial" w:cs="Arial"/>
      <w:b/>
      <w:bCs/>
      <w:sz w:val="22"/>
      <w:szCs w:val="22"/>
    </w:rPr>
  </w:style>
  <w:style w:type="character" w:customStyle="1" w:styleId="Heading7Char">
    <w:name w:val="Heading 7 Char"/>
    <w:basedOn w:val="DefaultParagraphFont"/>
    <w:uiPriority w:val="9"/>
    <w:rPr>
      <w:rFonts w:ascii="Arial" w:eastAsia="Arial" w:hAnsi="Arial" w:cs="Arial"/>
      <w:b/>
      <w:bCs/>
      <w:i/>
      <w:iCs/>
      <w:sz w:val="22"/>
      <w:szCs w:val="22"/>
    </w:rPr>
  </w:style>
  <w:style w:type="character" w:customStyle="1" w:styleId="Heading8Char">
    <w:name w:val="Heading 8 Char"/>
    <w:basedOn w:val="DefaultParagraphFont"/>
    <w:uiPriority w:val="9"/>
    <w:rPr>
      <w:rFonts w:ascii="Arial" w:eastAsia="Arial" w:hAnsi="Arial" w:cs="Arial"/>
      <w:i/>
      <w:iCs/>
      <w:sz w:val="22"/>
      <w:szCs w:val="22"/>
    </w:rPr>
  </w:style>
  <w:style w:type="character" w:customStyle="1" w:styleId="Heading9Char">
    <w:name w:val="Heading 9 Char"/>
    <w:basedOn w:val="DefaultParagraphFont"/>
    <w:uiPriority w:val="9"/>
    <w:rPr>
      <w:rFonts w:ascii="Arial" w:eastAsia="Arial" w:hAnsi="Arial" w:cs="Arial"/>
      <w:i/>
      <w:iCs/>
      <w:sz w:val="21"/>
      <w:szCs w:val="21"/>
    </w:rPr>
  </w:style>
  <w:style w:type="character" w:customStyle="1" w:styleId="TitleChar">
    <w:name w:val="Title Char"/>
    <w:basedOn w:val="DefaultParagraphFont"/>
    <w:uiPriority w:val="10"/>
    <w:rPr>
      <w:sz w:val="48"/>
      <w:szCs w:val="48"/>
    </w:rPr>
  </w:style>
  <w:style w:type="paragraph" w:styleId="Subtitle">
    <w:name w:val="Subtitle"/>
    <w:basedOn w:val="Normal"/>
    <w:next w:val="Normal"/>
    <w:link w:val="SubtitleChar"/>
    <w:uiPriority w:val="11"/>
    <w:qFormat/>
    <w:pPr>
      <w:spacing w:before="200" w:after="200"/>
    </w:pPr>
  </w:style>
  <w:style w:type="character" w:customStyle="1" w:styleId="SubtitleChar">
    <w:name w:val="Subtitle Char"/>
    <w:basedOn w:val="DefaultParagraphFont"/>
    <w:link w:val="Subtitle"/>
    <w:uiPriority w:val="11"/>
    <w:rPr>
      <w:sz w:val="24"/>
      <w:szCs w:val="24"/>
    </w:rPr>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HeaderChar">
    <w:name w:val="Header Char"/>
    <w:basedOn w:val="DefaultParagraphFont"/>
    <w:uiPriority w:val="99"/>
  </w:style>
  <w:style w:type="character" w:customStyle="1" w:styleId="FooterChar">
    <w:name w:val="Footer Char"/>
    <w:basedOn w:val="DefaultParagraphFont"/>
    <w:uiPriority w:val="99"/>
  </w:style>
  <w:style w:type="table" w:customStyle="1" w:styleId="TableGridLight1">
    <w:name w:val="Table Grid Light1"/>
    <w:basedOn w:val="TableNormal"/>
    <w:uiPriority w:val="59"/>
    <w:pPr>
      <w:spacing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PlainTable2">
    <w:name w:val="Plain Table 2"/>
    <w:basedOn w:val="TableNormal"/>
    <w:uiPriority w:val="59"/>
    <w:pPr>
      <w:spacing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PlainTable3">
    <w:name w:val="Plain Table 3"/>
    <w:basedOn w:val="TableNormal"/>
    <w:uiPriority w:val="99"/>
    <w:pPr>
      <w:spacing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PlainTable4">
    <w:name w:val="Plain Table 4"/>
    <w:basedOn w:val="TableNormal"/>
    <w:uiPriority w:val="99"/>
    <w:pPr>
      <w:spacing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PlainTable5">
    <w:name w:val="Plain Table 5"/>
    <w:basedOn w:val="TableNormal"/>
    <w:uiPriority w:val="99"/>
    <w:pPr>
      <w:spacing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auto" w:fill="FFFFFF"/>
      </w:tcPr>
    </w:tblStylePr>
    <w:tblStylePr w:type="lastRow">
      <w:rPr>
        <w:i/>
        <w:color w:val="404040"/>
      </w:rPr>
      <w:tblPr/>
      <w:tcPr>
        <w:tcBorders>
          <w:top w:val="single" w:sz="4" w:space="0" w:color="404040"/>
          <w:left w:val="none" w:sz="4" w:space="0" w:color="000000"/>
          <w:right w:val="none" w:sz="4" w:space="0" w:color="000000"/>
        </w:tcBorders>
        <w:shd w:val="clear" w:color="auto" w:fill="FFFFFF"/>
      </w:tcPr>
    </w:tblStylePr>
    <w:tblStylePr w:type="firstCol">
      <w:pPr>
        <w:jc w:val="right"/>
      </w:pPr>
      <w:rPr>
        <w:i/>
        <w:color w:val="404040"/>
      </w:rPr>
      <w:tblPr/>
      <w:tcPr>
        <w:tcBorders>
          <w:right w:val="single" w:sz="4" w:space="0" w:color="404040"/>
        </w:tcBorders>
        <w:shd w:val="clear" w:color="auto" w:fill="FFFFFF"/>
      </w:tcPr>
    </w:tblStylePr>
    <w:tblStylePr w:type="lastCol">
      <w:rPr>
        <w:i/>
        <w:color w:val="404040"/>
      </w:rPr>
      <w:tblPr/>
      <w:tcPr>
        <w:tcBorders>
          <w:left w:val="single" w:sz="4" w:space="0" w:color="404040"/>
        </w:tcBorders>
        <w:shd w:val="clear" w:color="auto" w:fill="FFFFFF"/>
      </w:tc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GridTable1Light">
    <w:name w:val="Grid Table 1 Light"/>
    <w:basedOn w:val="TableNormal"/>
    <w:uiPriority w:val="99"/>
    <w:pPr>
      <w:spacing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1">
    <w:name w:val="Grid Table 1 Light - Accent 11"/>
    <w:basedOn w:val="TableNormal"/>
    <w:uiPriority w:val="99"/>
    <w:pPr>
      <w:spacing w:line="240" w:lineRule="auto"/>
    </w:pPr>
    <w:tblPr>
      <w:tblStyleRowBandSize w:val="1"/>
      <w:tblStyleColBandSize w:val="1"/>
      <w:tblBorders>
        <w:top w:val="single" w:sz="4" w:space="0" w:color="F1F1F1" w:themeColor="accent1" w:themeTint="67"/>
        <w:left w:val="single" w:sz="4" w:space="0" w:color="F1F1F1" w:themeColor="accent1" w:themeTint="67"/>
        <w:bottom w:val="single" w:sz="4" w:space="0" w:color="F1F1F1" w:themeColor="accent1" w:themeTint="67"/>
        <w:right w:val="single" w:sz="4" w:space="0" w:color="F1F1F1" w:themeColor="accent1" w:themeTint="67"/>
        <w:insideH w:val="single" w:sz="4" w:space="0" w:color="F1F1F1" w:themeColor="accent1" w:themeTint="67"/>
        <w:insideV w:val="single" w:sz="4" w:space="0" w:color="F1F1F1" w:themeColor="accent1" w:themeTint="67"/>
      </w:tblBorders>
    </w:tblPr>
    <w:tblStylePr w:type="firstRow">
      <w:rPr>
        <w:b/>
        <w:color w:val="404040"/>
      </w:rPr>
      <w:tblPr/>
      <w:tcPr>
        <w:tcBorders>
          <w:bottom w:val="single" w:sz="12" w:space="0" w:color="EBEBEB"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1F1F1" w:themeColor="accent1" w:themeTint="67"/>
          <w:left w:val="single" w:sz="4" w:space="0" w:color="F1F1F1" w:themeColor="accent1" w:themeTint="67"/>
          <w:bottom w:val="single" w:sz="4" w:space="0" w:color="F1F1F1" w:themeColor="accent1" w:themeTint="67"/>
          <w:right w:val="single" w:sz="4" w:space="0" w:color="F1F1F1" w:themeColor="accent1" w:themeTint="67"/>
        </w:tcBorders>
      </w:tcPr>
    </w:tblStylePr>
  </w:style>
  <w:style w:type="table" w:customStyle="1" w:styleId="GridTable1Light-Accent21">
    <w:name w:val="Grid Table 1 Light - Accent 21"/>
    <w:basedOn w:val="TableNormal"/>
    <w:uiPriority w:val="99"/>
    <w:pPr>
      <w:spacing w:line="240" w:lineRule="auto"/>
    </w:pPr>
    <w:tblPr>
      <w:tblStyleRowBandSize w:val="1"/>
      <w:tblStyleColBandSize w:val="1"/>
      <w:tblBorders>
        <w:top w:val="single" w:sz="4" w:space="0" w:color="DFDFDF" w:themeColor="accent2" w:themeTint="67"/>
        <w:left w:val="single" w:sz="4" w:space="0" w:color="DFDFDF" w:themeColor="accent2" w:themeTint="67"/>
        <w:bottom w:val="single" w:sz="4" w:space="0" w:color="DFDFDF" w:themeColor="accent2" w:themeTint="67"/>
        <w:right w:val="single" w:sz="4" w:space="0" w:color="DFDFDF" w:themeColor="accent2" w:themeTint="67"/>
        <w:insideH w:val="single" w:sz="4" w:space="0" w:color="DFDFDF" w:themeColor="accent2" w:themeTint="67"/>
        <w:insideV w:val="single" w:sz="4" w:space="0" w:color="DFDFDF" w:themeColor="accent2" w:themeTint="67"/>
      </w:tblBorders>
    </w:tblPr>
    <w:tblStylePr w:type="firstRow">
      <w:rPr>
        <w:b/>
        <w:color w:val="404040"/>
      </w:rPr>
      <w:tblPr/>
      <w:tcPr>
        <w:tcBorders>
          <w:bottom w:val="single" w:sz="12" w:space="0" w:color="D2D2D2"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FDFDF" w:themeColor="accent2" w:themeTint="67"/>
          <w:left w:val="single" w:sz="4" w:space="0" w:color="DFDFDF" w:themeColor="accent2" w:themeTint="67"/>
          <w:bottom w:val="single" w:sz="4" w:space="0" w:color="DFDFDF" w:themeColor="accent2" w:themeTint="67"/>
          <w:right w:val="single" w:sz="4" w:space="0" w:color="DFDFDF" w:themeColor="accent2" w:themeTint="67"/>
        </w:tcBorders>
      </w:tcPr>
    </w:tblStylePr>
  </w:style>
  <w:style w:type="table" w:customStyle="1" w:styleId="GridTable1Light-Accent31">
    <w:name w:val="Grid Table 1 Light - Accent 31"/>
    <w:basedOn w:val="TableNormal"/>
    <w:uiPriority w:val="99"/>
    <w:pPr>
      <w:spacing w:line="240" w:lineRule="auto"/>
    </w:pPr>
    <w:tblPr>
      <w:tblStyleRowBandSize w:val="1"/>
      <w:tblStyleColBandSize w:val="1"/>
      <w:tblBorders>
        <w:top w:val="single" w:sz="4" w:space="0" w:color="D4D4D4" w:themeColor="accent3" w:themeTint="67"/>
        <w:left w:val="single" w:sz="4" w:space="0" w:color="D4D4D4" w:themeColor="accent3" w:themeTint="67"/>
        <w:bottom w:val="single" w:sz="4" w:space="0" w:color="D4D4D4" w:themeColor="accent3" w:themeTint="67"/>
        <w:right w:val="single" w:sz="4" w:space="0" w:color="D4D4D4" w:themeColor="accent3" w:themeTint="67"/>
        <w:insideH w:val="single" w:sz="4" w:space="0" w:color="D4D4D4" w:themeColor="accent3" w:themeTint="67"/>
        <w:insideV w:val="single" w:sz="4" w:space="0" w:color="D4D4D4" w:themeColor="accent3" w:themeTint="67"/>
      </w:tblBorders>
    </w:tblPr>
    <w:tblStylePr w:type="firstRow">
      <w:rPr>
        <w:b/>
        <w:color w:val="404040"/>
      </w:rPr>
      <w:tblPr/>
      <w:tcPr>
        <w:tcBorders>
          <w:bottom w:val="single" w:sz="12" w:space="0" w:color="C1C1C1"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4D4D4" w:themeColor="accent3" w:themeTint="67"/>
          <w:left w:val="single" w:sz="4" w:space="0" w:color="D4D4D4" w:themeColor="accent3" w:themeTint="67"/>
          <w:bottom w:val="single" w:sz="4" w:space="0" w:color="D4D4D4" w:themeColor="accent3" w:themeTint="67"/>
          <w:right w:val="single" w:sz="4" w:space="0" w:color="D4D4D4" w:themeColor="accent3" w:themeTint="67"/>
        </w:tcBorders>
      </w:tcPr>
    </w:tblStylePr>
  </w:style>
  <w:style w:type="table" w:customStyle="1" w:styleId="GridTable1Light-Accent41">
    <w:name w:val="Grid Table 1 Light - Accent 41"/>
    <w:basedOn w:val="TableNormal"/>
    <w:uiPriority w:val="99"/>
    <w:pPr>
      <w:spacing w:line="240" w:lineRule="auto"/>
    </w:pPr>
    <w:tblPr>
      <w:tblStyleRowBandSize w:val="1"/>
      <w:tblStyleColBandSize w:val="1"/>
      <w:tblBorders>
        <w:top w:val="single" w:sz="4" w:space="0" w:color="CBCBCB" w:themeColor="accent4" w:themeTint="67"/>
        <w:left w:val="single" w:sz="4" w:space="0" w:color="CBCBCB" w:themeColor="accent4" w:themeTint="67"/>
        <w:bottom w:val="single" w:sz="4" w:space="0" w:color="CBCBCB" w:themeColor="accent4" w:themeTint="67"/>
        <w:right w:val="single" w:sz="4" w:space="0" w:color="CBCBCB" w:themeColor="accent4" w:themeTint="67"/>
        <w:insideH w:val="single" w:sz="4" w:space="0" w:color="CBCBCB" w:themeColor="accent4" w:themeTint="67"/>
        <w:insideV w:val="single" w:sz="4" w:space="0" w:color="CBCBCB" w:themeColor="accent4" w:themeTint="67"/>
      </w:tblBorders>
    </w:tblPr>
    <w:tblStylePr w:type="firstRow">
      <w:rPr>
        <w:b/>
        <w:color w:val="404040"/>
      </w:rPr>
      <w:tblPr/>
      <w:tcPr>
        <w:tcBorders>
          <w:bottom w:val="single" w:sz="12" w:space="0" w:color="B4B4B4"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BCB" w:themeColor="accent4" w:themeTint="67"/>
          <w:left w:val="single" w:sz="4" w:space="0" w:color="CBCBCB" w:themeColor="accent4" w:themeTint="67"/>
          <w:bottom w:val="single" w:sz="4" w:space="0" w:color="CBCBCB" w:themeColor="accent4" w:themeTint="67"/>
          <w:right w:val="single" w:sz="4" w:space="0" w:color="CBCBCB" w:themeColor="accent4" w:themeTint="67"/>
        </w:tcBorders>
      </w:tcPr>
    </w:tblStylePr>
  </w:style>
  <w:style w:type="table" w:customStyle="1" w:styleId="GridTable1Light-Accent51">
    <w:name w:val="Grid Table 1 Light - Accent 51"/>
    <w:basedOn w:val="TableNormal"/>
    <w:uiPriority w:val="99"/>
    <w:pPr>
      <w:spacing w:line="240" w:lineRule="auto"/>
    </w:pPr>
    <w:tblPr>
      <w:tblStyleRowBandSize w:val="1"/>
      <w:tblStyleColBandSize w:val="1"/>
      <w:tblBorders>
        <w:top w:val="single" w:sz="4" w:space="0" w:color="BEBEBE" w:themeColor="accent5" w:themeTint="67"/>
        <w:left w:val="single" w:sz="4" w:space="0" w:color="BEBEBE" w:themeColor="accent5" w:themeTint="67"/>
        <w:bottom w:val="single" w:sz="4" w:space="0" w:color="BEBEBE" w:themeColor="accent5" w:themeTint="67"/>
        <w:right w:val="single" w:sz="4" w:space="0" w:color="BEBEBE" w:themeColor="accent5" w:themeTint="67"/>
        <w:insideH w:val="single" w:sz="4" w:space="0" w:color="BEBEBE" w:themeColor="accent5" w:themeTint="67"/>
        <w:insideV w:val="single" w:sz="4" w:space="0" w:color="BEBEBE" w:themeColor="accent5" w:themeTint="67"/>
      </w:tblBorders>
    </w:tblPr>
    <w:tblStylePr w:type="firstRow">
      <w:rPr>
        <w:b/>
        <w:color w:val="404040"/>
      </w:rPr>
      <w:tblPr/>
      <w:tcPr>
        <w:tcBorders>
          <w:bottom w:val="single" w:sz="12" w:space="0" w:color="A1A1A1"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EBEBE" w:themeColor="accent5" w:themeTint="67"/>
          <w:left w:val="single" w:sz="4" w:space="0" w:color="BEBEBE" w:themeColor="accent5" w:themeTint="67"/>
          <w:bottom w:val="single" w:sz="4" w:space="0" w:color="BEBEBE" w:themeColor="accent5" w:themeTint="67"/>
          <w:right w:val="single" w:sz="4" w:space="0" w:color="BEBEBE" w:themeColor="accent5" w:themeTint="67"/>
        </w:tcBorders>
      </w:tcPr>
    </w:tblStylePr>
  </w:style>
  <w:style w:type="table" w:customStyle="1" w:styleId="GridTable1Light-Accent61">
    <w:name w:val="Grid Table 1 Light - Accent 61"/>
    <w:basedOn w:val="TableNormal"/>
    <w:uiPriority w:val="99"/>
    <w:pPr>
      <w:spacing w:line="240" w:lineRule="auto"/>
    </w:pPr>
    <w:tblPr>
      <w:tblStyleRowBandSize w:val="1"/>
      <w:tblStyleColBandSize w:val="1"/>
      <w:tblBorders>
        <w:top w:val="single" w:sz="4" w:space="0" w:color="B7B7B7" w:themeColor="accent6" w:themeTint="67"/>
        <w:left w:val="single" w:sz="4" w:space="0" w:color="B7B7B7" w:themeColor="accent6" w:themeTint="67"/>
        <w:bottom w:val="single" w:sz="4" w:space="0" w:color="B7B7B7" w:themeColor="accent6" w:themeTint="67"/>
        <w:right w:val="single" w:sz="4" w:space="0" w:color="B7B7B7" w:themeColor="accent6" w:themeTint="67"/>
        <w:insideH w:val="single" w:sz="4" w:space="0" w:color="B7B7B7" w:themeColor="accent6" w:themeTint="67"/>
        <w:insideV w:val="single" w:sz="4" w:space="0" w:color="B7B7B7" w:themeColor="accent6" w:themeTint="67"/>
      </w:tblBorders>
    </w:tblPr>
    <w:tblStylePr w:type="firstRow">
      <w:rPr>
        <w:b/>
        <w:color w:val="404040"/>
      </w:rPr>
      <w:tblPr/>
      <w:tcPr>
        <w:tcBorders>
          <w:bottom w:val="single" w:sz="12" w:space="0" w:color="969696"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B7B7" w:themeColor="accent6" w:themeTint="67"/>
          <w:left w:val="single" w:sz="4" w:space="0" w:color="B7B7B7" w:themeColor="accent6" w:themeTint="67"/>
          <w:bottom w:val="single" w:sz="4" w:space="0" w:color="B7B7B7" w:themeColor="accent6" w:themeTint="67"/>
          <w:right w:val="single" w:sz="4" w:space="0" w:color="B7B7B7" w:themeColor="accent6" w:themeTint="67"/>
        </w:tcBorders>
      </w:tcPr>
    </w:tblStylePr>
  </w:style>
  <w:style w:type="table" w:styleId="GridTable2">
    <w:name w:val="Grid Table 2"/>
    <w:basedOn w:val="TableNormal"/>
    <w:uiPriority w:val="99"/>
    <w:pPr>
      <w:spacing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auto"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2-Accent11">
    <w:name w:val="Grid Table 2 - Accent 11"/>
    <w:basedOn w:val="TableNormal"/>
    <w:uiPriority w:val="99"/>
    <w:pPr>
      <w:spacing w:line="240" w:lineRule="auto"/>
    </w:pPr>
    <w:tblPr>
      <w:tblStyleRowBandSize w:val="1"/>
      <w:tblStyleColBandSize w:val="1"/>
      <w:tblBorders>
        <w:bottom w:val="single" w:sz="4" w:space="0" w:color="DFDFDF" w:themeColor="accent1" w:themeTint="EA"/>
        <w:insideH w:val="single" w:sz="4" w:space="0" w:color="DFDFDF" w:themeColor="accent1" w:themeTint="EA"/>
        <w:insideV w:val="single" w:sz="4" w:space="0" w:color="DFDFDF" w:themeColor="accent1" w:themeTint="EA"/>
      </w:tblBorders>
    </w:tblPr>
    <w:tblStylePr w:type="firstRow">
      <w:rPr>
        <w:b/>
        <w:color w:val="404040"/>
      </w:rPr>
      <w:tblPr/>
      <w:tcPr>
        <w:tcBorders>
          <w:top w:val="none" w:sz="4" w:space="0" w:color="000000"/>
          <w:left w:val="none" w:sz="4" w:space="0" w:color="000000"/>
          <w:bottom w:val="single" w:sz="12" w:space="0" w:color="DFDFDF" w:themeColor="accent1" w:themeTint="EA"/>
          <w:right w:val="none" w:sz="4" w:space="0" w:color="000000"/>
        </w:tcBorders>
        <w:shd w:val="clear" w:color="auto" w:fill="FFFFFF"/>
      </w:tcPr>
    </w:tblStylePr>
    <w:tblStylePr w:type="lastRow">
      <w:rPr>
        <w:b/>
        <w:color w:val="404040"/>
      </w:rPr>
      <w:tblPr/>
      <w:tcPr>
        <w:tcBorders>
          <w:top w:val="single" w:sz="4" w:space="0" w:color="DFDFDF" w:themeColor="accent1" w:themeTint="E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8F8F8" w:themeFill="accent1" w:themeFillTint="34"/>
      </w:tcPr>
    </w:tblStylePr>
    <w:tblStylePr w:type="band1Horz">
      <w:rPr>
        <w:rFonts w:ascii="Arial" w:hAnsi="Arial"/>
        <w:color w:val="404040"/>
        <w:sz w:val="22"/>
      </w:rPr>
      <w:tblPr/>
      <w:tcPr>
        <w:shd w:val="clear" w:color="auto" w:fill="F8F8F8" w:themeFill="accent1" w:themeFillTint="34"/>
      </w:tcPr>
    </w:tblStylePr>
  </w:style>
  <w:style w:type="table" w:customStyle="1" w:styleId="GridTable2-Accent21">
    <w:name w:val="Grid Table 2 - Accent 21"/>
    <w:basedOn w:val="TableNormal"/>
    <w:uiPriority w:val="99"/>
    <w:pPr>
      <w:spacing w:line="240" w:lineRule="auto"/>
    </w:pPr>
    <w:tblPr>
      <w:tblStyleRowBandSize w:val="1"/>
      <w:tblStyleColBandSize w:val="1"/>
      <w:tblBorders>
        <w:bottom w:val="single" w:sz="4" w:space="0" w:color="D1D1D1" w:themeColor="accent2" w:themeTint="97"/>
        <w:insideH w:val="single" w:sz="4" w:space="0" w:color="D1D1D1" w:themeColor="accent2" w:themeTint="97"/>
        <w:insideV w:val="single" w:sz="4" w:space="0" w:color="D1D1D1" w:themeColor="accent2" w:themeTint="97"/>
      </w:tblBorders>
    </w:tblPr>
    <w:tblStylePr w:type="firstRow">
      <w:rPr>
        <w:b/>
        <w:color w:val="404040"/>
      </w:rPr>
      <w:tblPr/>
      <w:tcPr>
        <w:tcBorders>
          <w:top w:val="none" w:sz="4" w:space="0" w:color="000000"/>
          <w:left w:val="none" w:sz="4" w:space="0" w:color="000000"/>
          <w:bottom w:val="single" w:sz="12" w:space="0" w:color="D1D1D1" w:themeColor="accent2" w:themeTint="97"/>
          <w:right w:val="none" w:sz="4" w:space="0" w:color="000000"/>
        </w:tcBorders>
        <w:shd w:val="clear" w:color="auto" w:fill="FFFFFF"/>
      </w:tcPr>
    </w:tblStylePr>
    <w:tblStylePr w:type="lastRow">
      <w:rPr>
        <w:b/>
        <w:color w:val="404040"/>
      </w:rPr>
      <w:tblPr/>
      <w:tcPr>
        <w:tcBorders>
          <w:top w:val="single" w:sz="4" w:space="0" w:color="D1D1D1" w:themeColor="accent2" w:themeTint="97"/>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FEFEF" w:themeFill="accent2" w:themeFillTint="32"/>
      </w:tcPr>
    </w:tblStylePr>
    <w:tblStylePr w:type="band1Horz">
      <w:rPr>
        <w:rFonts w:ascii="Arial" w:hAnsi="Arial"/>
        <w:color w:val="404040"/>
        <w:sz w:val="22"/>
      </w:rPr>
      <w:tblPr/>
      <w:tcPr>
        <w:shd w:val="clear" w:color="auto" w:fill="EFEFEF" w:themeFill="accent2" w:themeFillTint="32"/>
      </w:tcPr>
    </w:tblStylePr>
  </w:style>
  <w:style w:type="table" w:customStyle="1" w:styleId="GridTable2-Accent31">
    <w:name w:val="Grid Table 2 - Accent 31"/>
    <w:basedOn w:val="TableNormal"/>
    <w:uiPriority w:val="99"/>
    <w:pPr>
      <w:spacing w:line="240" w:lineRule="auto"/>
    </w:pPr>
    <w:tblPr>
      <w:tblStyleRowBandSize w:val="1"/>
      <w:tblStyleColBandSize w:val="1"/>
      <w:tblBorders>
        <w:bottom w:val="single" w:sz="4" w:space="0" w:color="969696" w:themeColor="accent3" w:themeTint="FE"/>
        <w:insideH w:val="single" w:sz="4" w:space="0" w:color="969696" w:themeColor="accent3" w:themeTint="FE"/>
        <w:insideV w:val="single" w:sz="4" w:space="0" w:color="969696" w:themeColor="accent3" w:themeTint="FE"/>
      </w:tblBorders>
    </w:tblPr>
    <w:tblStylePr w:type="firstRow">
      <w:rPr>
        <w:b/>
        <w:color w:val="404040"/>
      </w:rPr>
      <w:tblPr/>
      <w:tcPr>
        <w:tcBorders>
          <w:top w:val="none" w:sz="4" w:space="0" w:color="000000"/>
          <w:left w:val="none" w:sz="4" w:space="0" w:color="000000"/>
          <w:bottom w:val="single" w:sz="12" w:space="0" w:color="969696" w:themeColor="accent3" w:themeTint="FE"/>
          <w:right w:val="none" w:sz="4" w:space="0" w:color="000000"/>
        </w:tcBorders>
        <w:shd w:val="clear" w:color="auto" w:fill="FFFFFF"/>
      </w:tcPr>
    </w:tblStylePr>
    <w:tblStylePr w:type="lastRow">
      <w:rPr>
        <w:b/>
        <w:color w:val="404040"/>
      </w:rPr>
      <w:tblPr/>
      <w:tcPr>
        <w:tcBorders>
          <w:top w:val="single" w:sz="4" w:space="0" w:color="969696" w:themeColor="accent3" w:themeTint="FE"/>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9E9E9" w:themeFill="accent3" w:themeFillTint="34"/>
      </w:tcPr>
    </w:tblStylePr>
    <w:tblStylePr w:type="band1Horz">
      <w:rPr>
        <w:rFonts w:ascii="Arial" w:hAnsi="Arial"/>
        <w:color w:val="404040"/>
        <w:sz w:val="22"/>
      </w:rPr>
      <w:tblPr/>
      <w:tcPr>
        <w:shd w:val="clear" w:color="auto" w:fill="E9E9E9" w:themeFill="accent3" w:themeFillTint="34"/>
      </w:tcPr>
    </w:tblStylePr>
  </w:style>
  <w:style w:type="table" w:customStyle="1" w:styleId="GridTable2-Accent41">
    <w:name w:val="Grid Table 2 - Accent 41"/>
    <w:basedOn w:val="TableNormal"/>
    <w:uiPriority w:val="99"/>
    <w:pPr>
      <w:spacing w:line="240" w:lineRule="auto"/>
    </w:pPr>
    <w:tblPr>
      <w:tblStyleRowBandSize w:val="1"/>
      <w:tblStyleColBandSize w:val="1"/>
      <w:tblBorders>
        <w:bottom w:val="single" w:sz="4" w:space="0" w:color="B2B2B2" w:themeColor="accent4" w:themeTint="9A"/>
        <w:insideH w:val="single" w:sz="4" w:space="0" w:color="B2B2B2" w:themeColor="accent4" w:themeTint="9A"/>
        <w:insideV w:val="single" w:sz="4" w:space="0" w:color="B2B2B2" w:themeColor="accent4" w:themeTint="9A"/>
      </w:tblBorders>
    </w:tblPr>
    <w:tblStylePr w:type="firstRow">
      <w:rPr>
        <w:b/>
        <w:color w:val="404040"/>
      </w:rPr>
      <w:tblPr/>
      <w:tcPr>
        <w:tcBorders>
          <w:top w:val="none" w:sz="4" w:space="0" w:color="000000"/>
          <w:left w:val="none" w:sz="4" w:space="0" w:color="000000"/>
          <w:bottom w:val="single" w:sz="12" w:space="0" w:color="B2B2B2" w:themeColor="accent4" w:themeTint="9A"/>
          <w:right w:val="none" w:sz="4" w:space="0" w:color="000000"/>
        </w:tcBorders>
        <w:shd w:val="clear" w:color="auto" w:fill="FFFFFF"/>
      </w:tcPr>
    </w:tblStylePr>
    <w:tblStylePr w:type="lastRow">
      <w:rPr>
        <w:b/>
        <w:color w:val="404040"/>
      </w:rPr>
      <w:tblPr/>
      <w:tcPr>
        <w:tcBorders>
          <w:top w:val="single" w:sz="4" w:space="0" w:color="B2B2B2" w:themeColor="accent4" w:themeTint="9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E5E5" w:themeFill="accent4" w:themeFillTint="34"/>
      </w:tcPr>
    </w:tblStylePr>
    <w:tblStylePr w:type="band1Horz">
      <w:rPr>
        <w:rFonts w:ascii="Arial" w:hAnsi="Arial"/>
        <w:color w:val="404040"/>
        <w:sz w:val="22"/>
      </w:rPr>
      <w:tblPr/>
      <w:tcPr>
        <w:shd w:val="clear" w:color="auto" w:fill="E5E5E5" w:themeFill="accent4" w:themeFillTint="34"/>
      </w:tcPr>
    </w:tblStylePr>
  </w:style>
  <w:style w:type="table" w:customStyle="1" w:styleId="GridTable2-Accent51">
    <w:name w:val="Grid Table 2 - Accent 51"/>
    <w:basedOn w:val="TableNormal"/>
    <w:uiPriority w:val="99"/>
    <w:pPr>
      <w:spacing w:line="240" w:lineRule="auto"/>
    </w:pPr>
    <w:tblPr>
      <w:tblStyleRowBandSize w:val="1"/>
      <w:tblStyleColBandSize w:val="1"/>
      <w:tblBorders>
        <w:bottom w:val="single" w:sz="4" w:space="0" w:color="5F5F5F" w:themeColor="accent5"/>
        <w:insideH w:val="single" w:sz="4" w:space="0" w:color="5F5F5F" w:themeColor="accent5"/>
        <w:insideV w:val="single" w:sz="4" w:space="0" w:color="5F5F5F" w:themeColor="accent5"/>
      </w:tblBorders>
    </w:tblPr>
    <w:tblStylePr w:type="firstRow">
      <w:rPr>
        <w:b/>
        <w:color w:val="404040"/>
      </w:rPr>
      <w:tblPr/>
      <w:tcPr>
        <w:tcBorders>
          <w:top w:val="none" w:sz="4" w:space="0" w:color="000000"/>
          <w:left w:val="none" w:sz="4" w:space="0" w:color="000000"/>
          <w:bottom w:val="single" w:sz="12" w:space="0" w:color="5F5F5F" w:themeColor="accent5"/>
          <w:right w:val="none" w:sz="4" w:space="0" w:color="000000"/>
        </w:tcBorders>
        <w:shd w:val="clear" w:color="auto" w:fill="FFFFFF"/>
      </w:tcPr>
    </w:tblStylePr>
    <w:tblStylePr w:type="lastRow">
      <w:rPr>
        <w:b/>
        <w:color w:val="404040"/>
      </w:rPr>
      <w:tblPr/>
      <w:tcPr>
        <w:tcBorders>
          <w:top w:val="single" w:sz="4" w:space="0" w:color="5F5F5F" w:themeColor="accent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EDEDE" w:themeFill="accent5" w:themeFillTint="34"/>
      </w:tcPr>
    </w:tblStylePr>
    <w:tblStylePr w:type="band1Horz">
      <w:rPr>
        <w:rFonts w:ascii="Arial" w:hAnsi="Arial"/>
        <w:color w:val="404040"/>
        <w:sz w:val="22"/>
      </w:rPr>
      <w:tblPr/>
      <w:tcPr>
        <w:shd w:val="clear" w:color="auto" w:fill="DEDEDE" w:themeFill="accent5" w:themeFillTint="34"/>
      </w:tcPr>
    </w:tblStylePr>
  </w:style>
  <w:style w:type="table" w:customStyle="1" w:styleId="GridTable2-Accent61">
    <w:name w:val="Grid Table 2 - Accent 61"/>
    <w:basedOn w:val="TableNormal"/>
    <w:uiPriority w:val="99"/>
    <w:pPr>
      <w:spacing w:line="240" w:lineRule="auto"/>
    </w:pPr>
    <w:tblPr>
      <w:tblStyleRowBandSize w:val="1"/>
      <w:tblStyleColBandSize w:val="1"/>
      <w:tblBorders>
        <w:bottom w:val="single" w:sz="4" w:space="0" w:color="4D4D4D" w:themeColor="accent6"/>
        <w:insideH w:val="single" w:sz="4" w:space="0" w:color="4D4D4D" w:themeColor="accent6"/>
        <w:insideV w:val="single" w:sz="4" w:space="0" w:color="4D4D4D" w:themeColor="accent6"/>
      </w:tblBorders>
    </w:tblPr>
    <w:tblStylePr w:type="firstRow">
      <w:rPr>
        <w:b/>
        <w:color w:val="404040"/>
      </w:rPr>
      <w:tblPr/>
      <w:tcPr>
        <w:tcBorders>
          <w:top w:val="none" w:sz="4" w:space="0" w:color="000000"/>
          <w:left w:val="none" w:sz="4" w:space="0" w:color="000000"/>
          <w:bottom w:val="single" w:sz="12" w:space="0" w:color="4D4D4D" w:themeColor="accent6"/>
          <w:right w:val="none" w:sz="4" w:space="0" w:color="000000"/>
        </w:tcBorders>
        <w:shd w:val="clear" w:color="auto" w:fill="FFFFFF"/>
      </w:tcPr>
    </w:tblStylePr>
    <w:tblStylePr w:type="lastRow">
      <w:rPr>
        <w:b/>
        <w:color w:val="404040"/>
      </w:rPr>
      <w:tblPr/>
      <w:tcPr>
        <w:tcBorders>
          <w:top w:val="single" w:sz="4" w:space="0" w:color="4D4D4D" w:themeColor="accent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DADA" w:themeFill="accent6" w:themeFillTint="34"/>
      </w:tcPr>
    </w:tblStylePr>
    <w:tblStylePr w:type="band1Horz">
      <w:rPr>
        <w:rFonts w:ascii="Arial" w:hAnsi="Arial"/>
        <w:color w:val="404040"/>
        <w:sz w:val="22"/>
      </w:rPr>
      <w:tblPr/>
      <w:tcPr>
        <w:shd w:val="clear" w:color="auto" w:fill="DADADA" w:themeFill="accent6" w:themeFillTint="34"/>
      </w:tcPr>
    </w:tblStylePr>
  </w:style>
  <w:style w:type="table" w:styleId="GridTable3">
    <w:name w:val="Grid Table 3"/>
    <w:basedOn w:val="TableNormal"/>
    <w:uiPriority w:val="99"/>
    <w:pPr>
      <w:spacing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3-Accent11">
    <w:name w:val="Grid Table 3 - Accent 11"/>
    <w:basedOn w:val="TableNormal"/>
    <w:uiPriority w:val="99"/>
    <w:pPr>
      <w:spacing w:line="240" w:lineRule="auto"/>
    </w:pPr>
    <w:tblPr>
      <w:tblStyleRowBandSize w:val="1"/>
      <w:tblStyleColBandSize w:val="1"/>
      <w:tblBorders>
        <w:bottom w:val="single" w:sz="4" w:space="0" w:color="DFDFDF" w:themeColor="accent1" w:themeTint="EA"/>
        <w:insideH w:val="single" w:sz="4" w:space="0" w:color="DFDFDF" w:themeColor="accent1" w:themeTint="EA"/>
        <w:insideV w:val="single" w:sz="4" w:space="0" w:color="DFDFDF"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8F8F8" w:themeFill="accent1" w:themeFillTint="34"/>
      </w:tcPr>
    </w:tblStylePr>
    <w:tblStylePr w:type="band1Horz">
      <w:rPr>
        <w:rFonts w:ascii="Arial" w:hAnsi="Arial"/>
        <w:color w:val="404040"/>
        <w:sz w:val="22"/>
      </w:rPr>
      <w:tblPr/>
      <w:tcPr>
        <w:shd w:val="clear" w:color="auto" w:fill="F8F8F8" w:themeFill="accent1" w:themeFillTint="34"/>
      </w:tcPr>
    </w:tblStylePr>
  </w:style>
  <w:style w:type="table" w:customStyle="1" w:styleId="GridTable3-Accent21">
    <w:name w:val="Grid Table 3 - Accent 21"/>
    <w:basedOn w:val="TableNormal"/>
    <w:uiPriority w:val="99"/>
    <w:pPr>
      <w:spacing w:line="240" w:lineRule="auto"/>
    </w:pPr>
    <w:tblPr>
      <w:tblStyleRowBandSize w:val="1"/>
      <w:tblStyleColBandSize w:val="1"/>
      <w:tblBorders>
        <w:bottom w:val="single" w:sz="4" w:space="0" w:color="D1D1D1" w:themeColor="accent2" w:themeTint="97"/>
        <w:insideH w:val="single" w:sz="4" w:space="0" w:color="D1D1D1" w:themeColor="accent2" w:themeTint="97"/>
        <w:insideV w:val="single" w:sz="4" w:space="0" w:color="D1D1D1"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FEFEF" w:themeFill="accent2" w:themeFillTint="32"/>
      </w:tcPr>
    </w:tblStylePr>
    <w:tblStylePr w:type="band1Horz">
      <w:rPr>
        <w:rFonts w:ascii="Arial" w:hAnsi="Arial"/>
        <w:color w:val="404040"/>
        <w:sz w:val="22"/>
      </w:rPr>
      <w:tblPr/>
      <w:tcPr>
        <w:shd w:val="clear" w:color="auto" w:fill="EFEFEF" w:themeFill="accent2" w:themeFillTint="32"/>
      </w:tcPr>
    </w:tblStylePr>
  </w:style>
  <w:style w:type="table" w:customStyle="1" w:styleId="GridTable3-Accent31">
    <w:name w:val="Grid Table 3 - Accent 31"/>
    <w:basedOn w:val="TableNormal"/>
    <w:uiPriority w:val="99"/>
    <w:pPr>
      <w:spacing w:line="240" w:lineRule="auto"/>
    </w:pPr>
    <w:tblPr>
      <w:tblStyleRowBandSize w:val="1"/>
      <w:tblStyleColBandSize w:val="1"/>
      <w:tblBorders>
        <w:bottom w:val="single" w:sz="4" w:space="0" w:color="969696" w:themeColor="accent3" w:themeTint="FE"/>
        <w:insideH w:val="single" w:sz="4" w:space="0" w:color="969696" w:themeColor="accent3" w:themeTint="FE"/>
        <w:insideV w:val="single" w:sz="4" w:space="0" w:color="969696"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9E9E9" w:themeFill="accent3" w:themeFillTint="34"/>
      </w:tcPr>
    </w:tblStylePr>
    <w:tblStylePr w:type="band1Horz">
      <w:rPr>
        <w:rFonts w:ascii="Arial" w:hAnsi="Arial"/>
        <w:color w:val="404040"/>
        <w:sz w:val="22"/>
      </w:rPr>
      <w:tblPr/>
      <w:tcPr>
        <w:shd w:val="clear" w:color="auto" w:fill="E9E9E9" w:themeFill="accent3" w:themeFillTint="34"/>
      </w:tcPr>
    </w:tblStylePr>
  </w:style>
  <w:style w:type="table" w:customStyle="1" w:styleId="GridTable3-Accent41">
    <w:name w:val="Grid Table 3 - Accent 41"/>
    <w:basedOn w:val="TableNormal"/>
    <w:uiPriority w:val="99"/>
    <w:pPr>
      <w:spacing w:line="240" w:lineRule="auto"/>
    </w:pPr>
    <w:tblPr>
      <w:tblStyleRowBandSize w:val="1"/>
      <w:tblStyleColBandSize w:val="1"/>
      <w:tblBorders>
        <w:bottom w:val="single" w:sz="4" w:space="0" w:color="B2B2B2" w:themeColor="accent4" w:themeTint="9A"/>
        <w:insideH w:val="single" w:sz="4" w:space="0" w:color="B2B2B2" w:themeColor="accent4" w:themeTint="9A"/>
        <w:insideV w:val="single" w:sz="4" w:space="0" w:color="B2B2B2"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5E5E5" w:themeFill="accent4" w:themeFillTint="34"/>
      </w:tcPr>
    </w:tblStylePr>
    <w:tblStylePr w:type="band1Horz">
      <w:rPr>
        <w:rFonts w:ascii="Arial" w:hAnsi="Arial"/>
        <w:color w:val="404040"/>
        <w:sz w:val="22"/>
      </w:rPr>
      <w:tblPr/>
      <w:tcPr>
        <w:shd w:val="clear" w:color="auto" w:fill="E5E5E5" w:themeFill="accent4" w:themeFillTint="34"/>
      </w:tcPr>
    </w:tblStylePr>
  </w:style>
  <w:style w:type="table" w:customStyle="1" w:styleId="GridTable3-Accent51">
    <w:name w:val="Grid Table 3 - Accent 51"/>
    <w:basedOn w:val="TableNormal"/>
    <w:uiPriority w:val="99"/>
    <w:pPr>
      <w:spacing w:line="240" w:lineRule="auto"/>
    </w:pPr>
    <w:tblPr>
      <w:tblStyleRowBandSize w:val="1"/>
      <w:tblStyleColBandSize w:val="1"/>
      <w:tblBorders>
        <w:bottom w:val="single" w:sz="4" w:space="0" w:color="5F5F5F" w:themeColor="accent5"/>
        <w:insideH w:val="single" w:sz="4" w:space="0" w:color="5F5F5F" w:themeColor="accent5"/>
        <w:insideV w:val="single" w:sz="4" w:space="0" w:color="5F5F5F"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EDEDE" w:themeFill="accent5" w:themeFillTint="34"/>
      </w:tcPr>
    </w:tblStylePr>
    <w:tblStylePr w:type="band1Horz">
      <w:rPr>
        <w:rFonts w:ascii="Arial" w:hAnsi="Arial"/>
        <w:color w:val="404040"/>
        <w:sz w:val="22"/>
      </w:rPr>
      <w:tblPr/>
      <w:tcPr>
        <w:shd w:val="clear" w:color="auto" w:fill="DEDEDE" w:themeFill="accent5" w:themeFillTint="34"/>
      </w:tcPr>
    </w:tblStylePr>
  </w:style>
  <w:style w:type="table" w:customStyle="1" w:styleId="GridTable3-Accent61">
    <w:name w:val="Grid Table 3 - Accent 61"/>
    <w:basedOn w:val="TableNormal"/>
    <w:uiPriority w:val="99"/>
    <w:pPr>
      <w:spacing w:line="240" w:lineRule="auto"/>
    </w:pPr>
    <w:tblPr>
      <w:tblStyleRowBandSize w:val="1"/>
      <w:tblStyleColBandSize w:val="1"/>
      <w:tblBorders>
        <w:bottom w:val="single" w:sz="4" w:space="0" w:color="4D4D4D" w:themeColor="accent6"/>
        <w:insideH w:val="single" w:sz="4" w:space="0" w:color="4D4D4D" w:themeColor="accent6"/>
        <w:insideV w:val="single" w:sz="4" w:space="0" w:color="4D4D4D"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DADA" w:themeFill="accent6" w:themeFillTint="34"/>
      </w:tcPr>
    </w:tblStylePr>
    <w:tblStylePr w:type="band1Horz">
      <w:rPr>
        <w:rFonts w:ascii="Arial" w:hAnsi="Arial"/>
        <w:color w:val="404040"/>
        <w:sz w:val="22"/>
      </w:rPr>
      <w:tblPr/>
      <w:tcPr>
        <w:shd w:val="clear" w:color="auto" w:fill="DADADA" w:themeFill="accent6" w:themeFillTint="34"/>
      </w:tcPr>
    </w:tblStylePr>
  </w:style>
  <w:style w:type="table" w:styleId="GridTable4">
    <w:name w:val="Grid Table 4"/>
    <w:basedOn w:val="TableNormal"/>
    <w:uiPriority w:val="59"/>
    <w:pPr>
      <w:spacing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4-Accent11">
    <w:name w:val="Grid Table 4 - Accent 11"/>
    <w:basedOn w:val="TableNormal"/>
    <w:uiPriority w:val="59"/>
    <w:pPr>
      <w:spacing w:line="240" w:lineRule="auto"/>
    </w:pPr>
    <w:tblPr>
      <w:tblStyleRowBandSize w:val="1"/>
      <w:tblStyleColBandSize w:val="1"/>
      <w:tblBorders>
        <w:top w:val="single" w:sz="4" w:space="0" w:color="EBEBEB" w:themeColor="accent1" w:themeTint="90"/>
        <w:left w:val="single" w:sz="4" w:space="0" w:color="EBEBEB" w:themeColor="accent1" w:themeTint="90"/>
        <w:bottom w:val="single" w:sz="4" w:space="0" w:color="EBEBEB" w:themeColor="accent1" w:themeTint="90"/>
        <w:right w:val="single" w:sz="4" w:space="0" w:color="EBEBEB" w:themeColor="accent1" w:themeTint="90"/>
        <w:insideH w:val="single" w:sz="4" w:space="0" w:color="EBEBEB" w:themeColor="accent1" w:themeTint="90"/>
        <w:insideV w:val="single" w:sz="4" w:space="0" w:color="EBEBEB" w:themeColor="accent1" w:themeTint="90"/>
      </w:tblBorders>
    </w:tblPr>
    <w:tblStylePr w:type="firstRow">
      <w:rPr>
        <w:rFonts w:ascii="Arial" w:hAnsi="Arial"/>
        <w:b/>
        <w:color w:val="FFFFFF"/>
        <w:sz w:val="22"/>
      </w:rPr>
      <w:tblPr/>
      <w:tcPr>
        <w:tcBorders>
          <w:top w:val="single" w:sz="4" w:space="0" w:color="DFDFDF" w:themeColor="accent1" w:themeTint="EA"/>
          <w:left w:val="single" w:sz="4" w:space="0" w:color="DFDFDF" w:themeColor="accent1" w:themeTint="EA"/>
          <w:bottom w:val="single" w:sz="4" w:space="0" w:color="DFDFDF" w:themeColor="accent1" w:themeTint="EA"/>
          <w:right w:val="single" w:sz="4" w:space="0" w:color="DFDFDF" w:themeColor="accent1" w:themeTint="EA"/>
        </w:tcBorders>
        <w:shd w:val="clear" w:color="auto" w:fill="DFDFDF" w:themeFill="accent1" w:themeFillTint="EA"/>
      </w:tcPr>
    </w:tblStylePr>
    <w:tblStylePr w:type="lastRow">
      <w:rPr>
        <w:b/>
        <w:color w:val="404040"/>
      </w:rPr>
      <w:tblPr/>
      <w:tcPr>
        <w:tcBorders>
          <w:top w:val="single" w:sz="4" w:space="0" w:color="DFDFDF"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8F8F8" w:themeFill="accent1" w:themeFillTint="32"/>
      </w:tcPr>
    </w:tblStylePr>
    <w:tblStylePr w:type="band1Horz">
      <w:rPr>
        <w:rFonts w:ascii="Arial" w:hAnsi="Arial"/>
        <w:color w:val="404040"/>
        <w:sz w:val="22"/>
      </w:rPr>
      <w:tblPr/>
      <w:tcPr>
        <w:shd w:val="clear" w:color="auto" w:fill="F8F8F8" w:themeFill="accent1" w:themeFillTint="32"/>
      </w:tcPr>
    </w:tblStylePr>
  </w:style>
  <w:style w:type="table" w:customStyle="1" w:styleId="GridTable4-Accent21">
    <w:name w:val="Grid Table 4 - Accent 21"/>
    <w:basedOn w:val="TableNormal"/>
    <w:uiPriority w:val="59"/>
    <w:pPr>
      <w:spacing w:line="240" w:lineRule="auto"/>
    </w:pPr>
    <w:tblPr>
      <w:tblStyleRowBandSize w:val="1"/>
      <w:tblStyleColBandSize w:val="1"/>
      <w:tblBorders>
        <w:top w:val="single" w:sz="4" w:space="0" w:color="D3D3D3" w:themeColor="accent2" w:themeTint="90"/>
        <w:left w:val="single" w:sz="4" w:space="0" w:color="D3D3D3" w:themeColor="accent2" w:themeTint="90"/>
        <w:bottom w:val="single" w:sz="4" w:space="0" w:color="D3D3D3" w:themeColor="accent2" w:themeTint="90"/>
        <w:right w:val="single" w:sz="4" w:space="0" w:color="D3D3D3" w:themeColor="accent2" w:themeTint="90"/>
        <w:insideH w:val="single" w:sz="4" w:space="0" w:color="D3D3D3" w:themeColor="accent2" w:themeTint="90"/>
        <w:insideV w:val="single" w:sz="4" w:space="0" w:color="D3D3D3" w:themeColor="accent2" w:themeTint="90"/>
      </w:tblBorders>
    </w:tblPr>
    <w:tblStylePr w:type="firstRow">
      <w:rPr>
        <w:rFonts w:ascii="Arial" w:hAnsi="Arial"/>
        <w:b/>
        <w:color w:val="FFFFFF"/>
        <w:sz w:val="22"/>
      </w:rPr>
      <w:tblPr/>
      <w:tcPr>
        <w:tcBorders>
          <w:top w:val="single" w:sz="4" w:space="0" w:color="D1D1D1" w:themeColor="accent2" w:themeTint="97"/>
          <w:left w:val="single" w:sz="4" w:space="0" w:color="D1D1D1" w:themeColor="accent2" w:themeTint="97"/>
          <w:bottom w:val="single" w:sz="4" w:space="0" w:color="D1D1D1" w:themeColor="accent2" w:themeTint="97"/>
          <w:right w:val="single" w:sz="4" w:space="0" w:color="D1D1D1" w:themeColor="accent2" w:themeTint="97"/>
        </w:tcBorders>
        <w:shd w:val="clear" w:color="auto" w:fill="D1D1D1" w:themeFill="accent2" w:themeFillTint="97"/>
      </w:tcPr>
    </w:tblStylePr>
    <w:tblStylePr w:type="lastRow">
      <w:rPr>
        <w:b/>
        <w:color w:val="404040"/>
      </w:rPr>
      <w:tblPr/>
      <w:tcPr>
        <w:tcBorders>
          <w:top w:val="single" w:sz="4" w:space="0" w:color="D1D1D1"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FEFEF" w:themeFill="accent2" w:themeFillTint="32"/>
      </w:tcPr>
    </w:tblStylePr>
    <w:tblStylePr w:type="band1Horz">
      <w:rPr>
        <w:rFonts w:ascii="Arial" w:hAnsi="Arial"/>
        <w:color w:val="404040"/>
        <w:sz w:val="22"/>
      </w:rPr>
      <w:tblPr/>
      <w:tcPr>
        <w:shd w:val="clear" w:color="auto" w:fill="EFEFEF" w:themeFill="accent2" w:themeFillTint="32"/>
      </w:tcPr>
    </w:tblStylePr>
  </w:style>
  <w:style w:type="table" w:customStyle="1" w:styleId="GridTable4-Accent31">
    <w:name w:val="Grid Table 4 - Accent 31"/>
    <w:basedOn w:val="TableNormal"/>
    <w:uiPriority w:val="59"/>
    <w:pPr>
      <w:spacing w:line="240" w:lineRule="auto"/>
    </w:pPr>
    <w:tblPr>
      <w:tblStyleRowBandSize w:val="1"/>
      <w:tblStyleColBandSize w:val="1"/>
      <w:tblBorders>
        <w:top w:val="single" w:sz="4" w:space="0" w:color="C3C3C3" w:themeColor="accent3" w:themeTint="90"/>
        <w:left w:val="single" w:sz="4" w:space="0" w:color="C3C3C3" w:themeColor="accent3" w:themeTint="90"/>
        <w:bottom w:val="single" w:sz="4" w:space="0" w:color="C3C3C3" w:themeColor="accent3" w:themeTint="90"/>
        <w:right w:val="single" w:sz="4" w:space="0" w:color="C3C3C3" w:themeColor="accent3" w:themeTint="90"/>
        <w:insideH w:val="single" w:sz="4" w:space="0" w:color="C3C3C3" w:themeColor="accent3" w:themeTint="90"/>
        <w:insideV w:val="single" w:sz="4" w:space="0" w:color="C3C3C3" w:themeColor="accent3" w:themeTint="90"/>
      </w:tblBorders>
    </w:tblPr>
    <w:tblStylePr w:type="firstRow">
      <w:rPr>
        <w:rFonts w:ascii="Arial" w:hAnsi="Arial"/>
        <w:b/>
        <w:color w:val="FFFFFF"/>
        <w:sz w:val="22"/>
      </w:rPr>
      <w:tblPr/>
      <w:tcPr>
        <w:tcBorders>
          <w:top w:val="single" w:sz="4" w:space="0" w:color="969696" w:themeColor="accent3" w:themeTint="FE"/>
          <w:left w:val="single" w:sz="4" w:space="0" w:color="969696" w:themeColor="accent3" w:themeTint="FE"/>
          <w:bottom w:val="single" w:sz="4" w:space="0" w:color="969696" w:themeColor="accent3" w:themeTint="FE"/>
          <w:right w:val="single" w:sz="4" w:space="0" w:color="969696" w:themeColor="accent3" w:themeTint="FE"/>
        </w:tcBorders>
        <w:shd w:val="clear" w:color="auto" w:fill="969696" w:themeFill="accent3" w:themeFillTint="FE"/>
      </w:tcPr>
    </w:tblStylePr>
    <w:tblStylePr w:type="lastRow">
      <w:rPr>
        <w:b/>
        <w:color w:val="404040"/>
      </w:rPr>
      <w:tblPr/>
      <w:tcPr>
        <w:tcBorders>
          <w:top w:val="single" w:sz="4" w:space="0" w:color="969696"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9E9E9" w:themeFill="accent3" w:themeFillTint="34"/>
      </w:tcPr>
    </w:tblStylePr>
    <w:tblStylePr w:type="band1Horz">
      <w:rPr>
        <w:rFonts w:ascii="Arial" w:hAnsi="Arial"/>
        <w:color w:val="404040"/>
        <w:sz w:val="22"/>
      </w:rPr>
      <w:tblPr/>
      <w:tcPr>
        <w:shd w:val="clear" w:color="auto" w:fill="E9E9E9" w:themeFill="accent3" w:themeFillTint="34"/>
      </w:tcPr>
    </w:tblStylePr>
  </w:style>
  <w:style w:type="table" w:customStyle="1" w:styleId="GridTable4-Accent41">
    <w:name w:val="Grid Table 4 - Accent 41"/>
    <w:basedOn w:val="TableNormal"/>
    <w:uiPriority w:val="59"/>
    <w:pPr>
      <w:spacing w:line="240" w:lineRule="auto"/>
    </w:pPr>
    <w:tblPr>
      <w:tblStyleRowBandSize w:val="1"/>
      <w:tblStyleColBandSize w:val="1"/>
      <w:tblBorders>
        <w:top w:val="single" w:sz="4" w:space="0" w:color="B7B7B7" w:themeColor="accent4" w:themeTint="90"/>
        <w:left w:val="single" w:sz="4" w:space="0" w:color="B7B7B7" w:themeColor="accent4" w:themeTint="90"/>
        <w:bottom w:val="single" w:sz="4" w:space="0" w:color="B7B7B7" w:themeColor="accent4" w:themeTint="90"/>
        <w:right w:val="single" w:sz="4" w:space="0" w:color="B7B7B7" w:themeColor="accent4" w:themeTint="90"/>
        <w:insideH w:val="single" w:sz="4" w:space="0" w:color="B7B7B7" w:themeColor="accent4" w:themeTint="90"/>
        <w:insideV w:val="single" w:sz="4" w:space="0" w:color="B7B7B7" w:themeColor="accent4" w:themeTint="90"/>
      </w:tblBorders>
    </w:tblPr>
    <w:tblStylePr w:type="firstRow">
      <w:rPr>
        <w:rFonts w:ascii="Arial" w:hAnsi="Arial"/>
        <w:b/>
        <w:color w:val="FFFFFF"/>
        <w:sz w:val="22"/>
      </w:rPr>
      <w:tblPr/>
      <w:tcPr>
        <w:tcBorders>
          <w:top w:val="single" w:sz="4" w:space="0" w:color="B2B2B2" w:themeColor="accent4" w:themeTint="9A"/>
          <w:left w:val="single" w:sz="4" w:space="0" w:color="B2B2B2" w:themeColor="accent4" w:themeTint="9A"/>
          <w:bottom w:val="single" w:sz="4" w:space="0" w:color="B2B2B2" w:themeColor="accent4" w:themeTint="9A"/>
          <w:right w:val="single" w:sz="4" w:space="0" w:color="B2B2B2" w:themeColor="accent4" w:themeTint="9A"/>
        </w:tcBorders>
        <w:shd w:val="clear" w:color="auto" w:fill="B2B2B2" w:themeFill="accent4" w:themeFillTint="9A"/>
      </w:tcPr>
    </w:tblStylePr>
    <w:tblStylePr w:type="lastRow">
      <w:rPr>
        <w:b/>
        <w:color w:val="404040"/>
      </w:rPr>
      <w:tblPr/>
      <w:tcPr>
        <w:tcBorders>
          <w:top w:val="single" w:sz="4" w:space="0" w:color="B2B2B2"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E5E5" w:themeFill="accent4" w:themeFillTint="34"/>
      </w:tcPr>
    </w:tblStylePr>
    <w:tblStylePr w:type="band1Horz">
      <w:rPr>
        <w:rFonts w:ascii="Arial" w:hAnsi="Arial"/>
        <w:color w:val="404040"/>
        <w:sz w:val="22"/>
      </w:rPr>
      <w:tblPr/>
      <w:tcPr>
        <w:shd w:val="clear" w:color="auto" w:fill="E5E5E5" w:themeFill="accent4" w:themeFillTint="34"/>
      </w:tcPr>
    </w:tblStylePr>
  </w:style>
  <w:style w:type="table" w:customStyle="1" w:styleId="GridTable4-Accent51">
    <w:name w:val="Grid Table 4 - Accent 51"/>
    <w:basedOn w:val="TableNormal"/>
    <w:uiPriority w:val="59"/>
    <w:pPr>
      <w:spacing w:line="240" w:lineRule="auto"/>
    </w:pPr>
    <w:tblPr>
      <w:tblStyleRowBandSize w:val="1"/>
      <w:tblStyleColBandSize w:val="1"/>
      <w:tblBorders>
        <w:top w:val="single" w:sz="4" w:space="0" w:color="A4A4A4" w:themeColor="accent5" w:themeTint="90"/>
        <w:left w:val="single" w:sz="4" w:space="0" w:color="A4A4A4" w:themeColor="accent5" w:themeTint="90"/>
        <w:bottom w:val="single" w:sz="4" w:space="0" w:color="A4A4A4" w:themeColor="accent5" w:themeTint="90"/>
        <w:right w:val="single" w:sz="4" w:space="0" w:color="A4A4A4" w:themeColor="accent5" w:themeTint="90"/>
        <w:insideH w:val="single" w:sz="4" w:space="0" w:color="A4A4A4" w:themeColor="accent5" w:themeTint="90"/>
        <w:insideV w:val="single" w:sz="4" w:space="0" w:color="A4A4A4" w:themeColor="accent5" w:themeTint="90"/>
      </w:tblBorders>
    </w:tblPr>
    <w:tblStylePr w:type="firstRow">
      <w:rPr>
        <w:rFonts w:ascii="Arial" w:hAnsi="Arial"/>
        <w:b/>
        <w:color w:val="FFFFFF"/>
        <w:sz w:val="22"/>
      </w:rPr>
      <w:tblPr/>
      <w:tcPr>
        <w:tcBorders>
          <w:top w:val="single" w:sz="4" w:space="0" w:color="5F5F5F" w:themeColor="accent5"/>
          <w:left w:val="single" w:sz="4" w:space="0" w:color="5F5F5F" w:themeColor="accent5"/>
          <w:bottom w:val="single" w:sz="4" w:space="0" w:color="5F5F5F" w:themeColor="accent5"/>
          <w:right w:val="single" w:sz="4" w:space="0" w:color="5F5F5F" w:themeColor="accent5"/>
        </w:tcBorders>
        <w:shd w:val="clear" w:color="auto" w:fill="5F5F5F" w:themeFill="accent5"/>
      </w:tcPr>
    </w:tblStylePr>
    <w:tblStylePr w:type="lastRow">
      <w:rPr>
        <w:b/>
        <w:color w:val="404040"/>
      </w:rPr>
      <w:tblPr/>
      <w:tcPr>
        <w:tcBorders>
          <w:top w:val="single" w:sz="4" w:space="0" w:color="5F5F5F"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EDEDE" w:themeFill="accent5" w:themeFillTint="34"/>
      </w:tcPr>
    </w:tblStylePr>
    <w:tblStylePr w:type="band1Horz">
      <w:rPr>
        <w:rFonts w:ascii="Arial" w:hAnsi="Arial"/>
        <w:color w:val="404040"/>
        <w:sz w:val="22"/>
      </w:rPr>
      <w:tblPr/>
      <w:tcPr>
        <w:shd w:val="clear" w:color="auto" w:fill="DEDEDE" w:themeFill="accent5" w:themeFillTint="34"/>
      </w:tcPr>
    </w:tblStylePr>
  </w:style>
  <w:style w:type="table" w:customStyle="1" w:styleId="GridTable4-Accent61">
    <w:name w:val="Grid Table 4 - Accent 61"/>
    <w:basedOn w:val="TableNormal"/>
    <w:uiPriority w:val="59"/>
    <w:pPr>
      <w:spacing w:line="240" w:lineRule="auto"/>
    </w:pPr>
    <w:tblPr>
      <w:tblStyleRowBandSize w:val="1"/>
      <w:tblStyleColBandSize w:val="1"/>
      <w:tblBorders>
        <w:top w:val="single" w:sz="4" w:space="0" w:color="9A9A9A" w:themeColor="accent6" w:themeTint="90"/>
        <w:left w:val="single" w:sz="4" w:space="0" w:color="9A9A9A" w:themeColor="accent6" w:themeTint="90"/>
        <w:bottom w:val="single" w:sz="4" w:space="0" w:color="9A9A9A" w:themeColor="accent6" w:themeTint="90"/>
        <w:right w:val="single" w:sz="4" w:space="0" w:color="9A9A9A" w:themeColor="accent6" w:themeTint="90"/>
        <w:insideH w:val="single" w:sz="4" w:space="0" w:color="9A9A9A" w:themeColor="accent6" w:themeTint="90"/>
        <w:insideV w:val="single" w:sz="4" w:space="0" w:color="9A9A9A" w:themeColor="accent6" w:themeTint="90"/>
      </w:tblBorders>
    </w:tblPr>
    <w:tblStylePr w:type="firstRow">
      <w:rPr>
        <w:rFonts w:ascii="Arial" w:hAnsi="Arial"/>
        <w:b/>
        <w:color w:val="FFFFFF"/>
        <w:sz w:val="22"/>
      </w:rPr>
      <w:tblPr/>
      <w:tcPr>
        <w:tcBorders>
          <w:top w:val="single" w:sz="4" w:space="0" w:color="4D4D4D" w:themeColor="accent6"/>
          <w:left w:val="single" w:sz="4" w:space="0" w:color="4D4D4D" w:themeColor="accent6"/>
          <w:bottom w:val="single" w:sz="4" w:space="0" w:color="4D4D4D" w:themeColor="accent6"/>
          <w:right w:val="single" w:sz="4" w:space="0" w:color="4D4D4D" w:themeColor="accent6"/>
        </w:tcBorders>
        <w:shd w:val="clear" w:color="auto" w:fill="4D4D4D" w:themeFill="accent6"/>
      </w:tcPr>
    </w:tblStylePr>
    <w:tblStylePr w:type="lastRow">
      <w:rPr>
        <w:b/>
        <w:color w:val="404040"/>
      </w:rPr>
      <w:tblPr/>
      <w:tcPr>
        <w:tcBorders>
          <w:top w:val="single" w:sz="4" w:space="0" w:color="4D4D4D"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DADA" w:themeFill="accent6" w:themeFillTint="34"/>
      </w:tcPr>
    </w:tblStylePr>
    <w:tblStylePr w:type="band1Horz">
      <w:rPr>
        <w:rFonts w:ascii="Arial" w:hAnsi="Arial"/>
        <w:color w:val="404040"/>
        <w:sz w:val="22"/>
      </w:rPr>
      <w:tblPr/>
      <w:tcPr>
        <w:shd w:val="clear" w:color="auto" w:fill="DADADA" w:themeFill="accent6" w:themeFillTint="34"/>
      </w:tcPr>
    </w:tblStylePr>
  </w:style>
  <w:style w:type="table" w:styleId="GridTable5Dark">
    <w:name w:val="Grid Table 5 Dark"/>
    <w:basedOn w:val="TableNormal"/>
    <w:uiPriority w:val="99"/>
    <w:pPr>
      <w:spacing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BFBFBF" w:themeFill="text1" w:themeFillTint="40"/>
    </w:tblPr>
    <w:tblStylePr w:type="firstRow">
      <w:rPr>
        <w:rFonts w:ascii="Arial" w:hAnsi="Arial"/>
        <w:b/>
        <w:color w:val="FFFFFF"/>
        <w:sz w:val="22"/>
      </w:rPr>
      <w:tblPr/>
      <w:tcPr>
        <w:shd w:val="clear" w:color="auto" w:fill="000000" w:themeFill="text1"/>
      </w:tcPr>
    </w:tblStylePr>
    <w:tblStylePr w:type="lastRow">
      <w:rPr>
        <w:rFonts w:ascii="Arial" w:hAnsi="Arial"/>
        <w:b/>
        <w:color w:val="FFFFFF"/>
        <w:sz w:val="22"/>
      </w:rPr>
      <w:tblPr/>
      <w:tcPr>
        <w:tcBorders>
          <w:top w:val="single" w:sz="4" w:space="0" w:color="FFFFFF" w:themeColor="light1"/>
        </w:tcBorders>
        <w:shd w:val="clear" w:color="auto" w:fill="000000" w:themeFill="text1"/>
      </w:tcPr>
    </w:tblStylePr>
    <w:tblStylePr w:type="firstCol">
      <w:rPr>
        <w:rFonts w:ascii="Arial" w:hAnsi="Arial"/>
        <w:b/>
        <w:color w:val="FFFFFF"/>
        <w:sz w:val="22"/>
      </w:rPr>
      <w:tblPr/>
      <w:tcPr>
        <w:shd w:val="clear" w:color="auto" w:fill="000000" w:themeFill="text1"/>
      </w:tcPr>
    </w:tblStylePr>
    <w:tblStylePr w:type="lastCol">
      <w:rPr>
        <w:rFonts w:ascii="Arial" w:hAnsi="Arial"/>
        <w:b/>
        <w:color w:val="FFFFFF"/>
        <w:sz w:val="22"/>
      </w:rPr>
      <w:tblPr/>
      <w:tcPr>
        <w:shd w:val="clear" w:color="auto" w:fill="000000" w:themeFill="text1"/>
      </w:tcPr>
    </w:tblStylePr>
    <w:tblStylePr w:type="band1Vert">
      <w:tblPr/>
      <w:tcPr>
        <w:shd w:val="clear" w:color="auto" w:fill="8A8A8A" w:themeFill="text1" w:themeFillTint="75"/>
      </w:tcPr>
    </w:tblStylePr>
    <w:tblStylePr w:type="band1Horz">
      <w:tblPr/>
      <w:tcPr>
        <w:shd w:val="clear" w:color="auto" w:fill="8A8A8A" w:themeFill="text1" w:themeFillTint="75"/>
      </w:tcPr>
    </w:tblStylePr>
  </w:style>
  <w:style w:type="table" w:customStyle="1" w:styleId="GridTable5Dark-Accent1">
    <w:name w:val="Grid Table 5 Dark- Accent 1"/>
    <w:basedOn w:val="TableNormal"/>
    <w:uiPriority w:val="99"/>
    <w:pPr>
      <w:spacing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8F8F8" w:themeFill="accent1" w:themeFillTint="34"/>
    </w:tblPr>
    <w:tblStylePr w:type="firstRow">
      <w:rPr>
        <w:rFonts w:ascii="Arial" w:hAnsi="Arial"/>
        <w:b/>
        <w:color w:val="FFFFFF"/>
        <w:sz w:val="22"/>
      </w:rPr>
      <w:tblPr/>
      <w:tcPr>
        <w:shd w:val="clear" w:color="auto" w:fill="DDDDDD" w:themeFill="accent1"/>
      </w:tcPr>
    </w:tblStylePr>
    <w:tblStylePr w:type="lastRow">
      <w:rPr>
        <w:rFonts w:ascii="Arial" w:hAnsi="Arial"/>
        <w:b/>
        <w:color w:val="FFFFFF"/>
        <w:sz w:val="22"/>
      </w:rPr>
      <w:tblPr/>
      <w:tcPr>
        <w:tcBorders>
          <w:top w:val="single" w:sz="4" w:space="0" w:color="FFFFFF" w:themeColor="light1"/>
        </w:tcBorders>
        <w:shd w:val="clear" w:color="auto" w:fill="DDDDDD" w:themeFill="accent1"/>
      </w:tcPr>
    </w:tblStylePr>
    <w:tblStylePr w:type="firstCol">
      <w:rPr>
        <w:rFonts w:ascii="Arial" w:hAnsi="Arial"/>
        <w:b/>
        <w:color w:val="FFFFFF"/>
        <w:sz w:val="22"/>
      </w:rPr>
      <w:tblPr/>
      <w:tcPr>
        <w:shd w:val="clear" w:color="auto" w:fill="DDDDDD" w:themeFill="accent1"/>
      </w:tcPr>
    </w:tblStylePr>
    <w:tblStylePr w:type="lastCol">
      <w:rPr>
        <w:rFonts w:ascii="Arial" w:hAnsi="Arial"/>
        <w:b/>
        <w:color w:val="FFFFFF"/>
        <w:sz w:val="22"/>
      </w:rPr>
      <w:tblPr/>
      <w:tcPr>
        <w:shd w:val="clear" w:color="auto" w:fill="DDDDDD" w:themeFill="accent1"/>
      </w:tcPr>
    </w:tblStylePr>
    <w:tblStylePr w:type="band1Vert">
      <w:tblPr/>
      <w:tcPr>
        <w:shd w:val="clear" w:color="auto" w:fill="EFEFEF" w:themeFill="accent1" w:themeFillTint="75"/>
      </w:tcPr>
    </w:tblStylePr>
    <w:tblStylePr w:type="band1Horz">
      <w:tblPr/>
      <w:tcPr>
        <w:shd w:val="clear" w:color="auto" w:fill="EFEFEF" w:themeFill="accent1" w:themeFillTint="75"/>
      </w:tcPr>
    </w:tblStylePr>
  </w:style>
  <w:style w:type="table" w:customStyle="1" w:styleId="GridTable5Dark-Accent21">
    <w:name w:val="Grid Table 5 Dark - Accent 21"/>
    <w:basedOn w:val="TableNormal"/>
    <w:uiPriority w:val="99"/>
    <w:pPr>
      <w:spacing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FEFEF" w:themeFill="accent2" w:themeFillTint="32"/>
    </w:tblPr>
    <w:tblStylePr w:type="firstRow">
      <w:rPr>
        <w:rFonts w:ascii="Arial" w:hAnsi="Arial"/>
        <w:b/>
        <w:color w:val="FFFFFF"/>
        <w:sz w:val="22"/>
      </w:rPr>
      <w:tblPr/>
      <w:tcPr>
        <w:shd w:val="clear" w:color="auto" w:fill="B2B2B2" w:themeFill="accent2"/>
      </w:tcPr>
    </w:tblStylePr>
    <w:tblStylePr w:type="lastRow">
      <w:rPr>
        <w:rFonts w:ascii="Arial" w:hAnsi="Arial"/>
        <w:b/>
        <w:color w:val="FFFFFF"/>
        <w:sz w:val="22"/>
      </w:rPr>
      <w:tblPr/>
      <w:tcPr>
        <w:tcBorders>
          <w:top w:val="single" w:sz="4" w:space="0" w:color="FFFFFF" w:themeColor="light1"/>
        </w:tcBorders>
        <w:shd w:val="clear" w:color="auto" w:fill="B2B2B2" w:themeFill="accent2"/>
      </w:tcPr>
    </w:tblStylePr>
    <w:tblStylePr w:type="firstCol">
      <w:rPr>
        <w:rFonts w:ascii="Arial" w:hAnsi="Arial"/>
        <w:b/>
        <w:color w:val="FFFFFF"/>
        <w:sz w:val="22"/>
      </w:rPr>
      <w:tblPr/>
      <w:tcPr>
        <w:shd w:val="clear" w:color="auto" w:fill="B2B2B2" w:themeFill="accent2"/>
      </w:tcPr>
    </w:tblStylePr>
    <w:tblStylePr w:type="lastCol">
      <w:rPr>
        <w:rFonts w:ascii="Arial" w:hAnsi="Arial"/>
        <w:b/>
        <w:color w:val="FFFFFF"/>
        <w:sz w:val="22"/>
      </w:rPr>
      <w:tblPr/>
      <w:tcPr>
        <w:shd w:val="clear" w:color="auto" w:fill="B2B2B2" w:themeFill="accent2"/>
      </w:tcPr>
    </w:tblStylePr>
    <w:tblStylePr w:type="band1Vert">
      <w:tblPr/>
      <w:tcPr>
        <w:shd w:val="clear" w:color="auto" w:fill="DBDBDB" w:themeFill="accent2" w:themeFillTint="75"/>
      </w:tcPr>
    </w:tblStylePr>
    <w:tblStylePr w:type="band1Horz">
      <w:tblPr/>
      <w:tcPr>
        <w:shd w:val="clear" w:color="auto" w:fill="DBDBDB" w:themeFill="accent2" w:themeFillTint="75"/>
      </w:tcPr>
    </w:tblStylePr>
  </w:style>
  <w:style w:type="table" w:customStyle="1" w:styleId="GridTable5Dark-Accent31">
    <w:name w:val="Grid Table 5 Dark - Accent 31"/>
    <w:basedOn w:val="TableNormal"/>
    <w:uiPriority w:val="99"/>
    <w:pPr>
      <w:spacing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9E9E9" w:themeFill="accent3" w:themeFillTint="34"/>
    </w:tblPr>
    <w:tblStylePr w:type="firstRow">
      <w:rPr>
        <w:rFonts w:ascii="Arial" w:hAnsi="Arial"/>
        <w:b/>
        <w:color w:val="FFFFFF"/>
        <w:sz w:val="22"/>
      </w:rPr>
      <w:tblPr/>
      <w:tcPr>
        <w:shd w:val="clear" w:color="auto" w:fill="969696" w:themeFill="accent3"/>
      </w:tcPr>
    </w:tblStylePr>
    <w:tblStylePr w:type="lastRow">
      <w:rPr>
        <w:rFonts w:ascii="Arial" w:hAnsi="Arial"/>
        <w:b/>
        <w:color w:val="FFFFFF"/>
        <w:sz w:val="22"/>
      </w:rPr>
      <w:tblPr/>
      <w:tcPr>
        <w:tcBorders>
          <w:top w:val="single" w:sz="4" w:space="0" w:color="FFFFFF" w:themeColor="light1"/>
        </w:tcBorders>
        <w:shd w:val="clear" w:color="auto" w:fill="969696" w:themeFill="accent3"/>
      </w:tcPr>
    </w:tblStylePr>
    <w:tblStylePr w:type="firstCol">
      <w:rPr>
        <w:rFonts w:ascii="Arial" w:hAnsi="Arial"/>
        <w:b/>
        <w:color w:val="FFFFFF"/>
        <w:sz w:val="22"/>
      </w:rPr>
      <w:tblPr/>
      <w:tcPr>
        <w:shd w:val="clear" w:color="auto" w:fill="969696" w:themeFill="accent3"/>
      </w:tcPr>
    </w:tblStylePr>
    <w:tblStylePr w:type="lastCol">
      <w:rPr>
        <w:rFonts w:ascii="Arial" w:hAnsi="Arial"/>
        <w:b/>
        <w:color w:val="FFFFFF"/>
        <w:sz w:val="22"/>
      </w:rPr>
      <w:tblPr/>
      <w:tcPr>
        <w:shd w:val="clear" w:color="auto" w:fill="969696" w:themeFill="accent3"/>
      </w:tcPr>
    </w:tblStylePr>
    <w:tblStylePr w:type="band1Vert">
      <w:tblPr/>
      <w:tcPr>
        <w:shd w:val="clear" w:color="auto" w:fill="CECECE" w:themeFill="accent3" w:themeFillTint="75"/>
      </w:tcPr>
    </w:tblStylePr>
    <w:tblStylePr w:type="band1Horz">
      <w:tblPr/>
      <w:tcPr>
        <w:shd w:val="clear" w:color="auto" w:fill="CECECE" w:themeFill="accent3" w:themeFillTint="75"/>
      </w:tcPr>
    </w:tblStylePr>
  </w:style>
  <w:style w:type="table" w:customStyle="1" w:styleId="GridTable5Dark-Accent4">
    <w:name w:val="Grid Table 5 Dark- Accent 4"/>
    <w:basedOn w:val="TableNormal"/>
    <w:uiPriority w:val="99"/>
    <w:pPr>
      <w:spacing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5E5E5" w:themeFill="accent4" w:themeFillTint="34"/>
    </w:tblPr>
    <w:tblStylePr w:type="firstRow">
      <w:rPr>
        <w:rFonts w:ascii="Arial" w:hAnsi="Arial"/>
        <w:b/>
        <w:color w:val="FFFFFF"/>
        <w:sz w:val="22"/>
      </w:rPr>
      <w:tblPr/>
      <w:tcPr>
        <w:shd w:val="clear" w:color="auto" w:fill="808080" w:themeFill="accent4"/>
      </w:tcPr>
    </w:tblStylePr>
    <w:tblStylePr w:type="lastRow">
      <w:rPr>
        <w:rFonts w:ascii="Arial" w:hAnsi="Arial"/>
        <w:b/>
        <w:color w:val="FFFFFF"/>
        <w:sz w:val="22"/>
      </w:rPr>
      <w:tblPr/>
      <w:tcPr>
        <w:tcBorders>
          <w:top w:val="single" w:sz="4" w:space="0" w:color="FFFFFF" w:themeColor="light1"/>
        </w:tcBorders>
        <w:shd w:val="clear" w:color="auto" w:fill="808080" w:themeFill="accent4"/>
      </w:tcPr>
    </w:tblStylePr>
    <w:tblStylePr w:type="firstCol">
      <w:rPr>
        <w:rFonts w:ascii="Arial" w:hAnsi="Arial"/>
        <w:b/>
        <w:color w:val="FFFFFF"/>
        <w:sz w:val="22"/>
      </w:rPr>
      <w:tblPr/>
      <w:tcPr>
        <w:shd w:val="clear" w:color="auto" w:fill="808080" w:themeFill="accent4"/>
      </w:tcPr>
    </w:tblStylePr>
    <w:tblStylePr w:type="lastCol">
      <w:rPr>
        <w:rFonts w:ascii="Arial" w:hAnsi="Arial"/>
        <w:b/>
        <w:color w:val="FFFFFF"/>
        <w:sz w:val="22"/>
      </w:rPr>
      <w:tblPr/>
      <w:tcPr>
        <w:shd w:val="clear" w:color="auto" w:fill="808080" w:themeFill="accent4"/>
      </w:tcPr>
    </w:tblStylePr>
    <w:tblStylePr w:type="band1Vert">
      <w:tblPr/>
      <w:tcPr>
        <w:shd w:val="clear" w:color="auto" w:fill="C4C4C4" w:themeFill="accent4" w:themeFillTint="75"/>
      </w:tcPr>
    </w:tblStylePr>
    <w:tblStylePr w:type="band1Horz">
      <w:tblPr/>
      <w:tcPr>
        <w:shd w:val="clear" w:color="auto" w:fill="C4C4C4" w:themeFill="accent4" w:themeFillTint="75"/>
      </w:tcPr>
    </w:tblStylePr>
  </w:style>
  <w:style w:type="table" w:customStyle="1" w:styleId="GridTable5Dark-Accent51">
    <w:name w:val="Grid Table 5 Dark - Accent 51"/>
    <w:basedOn w:val="TableNormal"/>
    <w:uiPriority w:val="99"/>
    <w:pPr>
      <w:spacing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EDEDE" w:themeFill="accent5" w:themeFillTint="34"/>
    </w:tblPr>
    <w:tblStylePr w:type="firstRow">
      <w:rPr>
        <w:rFonts w:ascii="Arial" w:hAnsi="Arial"/>
        <w:b/>
        <w:color w:val="FFFFFF"/>
        <w:sz w:val="22"/>
      </w:rPr>
      <w:tblPr/>
      <w:tcPr>
        <w:shd w:val="clear" w:color="auto" w:fill="5F5F5F" w:themeFill="accent5"/>
      </w:tcPr>
    </w:tblStylePr>
    <w:tblStylePr w:type="lastRow">
      <w:rPr>
        <w:rFonts w:ascii="Arial" w:hAnsi="Arial"/>
        <w:b/>
        <w:color w:val="FFFFFF"/>
        <w:sz w:val="22"/>
      </w:rPr>
      <w:tblPr/>
      <w:tcPr>
        <w:tcBorders>
          <w:top w:val="single" w:sz="4" w:space="0" w:color="FFFFFF" w:themeColor="light1"/>
        </w:tcBorders>
        <w:shd w:val="clear" w:color="auto" w:fill="5F5F5F" w:themeFill="accent5"/>
      </w:tcPr>
    </w:tblStylePr>
    <w:tblStylePr w:type="firstCol">
      <w:rPr>
        <w:rFonts w:ascii="Arial" w:hAnsi="Arial"/>
        <w:b/>
        <w:color w:val="FFFFFF"/>
        <w:sz w:val="22"/>
      </w:rPr>
      <w:tblPr/>
      <w:tcPr>
        <w:shd w:val="clear" w:color="auto" w:fill="5F5F5F" w:themeFill="accent5"/>
      </w:tcPr>
    </w:tblStylePr>
    <w:tblStylePr w:type="lastCol">
      <w:rPr>
        <w:rFonts w:ascii="Arial" w:hAnsi="Arial"/>
        <w:b/>
        <w:color w:val="FFFFFF"/>
        <w:sz w:val="22"/>
      </w:rPr>
      <w:tblPr/>
      <w:tcPr>
        <w:shd w:val="clear" w:color="auto" w:fill="5F5F5F" w:themeFill="accent5"/>
      </w:tcPr>
    </w:tblStylePr>
    <w:tblStylePr w:type="band1Vert">
      <w:tblPr/>
      <w:tcPr>
        <w:shd w:val="clear" w:color="auto" w:fill="B5B5B5" w:themeFill="accent5" w:themeFillTint="75"/>
      </w:tcPr>
    </w:tblStylePr>
    <w:tblStylePr w:type="band1Horz">
      <w:tblPr/>
      <w:tcPr>
        <w:shd w:val="clear" w:color="auto" w:fill="B5B5B5" w:themeFill="accent5" w:themeFillTint="75"/>
      </w:tcPr>
    </w:tblStylePr>
  </w:style>
  <w:style w:type="table" w:customStyle="1" w:styleId="GridTable5Dark-Accent61">
    <w:name w:val="Grid Table 5 Dark - Accent 61"/>
    <w:basedOn w:val="TableNormal"/>
    <w:uiPriority w:val="99"/>
    <w:pPr>
      <w:spacing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ADADA" w:themeFill="accent6" w:themeFillTint="34"/>
    </w:tblPr>
    <w:tblStylePr w:type="firstRow">
      <w:rPr>
        <w:rFonts w:ascii="Arial" w:hAnsi="Arial"/>
        <w:b/>
        <w:color w:val="FFFFFF"/>
        <w:sz w:val="22"/>
      </w:rPr>
      <w:tblPr/>
      <w:tcPr>
        <w:shd w:val="clear" w:color="auto" w:fill="4D4D4D" w:themeFill="accent6"/>
      </w:tcPr>
    </w:tblStylePr>
    <w:tblStylePr w:type="lastRow">
      <w:rPr>
        <w:rFonts w:ascii="Arial" w:hAnsi="Arial"/>
        <w:b/>
        <w:color w:val="FFFFFF"/>
        <w:sz w:val="22"/>
      </w:rPr>
      <w:tblPr/>
      <w:tcPr>
        <w:tcBorders>
          <w:top w:val="single" w:sz="4" w:space="0" w:color="FFFFFF" w:themeColor="light1"/>
        </w:tcBorders>
        <w:shd w:val="clear" w:color="auto" w:fill="4D4D4D" w:themeFill="accent6"/>
      </w:tcPr>
    </w:tblStylePr>
    <w:tblStylePr w:type="firstCol">
      <w:rPr>
        <w:rFonts w:ascii="Arial" w:hAnsi="Arial"/>
        <w:b/>
        <w:color w:val="FFFFFF"/>
        <w:sz w:val="22"/>
      </w:rPr>
      <w:tblPr/>
      <w:tcPr>
        <w:shd w:val="clear" w:color="auto" w:fill="4D4D4D" w:themeFill="accent6"/>
      </w:tcPr>
    </w:tblStylePr>
    <w:tblStylePr w:type="lastCol">
      <w:rPr>
        <w:rFonts w:ascii="Arial" w:hAnsi="Arial"/>
        <w:b/>
        <w:color w:val="FFFFFF"/>
        <w:sz w:val="22"/>
      </w:rPr>
      <w:tblPr/>
      <w:tcPr>
        <w:shd w:val="clear" w:color="auto" w:fill="4D4D4D" w:themeFill="accent6"/>
      </w:tcPr>
    </w:tblStylePr>
    <w:tblStylePr w:type="band1Vert">
      <w:tblPr/>
      <w:tcPr>
        <w:shd w:val="clear" w:color="auto" w:fill="ADADAD" w:themeFill="accent6" w:themeFillTint="75"/>
      </w:tcPr>
    </w:tblStylePr>
    <w:tblStylePr w:type="band1Horz">
      <w:tblPr/>
      <w:tcPr>
        <w:shd w:val="clear" w:color="auto" w:fill="ADADAD" w:themeFill="accent6" w:themeFillTint="75"/>
      </w:tcPr>
    </w:tblStylePr>
  </w:style>
  <w:style w:type="table" w:styleId="GridTable6Colorful">
    <w:name w:val="Grid Table 6 Colorful"/>
    <w:basedOn w:val="TableNormal"/>
    <w:uiPriority w:val="99"/>
    <w:pPr>
      <w:spacing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auto" w:fill="CBCBCB" w:themeFill="text1" w:themeFillTint="34"/>
      </w:tcPr>
    </w:tblStylePr>
    <w:tblStylePr w:type="band1Horz">
      <w:rPr>
        <w:rFonts w:ascii="Arial" w:hAnsi="Arial"/>
        <w:color w:val="7F7F7F" w:themeColor="text1" w:themeTint="80" w:themeShade="95"/>
        <w:sz w:val="22"/>
      </w:rPr>
      <w:tblPr/>
      <w:tcPr>
        <w:shd w:val="clear" w:color="auto"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1">
    <w:name w:val="Grid Table 6 Colorful - Accent 11"/>
    <w:basedOn w:val="TableNormal"/>
    <w:uiPriority w:val="99"/>
    <w:pPr>
      <w:spacing w:line="240" w:lineRule="auto"/>
    </w:pPr>
    <w:tblPr>
      <w:tblStyleRowBandSize w:val="1"/>
      <w:tblStyleColBandSize w:val="1"/>
      <w:tblBorders>
        <w:top w:val="single" w:sz="4" w:space="0" w:color="EDEDED" w:themeColor="accent1" w:themeTint="80"/>
        <w:left w:val="single" w:sz="4" w:space="0" w:color="EDEDED" w:themeColor="accent1" w:themeTint="80"/>
        <w:bottom w:val="single" w:sz="4" w:space="0" w:color="EDEDED" w:themeColor="accent1" w:themeTint="80"/>
        <w:right w:val="single" w:sz="4" w:space="0" w:color="EDEDED" w:themeColor="accent1" w:themeTint="80"/>
        <w:insideH w:val="single" w:sz="4" w:space="0" w:color="EDEDED" w:themeColor="accent1" w:themeTint="80"/>
        <w:insideV w:val="single" w:sz="4" w:space="0" w:color="EDEDED" w:themeColor="accent1" w:themeTint="80"/>
      </w:tblBorders>
    </w:tblPr>
    <w:tblStylePr w:type="firstRow">
      <w:rPr>
        <w:b/>
        <w:color w:val="EDEDED" w:themeColor="accent1" w:themeTint="80" w:themeShade="95"/>
      </w:rPr>
      <w:tblPr/>
      <w:tcPr>
        <w:tcBorders>
          <w:bottom w:val="single" w:sz="12" w:space="0" w:color="EDEDED" w:themeColor="accent1" w:themeTint="80"/>
        </w:tcBorders>
      </w:tcPr>
    </w:tblStylePr>
    <w:tblStylePr w:type="lastRow">
      <w:rPr>
        <w:b/>
        <w:color w:val="EDEDED" w:themeColor="accent1" w:themeTint="80" w:themeShade="95"/>
      </w:rPr>
    </w:tblStylePr>
    <w:tblStylePr w:type="firstCol">
      <w:rPr>
        <w:b/>
        <w:color w:val="EDEDED" w:themeColor="accent1" w:themeTint="80" w:themeShade="95"/>
      </w:rPr>
    </w:tblStylePr>
    <w:tblStylePr w:type="lastCol">
      <w:rPr>
        <w:b/>
        <w:color w:val="EDEDED" w:themeColor="accent1" w:themeTint="80" w:themeShade="95"/>
      </w:rPr>
    </w:tblStylePr>
    <w:tblStylePr w:type="band1Vert">
      <w:tblPr/>
      <w:tcPr>
        <w:shd w:val="clear" w:color="auto" w:fill="F8F8F8" w:themeFill="accent1" w:themeFillTint="34"/>
      </w:tcPr>
    </w:tblStylePr>
    <w:tblStylePr w:type="band1Horz">
      <w:rPr>
        <w:rFonts w:ascii="Arial" w:hAnsi="Arial"/>
        <w:color w:val="EDEDED" w:themeColor="accent1" w:themeTint="80" w:themeShade="95"/>
        <w:sz w:val="22"/>
      </w:rPr>
      <w:tblPr/>
      <w:tcPr>
        <w:shd w:val="clear" w:color="auto" w:fill="F8F8F8" w:themeFill="accent1" w:themeFillTint="34"/>
      </w:tcPr>
    </w:tblStylePr>
    <w:tblStylePr w:type="band2Horz">
      <w:rPr>
        <w:rFonts w:ascii="Arial" w:hAnsi="Arial"/>
        <w:color w:val="EDEDED" w:themeColor="accent1" w:themeTint="80" w:themeShade="95"/>
        <w:sz w:val="22"/>
      </w:rPr>
    </w:tblStylePr>
  </w:style>
  <w:style w:type="table" w:customStyle="1" w:styleId="GridTable6Colorful-Accent21">
    <w:name w:val="Grid Table 6 Colorful - Accent 21"/>
    <w:basedOn w:val="TableNormal"/>
    <w:uiPriority w:val="99"/>
    <w:pPr>
      <w:spacing w:line="240" w:lineRule="auto"/>
    </w:pPr>
    <w:tblPr>
      <w:tblStyleRowBandSize w:val="1"/>
      <w:tblStyleColBandSize w:val="1"/>
      <w:tblBorders>
        <w:top w:val="single" w:sz="4" w:space="0" w:color="D1D1D1" w:themeColor="accent2" w:themeTint="97"/>
        <w:left w:val="single" w:sz="4" w:space="0" w:color="D1D1D1" w:themeColor="accent2" w:themeTint="97"/>
        <w:bottom w:val="single" w:sz="4" w:space="0" w:color="D1D1D1" w:themeColor="accent2" w:themeTint="97"/>
        <w:right w:val="single" w:sz="4" w:space="0" w:color="D1D1D1" w:themeColor="accent2" w:themeTint="97"/>
        <w:insideH w:val="single" w:sz="4" w:space="0" w:color="D1D1D1" w:themeColor="accent2" w:themeTint="97"/>
        <w:insideV w:val="single" w:sz="4" w:space="0" w:color="D1D1D1" w:themeColor="accent2" w:themeTint="97"/>
      </w:tblBorders>
    </w:tblPr>
    <w:tblStylePr w:type="firstRow">
      <w:rPr>
        <w:b/>
        <w:color w:val="D1D1D1" w:themeColor="accent2" w:themeTint="97" w:themeShade="95"/>
      </w:rPr>
      <w:tblPr/>
      <w:tcPr>
        <w:tcBorders>
          <w:bottom w:val="single" w:sz="12" w:space="0" w:color="D1D1D1" w:themeColor="accent2" w:themeTint="97"/>
        </w:tcBorders>
      </w:tcPr>
    </w:tblStylePr>
    <w:tblStylePr w:type="lastRow">
      <w:rPr>
        <w:b/>
        <w:color w:val="D1D1D1" w:themeColor="accent2" w:themeTint="97" w:themeShade="95"/>
      </w:rPr>
    </w:tblStylePr>
    <w:tblStylePr w:type="firstCol">
      <w:rPr>
        <w:b/>
        <w:color w:val="D1D1D1" w:themeColor="accent2" w:themeTint="97" w:themeShade="95"/>
      </w:rPr>
    </w:tblStylePr>
    <w:tblStylePr w:type="lastCol">
      <w:rPr>
        <w:b/>
        <w:color w:val="D1D1D1" w:themeColor="accent2" w:themeTint="97" w:themeShade="95"/>
      </w:rPr>
    </w:tblStylePr>
    <w:tblStylePr w:type="band1Vert">
      <w:tblPr/>
      <w:tcPr>
        <w:shd w:val="clear" w:color="auto" w:fill="EFEFEF" w:themeFill="accent2" w:themeFillTint="32"/>
      </w:tcPr>
    </w:tblStylePr>
    <w:tblStylePr w:type="band1Horz">
      <w:rPr>
        <w:rFonts w:ascii="Arial" w:hAnsi="Arial"/>
        <w:color w:val="D1D1D1" w:themeColor="accent2" w:themeTint="97" w:themeShade="95"/>
        <w:sz w:val="22"/>
      </w:rPr>
      <w:tblPr/>
      <w:tcPr>
        <w:shd w:val="clear" w:color="auto" w:fill="EFEFEF" w:themeFill="accent2" w:themeFillTint="32"/>
      </w:tcPr>
    </w:tblStylePr>
    <w:tblStylePr w:type="band2Horz">
      <w:rPr>
        <w:rFonts w:ascii="Arial" w:hAnsi="Arial"/>
        <w:color w:val="D1D1D1" w:themeColor="accent2" w:themeTint="97" w:themeShade="95"/>
        <w:sz w:val="22"/>
      </w:rPr>
    </w:tblStylePr>
  </w:style>
  <w:style w:type="table" w:customStyle="1" w:styleId="GridTable6Colorful-Accent31">
    <w:name w:val="Grid Table 6 Colorful - Accent 31"/>
    <w:basedOn w:val="TableNormal"/>
    <w:uiPriority w:val="99"/>
    <w:pPr>
      <w:spacing w:line="240" w:lineRule="auto"/>
    </w:pPr>
    <w:tblPr>
      <w:tblStyleRowBandSize w:val="1"/>
      <w:tblStyleColBandSize w:val="1"/>
      <w:tblBorders>
        <w:top w:val="single" w:sz="4" w:space="0" w:color="969696" w:themeColor="accent3" w:themeTint="FE"/>
        <w:left w:val="single" w:sz="4" w:space="0" w:color="969696" w:themeColor="accent3" w:themeTint="FE"/>
        <w:bottom w:val="single" w:sz="4" w:space="0" w:color="969696" w:themeColor="accent3" w:themeTint="FE"/>
        <w:right w:val="single" w:sz="4" w:space="0" w:color="969696" w:themeColor="accent3" w:themeTint="FE"/>
        <w:insideH w:val="single" w:sz="4" w:space="0" w:color="969696" w:themeColor="accent3" w:themeTint="FE"/>
        <w:insideV w:val="single" w:sz="4" w:space="0" w:color="969696" w:themeColor="accent3" w:themeTint="FE"/>
      </w:tblBorders>
    </w:tblPr>
    <w:tblStylePr w:type="firstRow">
      <w:rPr>
        <w:b/>
        <w:color w:val="969696" w:themeColor="accent3" w:themeTint="FE" w:themeShade="95"/>
      </w:rPr>
      <w:tblPr/>
      <w:tcPr>
        <w:tcBorders>
          <w:bottom w:val="single" w:sz="12" w:space="0" w:color="969696" w:themeColor="accent3" w:themeTint="FE"/>
        </w:tcBorders>
      </w:tcPr>
    </w:tblStylePr>
    <w:tblStylePr w:type="lastRow">
      <w:rPr>
        <w:b/>
        <w:color w:val="969696" w:themeColor="accent3" w:themeTint="FE" w:themeShade="95"/>
      </w:rPr>
    </w:tblStylePr>
    <w:tblStylePr w:type="firstCol">
      <w:rPr>
        <w:b/>
        <w:color w:val="969696" w:themeColor="accent3" w:themeTint="FE" w:themeShade="95"/>
      </w:rPr>
    </w:tblStylePr>
    <w:tblStylePr w:type="lastCol">
      <w:rPr>
        <w:b/>
        <w:color w:val="969696" w:themeColor="accent3" w:themeTint="FE" w:themeShade="95"/>
      </w:rPr>
    </w:tblStylePr>
    <w:tblStylePr w:type="band1Vert">
      <w:tblPr/>
      <w:tcPr>
        <w:shd w:val="clear" w:color="auto" w:fill="E9E9E9" w:themeFill="accent3" w:themeFillTint="34"/>
      </w:tcPr>
    </w:tblStylePr>
    <w:tblStylePr w:type="band1Horz">
      <w:rPr>
        <w:rFonts w:ascii="Arial" w:hAnsi="Arial"/>
        <w:color w:val="969696" w:themeColor="accent3" w:themeTint="FE" w:themeShade="95"/>
        <w:sz w:val="22"/>
      </w:rPr>
      <w:tblPr/>
      <w:tcPr>
        <w:shd w:val="clear" w:color="auto" w:fill="E9E9E9" w:themeFill="accent3" w:themeFillTint="34"/>
      </w:tcPr>
    </w:tblStylePr>
    <w:tblStylePr w:type="band2Horz">
      <w:rPr>
        <w:rFonts w:ascii="Arial" w:hAnsi="Arial"/>
        <w:color w:val="969696" w:themeColor="accent3" w:themeTint="FE" w:themeShade="95"/>
        <w:sz w:val="22"/>
      </w:rPr>
    </w:tblStylePr>
  </w:style>
  <w:style w:type="table" w:customStyle="1" w:styleId="GridTable6Colorful-Accent41">
    <w:name w:val="Grid Table 6 Colorful - Accent 41"/>
    <w:basedOn w:val="TableNormal"/>
    <w:uiPriority w:val="99"/>
    <w:pPr>
      <w:spacing w:line="240" w:lineRule="auto"/>
    </w:pPr>
    <w:tblPr>
      <w:tblStyleRowBandSize w:val="1"/>
      <w:tblStyleColBandSize w:val="1"/>
      <w:tblBorders>
        <w:top w:val="single" w:sz="4" w:space="0" w:color="B2B2B2" w:themeColor="accent4" w:themeTint="9A"/>
        <w:left w:val="single" w:sz="4" w:space="0" w:color="B2B2B2" w:themeColor="accent4" w:themeTint="9A"/>
        <w:bottom w:val="single" w:sz="4" w:space="0" w:color="B2B2B2" w:themeColor="accent4" w:themeTint="9A"/>
        <w:right w:val="single" w:sz="4" w:space="0" w:color="B2B2B2" w:themeColor="accent4" w:themeTint="9A"/>
        <w:insideH w:val="single" w:sz="4" w:space="0" w:color="B2B2B2" w:themeColor="accent4" w:themeTint="9A"/>
        <w:insideV w:val="single" w:sz="4" w:space="0" w:color="B2B2B2" w:themeColor="accent4" w:themeTint="9A"/>
      </w:tblBorders>
    </w:tblPr>
    <w:tblStylePr w:type="firstRow">
      <w:rPr>
        <w:b/>
        <w:color w:val="B2B2B2" w:themeColor="accent4" w:themeTint="9A" w:themeShade="95"/>
      </w:rPr>
      <w:tblPr/>
      <w:tcPr>
        <w:tcBorders>
          <w:bottom w:val="single" w:sz="12" w:space="0" w:color="B2B2B2" w:themeColor="accent4" w:themeTint="9A"/>
        </w:tcBorders>
      </w:tcPr>
    </w:tblStylePr>
    <w:tblStylePr w:type="lastRow">
      <w:rPr>
        <w:b/>
        <w:color w:val="B2B2B2" w:themeColor="accent4" w:themeTint="9A" w:themeShade="95"/>
      </w:rPr>
    </w:tblStylePr>
    <w:tblStylePr w:type="firstCol">
      <w:rPr>
        <w:b/>
        <w:color w:val="B2B2B2" w:themeColor="accent4" w:themeTint="9A" w:themeShade="95"/>
      </w:rPr>
    </w:tblStylePr>
    <w:tblStylePr w:type="lastCol">
      <w:rPr>
        <w:b/>
        <w:color w:val="B2B2B2" w:themeColor="accent4" w:themeTint="9A" w:themeShade="95"/>
      </w:rPr>
    </w:tblStylePr>
    <w:tblStylePr w:type="band1Vert">
      <w:tblPr/>
      <w:tcPr>
        <w:shd w:val="clear" w:color="auto" w:fill="E5E5E5" w:themeFill="accent4" w:themeFillTint="34"/>
      </w:tcPr>
    </w:tblStylePr>
    <w:tblStylePr w:type="band1Horz">
      <w:rPr>
        <w:rFonts w:ascii="Arial" w:hAnsi="Arial"/>
        <w:color w:val="B2B2B2" w:themeColor="accent4" w:themeTint="9A" w:themeShade="95"/>
        <w:sz w:val="22"/>
      </w:rPr>
      <w:tblPr/>
      <w:tcPr>
        <w:shd w:val="clear" w:color="auto" w:fill="E5E5E5" w:themeFill="accent4" w:themeFillTint="34"/>
      </w:tcPr>
    </w:tblStylePr>
    <w:tblStylePr w:type="band2Horz">
      <w:rPr>
        <w:rFonts w:ascii="Arial" w:hAnsi="Arial"/>
        <w:color w:val="B2B2B2" w:themeColor="accent4" w:themeTint="9A" w:themeShade="95"/>
        <w:sz w:val="22"/>
      </w:rPr>
    </w:tblStylePr>
  </w:style>
  <w:style w:type="table" w:customStyle="1" w:styleId="GridTable6Colorful-Accent51">
    <w:name w:val="Grid Table 6 Colorful - Accent 51"/>
    <w:basedOn w:val="TableNormal"/>
    <w:uiPriority w:val="99"/>
    <w:pPr>
      <w:spacing w:line="240" w:lineRule="auto"/>
    </w:pPr>
    <w:tblPr>
      <w:tblStyleRowBandSize w:val="1"/>
      <w:tblStyleColBandSize w:val="1"/>
      <w:tblBorders>
        <w:top w:val="single" w:sz="4" w:space="0" w:color="5F5F5F" w:themeColor="accent5"/>
        <w:left w:val="single" w:sz="4" w:space="0" w:color="5F5F5F" w:themeColor="accent5"/>
        <w:bottom w:val="single" w:sz="4" w:space="0" w:color="5F5F5F" w:themeColor="accent5"/>
        <w:right w:val="single" w:sz="4" w:space="0" w:color="5F5F5F" w:themeColor="accent5"/>
        <w:insideH w:val="single" w:sz="4" w:space="0" w:color="5F5F5F" w:themeColor="accent5"/>
        <w:insideV w:val="single" w:sz="4" w:space="0" w:color="5F5F5F" w:themeColor="accent5"/>
      </w:tblBorders>
    </w:tblPr>
    <w:tblStylePr w:type="firstRow">
      <w:rPr>
        <w:b/>
        <w:color w:val="373737" w:themeColor="accent5" w:themeShade="95"/>
      </w:rPr>
      <w:tblPr/>
      <w:tcPr>
        <w:tcBorders>
          <w:bottom w:val="single" w:sz="12" w:space="0" w:color="5F5F5F" w:themeColor="accent5"/>
        </w:tcBorders>
      </w:tcPr>
    </w:tblStylePr>
    <w:tblStylePr w:type="lastRow">
      <w:rPr>
        <w:b/>
        <w:color w:val="373737" w:themeColor="accent5" w:themeShade="95"/>
      </w:rPr>
    </w:tblStylePr>
    <w:tblStylePr w:type="firstCol">
      <w:rPr>
        <w:b/>
        <w:color w:val="373737" w:themeColor="accent5" w:themeShade="95"/>
      </w:rPr>
    </w:tblStylePr>
    <w:tblStylePr w:type="lastCol">
      <w:rPr>
        <w:b/>
        <w:color w:val="373737" w:themeColor="accent5" w:themeShade="95"/>
      </w:rPr>
    </w:tblStylePr>
    <w:tblStylePr w:type="band1Vert">
      <w:tblPr/>
      <w:tcPr>
        <w:shd w:val="clear" w:color="auto" w:fill="DEDEDE" w:themeFill="accent5" w:themeFillTint="34"/>
      </w:tcPr>
    </w:tblStylePr>
    <w:tblStylePr w:type="band1Horz">
      <w:rPr>
        <w:rFonts w:ascii="Arial" w:hAnsi="Arial"/>
        <w:color w:val="373737" w:themeColor="accent5" w:themeShade="95"/>
        <w:sz w:val="22"/>
      </w:rPr>
      <w:tblPr/>
      <w:tcPr>
        <w:shd w:val="clear" w:color="auto" w:fill="DEDEDE" w:themeFill="accent5" w:themeFillTint="34"/>
      </w:tcPr>
    </w:tblStylePr>
    <w:tblStylePr w:type="band2Horz">
      <w:rPr>
        <w:rFonts w:ascii="Arial" w:hAnsi="Arial"/>
        <w:color w:val="373737" w:themeColor="accent5" w:themeShade="95"/>
        <w:sz w:val="22"/>
      </w:rPr>
    </w:tblStylePr>
  </w:style>
  <w:style w:type="table" w:customStyle="1" w:styleId="GridTable6Colorful-Accent61">
    <w:name w:val="Grid Table 6 Colorful - Accent 61"/>
    <w:basedOn w:val="TableNormal"/>
    <w:uiPriority w:val="99"/>
    <w:pPr>
      <w:spacing w:line="240" w:lineRule="auto"/>
    </w:pPr>
    <w:tblPr>
      <w:tblStyleRowBandSize w:val="1"/>
      <w:tblStyleColBandSize w:val="1"/>
      <w:tblBorders>
        <w:top w:val="single" w:sz="4" w:space="0" w:color="4D4D4D" w:themeColor="accent6"/>
        <w:left w:val="single" w:sz="4" w:space="0" w:color="4D4D4D" w:themeColor="accent6"/>
        <w:bottom w:val="single" w:sz="4" w:space="0" w:color="4D4D4D" w:themeColor="accent6"/>
        <w:right w:val="single" w:sz="4" w:space="0" w:color="4D4D4D" w:themeColor="accent6"/>
        <w:insideH w:val="single" w:sz="4" w:space="0" w:color="4D4D4D" w:themeColor="accent6"/>
        <w:insideV w:val="single" w:sz="4" w:space="0" w:color="4D4D4D" w:themeColor="accent6"/>
      </w:tblBorders>
    </w:tblPr>
    <w:tblStylePr w:type="firstRow">
      <w:rPr>
        <w:b/>
        <w:color w:val="373737" w:themeColor="accent5" w:themeShade="95"/>
      </w:rPr>
      <w:tblPr/>
      <w:tcPr>
        <w:tcBorders>
          <w:bottom w:val="single" w:sz="12" w:space="0" w:color="4D4D4D" w:themeColor="accent6"/>
        </w:tcBorders>
      </w:tcPr>
    </w:tblStylePr>
    <w:tblStylePr w:type="lastRow">
      <w:rPr>
        <w:b/>
        <w:color w:val="373737" w:themeColor="accent5" w:themeShade="95"/>
      </w:rPr>
    </w:tblStylePr>
    <w:tblStylePr w:type="firstCol">
      <w:rPr>
        <w:b/>
        <w:color w:val="373737" w:themeColor="accent5" w:themeShade="95"/>
      </w:rPr>
    </w:tblStylePr>
    <w:tblStylePr w:type="lastCol">
      <w:rPr>
        <w:b/>
        <w:color w:val="373737" w:themeColor="accent5" w:themeShade="95"/>
      </w:rPr>
    </w:tblStylePr>
    <w:tblStylePr w:type="band1Vert">
      <w:tblPr/>
      <w:tcPr>
        <w:shd w:val="clear" w:color="auto" w:fill="DADADA" w:themeFill="accent6" w:themeFillTint="34"/>
      </w:tcPr>
    </w:tblStylePr>
    <w:tblStylePr w:type="band1Horz">
      <w:rPr>
        <w:rFonts w:ascii="Arial" w:hAnsi="Arial"/>
        <w:color w:val="373737" w:themeColor="accent5" w:themeShade="95"/>
        <w:sz w:val="22"/>
      </w:rPr>
      <w:tblPr/>
      <w:tcPr>
        <w:shd w:val="clear" w:color="auto" w:fill="DADADA" w:themeFill="accent6" w:themeFillTint="34"/>
      </w:tcPr>
    </w:tblStylePr>
    <w:tblStylePr w:type="band2Horz">
      <w:rPr>
        <w:rFonts w:ascii="Arial" w:hAnsi="Arial"/>
        <w:color w:val="373737" w:themeColor="accent5" w:themeShade="95"/>
        <w:sz w:val="22"/>
      </w:rPr>
    </w:tblStylePr>
  </w:style>
  <w:style w:type="table" w:styleId="GridTable7Colorful">
    <w:name w:val="Grid Table 7 Colorful"/>
    <w:basedOn w:val="TableNormal"/>
    <w:uiPriority w:val="99"/>
    <w:pPr>
      <w:spacing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F2F2F2" w:themeFill="text1" w:themeFillTint="0D"/>
      </w:tcPr>
    </w:tblStylePr>
    <w:tblStylePr w:type="band1Horz">
      <w:rPr>
        <w:rFonts w:ascii="Arial" w:hAnsi="Arial"/>
        <w:color w:val="7F7F7F" w:themeColor="text1" w:themeTint="80" w:themeShade="95"/>
        <w:sz w:val="22"/>
      </w:rPr>
      <w:tblPr/>
      <w:tcPr>
        <w:shd w:val="clear" w:color="auto"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1">
    <w:name w:val="Grid Table 7 Colorful - Accent 11"/>
    <w:basedOn w:val="TableNormal"/>
    <w:uiPriority w:val="99"/>
    <w:pPr>
      <w:spacing w:line="240" w:lineRule="auto"/>
    </w:pPr>
    <w:tblPr>
      <w:tblStyleRowBandSize w:val="1"/>
      <w:tblStyleColBandSize w:val="1"/>
      <w:tblBorders>
        <w:bottom w:val="single" w:sz="4" w:space="0" w:color="EDEDED" w:themeColor="accent1" w:themeTint="80"/>
        <w:right w:val="single" w:sz="4" w:space="0" w:color="EDEDED" w:themeColor="accent1" w:themeTint="80"/>
        <w:insideH w:val="single" w:sz="4" w:space="0" w:color="EDEDED" w:themeColor="accent1" w:themeTint="80"/>
        <w:insideV w:val="single" w:sz="4" w:space="0" w:color="EDEDED" w:themeColor="accent1" w:themeTint="80"/>
      </w:tblBorders>
    </w:tblPr>
    <w:tblStylePr w:type="firstRow">
      <w:rPr>
        <w:rFonts w:ascii="Arial" w:hAnsi="Arial"/>
        <w:b/>
        <w:color w:val="EDEDED" w:themeColor="accent1" w:themeTint="80" w:themeShade="95"/>
        <w:sz w:val="22"/>
      </w:rPr>
      <w:tblPr/>
      <w:tcPr>
        <w:tcBorders>
          <w:top w:val="none" w:sz="0" w:space="0" w:color="auto"/>
          <w:left w:val="none" w:sz="0" w:space="0" w:color="auto"/>
          <w:bottom w:val="single" w:sz="4" w:space="0" w:color="EDEDED" w:themeColor="accent1" w:themeTint="80"/>
          <w:right w:val="none" w:sz="0" w:space="0" w:color="auto"/>
        </w:tcBorders>
        <w:shd w:val="clear" w:color="auto" w:fill="FFFFFF" w:themeFill="light1"/>
      </w:tcPr>
    </w:tblStylePr>
    <w:tblStylePr w:type="lastRow">
      <w:rPr>
        <w:rFonts w:ascii="Arial" w:hAnsi="Arial"/>
        <w:b/>
        <w:color w:val="EDEDED" w:themeColor="accent1" w:themeTint="80" w:themeShade="95"/>
        <w:sz w:val="22"/>
      </w:rPr>
      <w:tblPr/>
      <w:tcPr>
        <w:tcBorders>
          <w:top w:val="single" w:sz="4" w:space="0" w:color="EDEDED" w:themeColor="accen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EDEDED" w:themeColor="accent1" w:themeTint="80" w:themeShade="95"/>
        <w:sz w:val="22"/>
      </w:rPr>
      <w:tblPr/>
      <w:tcPr>
        <w:tcBorders>
          <w:top w:val="none" w:sz="0" w:space="0" w:color="auto"/>
          <w:left w:val="none" w:sz="0" w:space="0" w:color="auto"/>
          <w:bottom w:val="none" w:sz="0" w:space="0" w:color="auto"/>
          <w:right w:val="single" w:sz="4" w:space="0" w:color="EDEDED" w:themeColor="accent1" w:themeTint="80"/>
        </w:tcBorders>
        <w:shd w:val="clear" w:color="auto" w:fill="FFFFFF"/>
      </w:tcPr>
    </w:tblStylePr>
    <w:tblStylePr w:type="lastCol">
      <w:rPr>
        <w:rFonts w:ascii="Arial" w:hAnsi="Arial"/>
        <w:i/>
        <w:color w:val="EDEDED" w:themeColor="accent1" w:themeTint="80" w:themeShade="95"/>
        <w:sz w:val="22"/>
      </w:rPr>
      <w:tblPr/>
      <w:tcPr>
        <w:tcBorders>
          <w:top w:val="none" w:sz="0" w:space="0" w:color="auto"/>
          <w:left w:val="single" w:sz="4" w:space="0" w:color="EDEDED" w:themeColor="accent1" w:themeTint="80"/>
          <w:bottom w:val="none" w:sz="0" w:space="0" w:color="auto"/>
          <w:right w:val="none" w:sz="0" w:space="0" w:color="auto"/>
        </w:tcBorders>
        <w:shd w:val="clear" w:color="auto" w:fill="FFFFFF"/>
      </w:tcPr>
    </w:tblStylePr>
    <w:tblStylePr w:type="band1Vert">
      <w:tblPr/>
      <w:tcPr>
        <w:shd w:val="clear" w:color="auto" w:fill="F8F8F8" w:themeFill="accent1" w:themeFillTint="34"/>
      </w:tcPr>
    </w:tblStylePr>
    <w:tblStylePr w:type="band1Horz">
      <w:rPr>
        <w:rFonts w:ascii="Arial" w:hAnsi="Arial"/>
        <w:color w:val="EDEDED" w:themeColor="accent1" w:themeTint="80" w:themeShade="95"/>
        <w:sz w:val="22"/>
      </w:rPr>
      <w:tblPr/>
      <w:tcPr>
        <w:shd w:val="clear" w:color="auto" w:fill="F8F8F8" w:themeFill="accent1" w:themeFillTint="34"/>
      </w:tcPr>
    </w:tblStylePr>
    <w:tblStylePr w:type="band2Horz">
      <w:rPr>
        <w:rFonts w:ascii="Arial" w:hAnsi="Arial"/>
        <w:color w:val="EDEDED" w:themeColor="accent1" w:themeTint="80" w:themeShade="95"/>
        <w:sz w:val="22"/>
      </w:rPr>
    </w:tblStylePr>
  </w:style>
  <w:style w:type="table" w:customStyle="1" w:styleId="GridTable7Colorful-Accent21">
    <w:name w:val="Grid Table 7 Colorful - Accent 21"/>
    <w:basedOn w:val="TableNormal"/>
    <w:uiPriority w:val="99"/>
    <w:pPr>
      <w:spacing w:line="240" w:lineRule="auto"/>
    </w:pPr>
    <w:tblPr>
      <w:tblStyleRowBandSize w:val="1"/>
      <w:tblStyleColBandSize w:val="1"/>
      <w:tblBorders>
        <w:bottom w:val="single" w:sz="4" w:space="0" w:color="D1D1D1" w:themeColor="accent2" w:themeTint="97"/>
        <w:right w:val="single" w:sz="4" w:space="0" w:color="D1D1D1" w:themeColor="accent2" w:themeTint="97"/>
        <w:insideH w:val="single" w:sz="4" w:space="0" w:color="D1D1D1" w:themeColor="accent2" w:themeTint="97"/>
        <w:insideV w:val="single" w:sz="4" w:space="0" w:color="D1D1D1" w:themeColor="accent2" w:themeTint="97"/>
      </w:tblBorders>
    </w:tblPr>
    <w:tblStylePr w:type="firstRow">
      <w:rPr>
        <w:rFonts w:ascii="Arial" w:hAnsi="Arial"/>
        <w:b/>
        <w:color w:val="D1D1D1" w:themeColor="accent2" w:themeTint="97" w:themeShade="95"/>
        <w:sz w:val="22"/>
      </w:rPr>
      <w:tblPr/>
      <w:tcPr>
        <w:tcBorders>
          <w:top w:val="none" w:sz="0" w:space="0" w:color="auto"/>
          <w:left w:val="none" w:sz="0" w:space="0" w:color="auto"/>
          <w:bottom w:val="single" w:sz="4" w:space="0" w:color="D1D1D1" w:themeColor="accent2" w:themeTint="97"/>
          <w:right w:val="none" w:sz="0" w:space="0" w:color="auto"/>
        </w:tcBorders>
        <w:shd w:val="clear" w:color="auto" w:fill="FFFFFF" w:themeFill="light1"/>
      </w:tcPr>
    </w:tblStylePr>
    <w:tblStylePr w:type="lastRow">
      <w:rPr>
        <w:rFonts w:ascii="Arial" w:hAnsi="Arial"/>
        <w:b/>
        <w:color w:val="D1D1D1" w:themeColor="accent2" w:themeTint="97" w:themeShade="95"/>
        <w:sz w:val="22"/>
      </w:rPr>
      <w:tblPr/>
      <w:tcPr>
        <w:tcBorders>
          <w:top w:val="single" w:sz="4" w:space="0" w:color="D1D1D1"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D1D1D1" w:themeColor="accent2" w:themeTint="97" w:themeShade="95"/>
        <w:sz w:val="22"/>
      </w:rPr>
      <w:tblPr/>
      <w:tcPr>
        <w:tcBorders>
          <w:top w:val="none" w:sz="0" w:space="0" w:color="auto"/>
          <w:left w:val="none" w:sz="0" w:space="0" w:color="auto"/>
          <w:bottom w:val="none" w:sz="0" w:space="0" w:color="auto"/>
          <w:right w:val="single" w:sz="4" w:space="0" w:color="D1D1D1" w:themeColor="accent2" w:themeTint="97"/>
        </w:tcBorders>
        <w:shd w:val="clear" w:color="auto" w:fill="FFFFFF"/>
      </w:tcPr>
    </w:tblStylePr>
    <w:tblStylePr w:type="lastCol">
      <w:rPr>
        <w:rFonts w:ascii="Arial" w:hAnsi="Arial"/>
        <w:i/>
        <w:color w:val="D1D1D1" w:themeColor="accent2" w:themeTint="97" w:themeShade="95"/>
        <w:sz w:val="22"/>
      </w:rPr>
      <w:tblPr/>
      <w:tcPr>
        <w:tcBorders>
          <w:top w:val="none" w:sz="0" w:space="0" w:color="auto"/>
          <w:left w:val="single" w:sz="4" w:space="0" w:color="D1D1D1" w:themeColor="accent2" w:themeTint="97"/>
          <w:bottom w:val="none" w:sz="0" w:space="0" w:color="auto"/>
          <w:right w:val="none" w:sz="0" w:space="0" w:color="auto"/>
        </w:tcBorders>
        <w:shd w:val="clear" w:color="auto" w:fill="FFFFFF"/>
      </w:tcPr>
    </w:tblStylePr>
    <w:tblStylePr w:type="band1Vert">
      <w:tblPr/>
      <w:tcPr>
        <w:shd w:val="clear" w:color="auto" w:fill="EFEFEF" w:themeFill="accent2" w:themeFillTint="32"/>
      </w:tcPr>
    </w:tblStylePr>
    <w:tblStylePr w:type="band1Horz">
      <w:rPr>
        <w:rFonts w:ascii="Arial" w:hAnsi="Arial"/>
        <w:color w:val="D1D1D1" w:themeColor="accent2" w:themeTint="97" w:themeShade="95"/>
        <w:sz w:val="22"/>
      </w:rPr>
      <w:tblPr/>
      <w:tcPr>
        <w:shd w:val="clear" w:color="auto" w:fill="EFEFEF" w:themeFill="accent2" w:themeFillTint="32"/>
      </w:tcPr>
    </w:tblStylePr>
    <w:tblStylePr w:type="band2Horz">
      <w:rPr>
        <w:rFonts w:ascii="Arial" w:hAnsi="Arial"/>
        <w:color w:val="D1D1D1" w:themeColor="accent2" w:themeTint="97" w:themeShade="95"/>
        <w:sz w:val="22"/>
      </w:rPr>
    </w:tblStylePr>
  </w:style>
  <w:style w:type="table" w:customStyle="1" w:styleId="GridTable7Colorful-Accent31">
    <w:name w:val="Grid Table 7 Colorful - Accent 31"/>
    <w:basedOn w:val="TableNormal"/>
    <w:uiPriority w:val="99"/>
    <w:pPr>
      <w:spacing w:line="240" w:lineRule="auto"/>
    </w:pPr>
    <w:tblPr>
      <w:tblStyleRowBandSize w:val="1"/>
      <w:tblStyleColBandSize w:val="1"/>
      <w:tblBorders>
        <w:bottom w:val="single" w:sz="4" w:space="0" w:color="969696" w:themeColor="accent3" w:themeTint="FE"/>
        <w:right w:val="single" w:sz="4" w:space="0" w:color="969696" w:themeColor="accent3" w:themeTint="FE"/>
        <w:insideH w:val="single" w:sz="4" w:space="0" w:color="969696" w:themeColor="accent3" w:themeTint="FE"/>
        <w:insideV w:val="single" w:sz="4" w:space="0" w:color="969696" w:themeColor="accent3" w:themeTint="FE"/>
      </w:tblBorders>
    </w:tblPr>
    <w:tblStylePr w:type="firstRow">
      <w:rPr>
        <w:rFonts w:ascii="Arial" w:hAnsi="Arial"/>
        <w:b/>
        <w:color w:val="969696" w:themeColor="accent3" w:themeTint="FE" w:themeShade="95"/>
        <w:sz w:val="22"/>
      </w:rPr>
      <w:tblPr/>
      <w:tcPr>
        <w:tcBorders>
          <w:top w:val="none" w:sz="0" w:space="0" w:color="auto"/>
          <w:left w:val="none" w:sz="0" w:space="0" w:color="auto"/>
          <w:bottom w:val="single" w:sz="4" w:space="0" w:color="969696" w:themeColor="accent3" w:themeTint="FE"/>
          <w:right w:val="none" w:sz="0" w:space="0" w:color="auto"/>
        </w:tcBorders>
        <w:shd w:val="clear" w:color="auto" w:fill="FFFFFF" w:themeFill="light1"/>
      </w:tcPr>
    </w:tblStylePr>
    <w:tblStylePr w:type="lastRow">
      <w:rPr>
        <w:rFonts w:ascii="Arial" w:hAnsi="Arial"/>
        <w:b/>
        <w:color w:val="969696" w:themeColor="accent3" w:themeTint="FE" w:themeShade="95"/>
        <w:sz w:val="22"/>
      </w:rPr>
      <w:tblPr/>
      <w:tcPr>
        <w:tcBorders>
          <w:top w:val="single" w:sz="4" w:space="0" w:color="969696" w:themeColor="accent3" w:themeTint="FE"/>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969696" w:themeColor="accent3" w:themeTint="FE" w:themeShade="95"/>
        <w:sz w:val="22"/>
      </w:rPr>
      <w:tblPr/>
      <w:tcPr>
        <w:tcBorders>
          <w:top w:val="none" w:sz="0" w:space="0" w:color="auto"/>
          <w:left w:val="none" w:sz="0" w:space="0" w:color="auto"/>
          <w:bottom w:val="none" w:sz="0" w:space="0" w:color="auto"/>
          <w:right w:val="single" w:sz="4" w:space="0" w:color="969696" w:themeColor="accent3" w:themeTint="FE"/>
        </w:tcBorders>
        <w:shd w:val="clear" w:color="auto" w:fill="FFFFFF"/>
      </w:tcPr>
    </w:tblStylePr>
    <w:tblStylePr w:type="lastCol">
      <w:rPr>
        <w:rFonts w:ascii="Arial" w:hAnsi="Arial"/>
        <w:i/>
        <w:color w:val="969696" w:themeColor="accent3" w:themeTint="FE" w:themeShade="95"/>
        <w:sz w:val="22"/>
      </w:rPr>
      <w:tblPr/>
      <w:tcPr>
        <w:tcBorders>
          <w:top w:val="none" w:sz="0" w:space="0" w:color="auto"/>
          <w:left w:val="single" w:sz="4" w:space="0" w:color="969696" w:themeColor="accent3" w:themeTint="FE"/>
          <w:bottom w:val="none" w:sz="0" w:space="0" w:color="auto"/>
          <w:right w:val="none" w:sz="0" w:space="0" w:color="auto"/>
        </w:tcBorders>
        <w:shd w:val="clear" w:color="auto" w:fill="FFFFFF"/>
      </w:tcPr>
    </w:tblStylePr>
    <w:tblStylePr w:type="band1Vert">
      <w:tblPr/>
      <w:tcPr>
        <w:shd w:val="clear" w:color="auto" w:fill="E9E9E9" w:themeFill="accent3" w:themeFillTint="34"/>
      </w:tcPr>
    </w:tblStylePr>
    <w:tblStylePr w:type="band1Horz">
      <w:rPr>
        <w:rFonts w:ascii="Arial" w:hAnsi="Arial"/>
        <w:color w:val="969696" w:themeColor="accent3" w:themeTint="FE" w:themeShade="95"/>
        <w:sz w:val="22"/>
      </w:rPr>
      <w:tblPr/>
      <w:tcPr>
        <w:shd w:val="clear" w:color="auto" w:fill="E9E9E9" w:themeFill="accent3" w:themeFillTint="34"/>
      </w:tcPr>
    </w:tblStylePr>
    <w:tblStylePr w:type="band2Horz">
      <w:rPr>
        <w:rFonts w:ascii="Arial" w:hAnsi="Arial"/>
        <w:color w:val="969696" w:themeColor="accent3" w:themeTint="FE" w:themeShade="95"/>
        <w:sz w:val="22"/>
      </w:rPr>
    </w:tblStylePr>
  </w:style>
  <w:style w:type="table" w:customStyle="1" w:styleId="GridTable7Colorful-Accent41">
    <w:name w:val="Grid Table 7 Colorful - Accent 41"/>
    <w:basedOn w:val="TableNormal"/>
    <w:uiPriority w:val="99"/>
    <w:pPr>
      <w:spacing w:line="240" w:lineRule="auto"/>
    </w:pPr>
    <w:tblPr>
      <w:tblStyleRowBandSize w:val="1"/>
      <w:tblStyleColBandSize w:val="1"/>
      <w:tblBorders>
        <w:bottom w:val="single" w:sz="4" w:space="0" w:color="B2B2B2" w:themeColor="accent4" w:themeTint="9A"/>
        <w:right w:val="single" w:sz="4" w:space="0" w:color="B2B2B2" w:themeColor="accent4" w:themeTint="9A"/>
        <w:insideH w:val="single" w:sz="4" w:space="0" w:color="B2B2B2" w:themeColor="accent4" w:themeTint="9A"/>
        <w:insideV w:val="single" w:sz="4" w:space="0" w:color="B2B2B2" w:themeColor="accent4" w:themeTint="9A"/>
      </w:tblBorders>
    </w:tblPr>
    <w:tblStylePr w:type="firstRow">
      <w:rPr>
        <w:rFonts w:ascii="Arial" w:hAnsi="Arial"/>
        <w:b/>
        <w:color w:val="B2B2B2" w:themeColor="accent4" w:themeTint="9A" w:themeShade="95"/>
        <w:sz w:val="22"/>
      </w:rPr>
      <w:tblPr/>
      <w:tcPr>
        <w:tcBorders>
          <w:top w:val="none" w:sz="0" w:space="0" w:color="auto"/>
          <w:left w:val="none" w:sz="0" w:space="0" w:color="auto"/>
          <w:bottom w:val="single" w:sz="4" w:space="0" w:color="B2B2B2" w:themeColor="accent4" w:themeTint="9A"/>
          <w:right w:val="none" w:sz="0" w:space="0" w:color="auto"/>
        </w:tcBorders>
        <w:shd w:val="clear" w:color="auto" w:fill="FFFFFF" w:themeFill="light1"/>
      </w:tcPr>
    </w:tblStylePr>
    <w:tblStylePr w:type="lastRow">
      <w:rPr>
        <w:rFonts w:ascii="Arial" w:hAnsi="Arial"/>
        <w:b/>
        <w:color w:val="B2B2B2" w:themeColor="accent4" w:themeTint="9A" w:themeShade="95"/>
        <w:sz w:val="22"/>
      </w:rPr>
      <w:tblPr/>
      <w:tcPr>
        <w:tcBorders>
          <w:top w:val="single" w:sz="4" w:space="0" w:color="B2B2B2"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B2B2B2" w:themeColor="accent4" w:themeTint="9A" w:themeShade="95"/>
        <w:sz w:val="22"/>
      </w:rPr>
      <w:tblPr/>
      <w:tcPr>
        <w:tcBorders>
          <w:top w:val="none" w:sz="0" w:space="0" w:color="auto"/>
          <w:left w:val="none" w:sz="0" w:space="0" w:color="auto"/>
          <w:bottom w:val="none" w:sz="0" w:space="0" w:color="auto"/>
          <w:right w:val="single" w:sz="4" w:space="0" w:color="B2B2B2" w:themeColor="accent4" w:themeTint="9A"/>
        </w:tcBorders>
        <w:shd w:val="clear" w:color="auto" w:fill="FFFFFF"/>
      </w:tcPr>
    </w:tblStylePr>
    <w:tblStylePr w:type="lastCol">
      <w:rPr>
        <w:rFonts w:ascii="Arial" w:hAnsi="Arial"/>
        <w:i/>
        <w:color w:val="B2B2B2" w:themeColor="accent4" w:themeTint="9A" w:themeShade="95"/>
        <w:sz w:val="22"/>
      </w:rPr>
      <w:tblPr/>
      <w:tcPr>
        <w:tcBorders>
          <w:top w:val="none" w:sz="0" w:space="0" w:color="auto"/>
          <w:left w:val="single" w:sz="4" w:space="0" w:color="B2B2B2" w:themeColor="accent4" w:themeTint="9A"/>
          <w:bottom w:val="none" w:sz="0" w:space="0" w:color="auto"/>
          <w:right w:val="none" w:sz="0" w:space="0" w:color="auto"/>
        </w:tcBorders>
        <w:shd w:val="clear" w:color="auto" w:fill="FFFFFF"/>
      </w:tcPr>
    </w:tblStylePr>
    <w:tblStylePr w:type="band1Vert">
      <w:tblPr/>
      <w:tcPr>
        <w:shd w:val="clear" w:color="auto" w:fill="E5E5E5" w:themeFill="accent4" w:themeFillTint="34"/>
      </w:tcPr>
    </w:tblStylePr>
    <w:tblStylePr w:type="band1Horz">
      <w:rPr>
        <w:rFonts w:ascii="Arial" w:hAnsi="Arial"/>
        <w:color w:val="B2B2B2" w:themeColor="accent4" w:themeTint="9A" w:themeShade="95"/>
        <w:sz w:val="22"/>
      </w:rPr>
      <w:tblPr/>
      <w:tcPr>
        <w:shd w:val="clear" w:color="auto" w:fill="E5E5E5" w:themeFill="accent4" w:themeFillTint="34"/>
      </w:tcPr>
    </w:tblStylePr>
    <w:tblStylePr w:type="band2Horz">
      <w:rPr>
        <w:rFonts w:ascii="Arial" w:hAnsi="Arial"/>
        <w:color w:val="B2B2B2" w:themeColor="accent4" w:themeTint="9A" w:themeShade="95"/>
        <w:sz w:val="22"/>
      </w:rPr>
    </w:tblStylePr>
  </w:style>
  <w:style w:type="table" w:customStyle="1" w:styleId="GridTable7Colorful-Accent51">
    <w:name w:val="Grid Table 7 Colorful - Accent 51"/>
    <w:basedOn w:val="TableNormal"/>
    <w:uiPriority w:val="99"/>
    <w:pPr>
      <w:spacing w:line="240" w:lineRule="auto"/>
    </w:pPr>
    <w:tblPr>
      <w:tblStyleRowBandSize w:val="1"/>
      <w:tblStyleColBandSize w:val="1"/>
      <w:tblBorders>
        <w:bottom w:val="single" w:sz="4" w:space="0" w:color="A4A4A4" w:themeColor="accent5" w:themeTint="90"/>
        <w:right w:val="single" w:sz="4" w:space="0" w:color="A4A4A4" w:themeColor="accent5" w:themeTint="90"/>
        <w:insideH w:val="single" w:sz="4" w:space="0" w:color="A4A4A4" w:themeColor="accent5" w:themeTint="90"/>
        <w:insideV w:val="single" w:sz="4" w:space="0" w:color="A4A4A4" w:themeColor="accent5" w:themeTint="90"/>
      </w:tblBorders>
    </w:tblPr>
    <w:tblStylePr w:type="firstRow">
      <w:rPr>
        <w:rFonts w:ascii="Arial" w:hAnsi="Arial"/>
        <w:b/>
        <w:color w:val="373737" w:themeColor="accent5" w:themeShade="95"/>
        <w:sz w:val="22"/>
      </w:rPr>
      <w:tblPr/>
      <w:tcPr>
        <w:tcBorders>
          <w:top w:val="none" w:sz="0" w:space="0" w:color="auto"/>
          <w:left w:val="none" w:sz="0" w:space="0" w:color="auto"/>
          <w:bottom w:val="single" w:sz="4" w:space="0" w:color="A4A4A4" w:themeColor="accent5" w:themeTint="90"/>
          <w:right w:val="none" w:sz="0" w:space="0" w:color="auto"/>
        </w:tcBorders>
        <w:shd w:val="clear" w:color="auto" w:fill="FFFFFF" w:themeFill="light1"/>
      </w:tcPr>
    </w:tblStylePr>
    <w:tblStylePr w:type="lastRow">
      <w:rPr>
        <w:rFonts w:ascii="Arial" w:hAnsi="Arial"/>
        <w:b/>
        <w:color w:val="373737" w:themeColor="accent5" w:themeShade="95"/>
        <w:sz w:val="22"/>
      </w:rPr>
      <w:tblPr/>
      <w:tcPr>
        <w:tcBorders>
          <w:top w:val="single" w:sz="4" w:space="0" w:color="A4A4A4" w:themeColor="accent5"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373737" w:themeColor="accent5" w:themeShade="95"/>
        <w:sz w:val="22"/>
      </w:rPr>
      <w:tblPr/>
      <w:tcPr>
        <w:tcBorders>
          <w:top w:val="none" w:sz="0" w:space="0" w:color="auto"/>
          <w:left w:val="none" w:sz="0" w:space="0" w:color="auto"/>
          <w:bottom w:val="none" w:sz="0" w:space="0" w:color="auto"/>
          <w:right w:val="single" w:sz="4" w:space="0" w:color="A4A4A4" w:themeColor="accent5" w:themeTint="90"/>
        </w:tcBorders>
        <w:shd w:val="clear" w:color="auto" w:fill="FFFFFF"/>
      </w:tcPr>
    </w:tblStylePr>
    <w:tblStylePr w:type="lastCol">
      <w:rPr>
        <w:rFonts w:ascii="Arial" w:hAnsi="Arial"/>
        <w:i/>
        <w:color w:val="373737" w:themeColor="accent5" w:themeShade="95"/>
        <w:sz w:val="22"/>
      </w:rPr>
      <w:tblPr/>
      <w:tcPr>
        <w:tcBorders>
          <w:top w:val="none" w:sz="0" w:space="0" w:color="auto"/>
          <w:left w:val="single" w:sz="4" w:space="0" w:color="A4A4A4" w:themeColor="accent5" w:themeTint="90"/>
          <w:bottom w:val="none" w:sz="0" w:space="0" w:color="auto"/>
          <w:right w:val="none" w:sz="0" w:space="0" w:color="auto"/>
        </w:tcBorders>
        <w:shd w:val="clear" w:color="auto" w:fill="FFFFFF"/>
      </w:tcPr>
    </w:tblStylePr>
    <w:tblStylePr w:type="band1Vert">
      <w:tblPr/>
      <w:tcPr>
        <w:shd w:val="clear" w:color="auto" w:fill="DEDEDE" w:themeFill="accent5" w:themeFillTint="34"/>
      </w:tcPr>
    </w:tblStylePr>
    <w:tblStylePr w:type="band1Horz">
      <w:rPr>
        <w:rFonts w:ascii="Arial" w:hAnsi="Arial"/>
        <w:color w:val="373737" w:themeColor="accent5" w:themeShade="95"/>
        <w:sz w:val="22"/>
      </w:rPr>
      <w:tblPr/>
      <w:tcPr>
        <w:shd w:val="clear" w:color="auto" w:fill="DEDEDE" w:themeFill="accent5" w:themeFillTint="34"/>
      </w:tcPr>
    </w:tblStylePr>
    <w:tblStylePr w:type="band2Horz">
      <w:rPr>
        <w:rFonts w:ascii="Arial" w:hAnsi="Arial"/>
        <w:color w:val="373737" w:themeColor="accent5" w:themeShade="95"/>
        <w:sz w:val="22"/>
      </w:rPr>
    </w:tblStylePr>
  </w:style>
  <w:style w:type="table" w:customStyle="1" w:styleId="GridTable7Colorful-Accent61">
    <w:name w:val="Grid Table 7 Colorful - Accent 61"/>
    <w:basedOn w:val="TableNormal"/>
    <w:uiPriority w:val="99"/>
    <w:pPr>
      <w:spacing w:line="240" w:lineRule="auto"/>
    </w:pPr>
    <w:tblPr>
      <w:tblStyleRowBandSize w:val="1"/>
      <w:tblStyleColBandSize w:val="1"/>
      <w:tblBorders>
        <w:bottom w:val="single" w:sz="4" w:space="0" w:color="9A9A9A" w:themeColor="accent6" w:themeTint="90"/>
        <w:right w:val="single" w:sz="4" w:space="0" w:color="9A9A9A" w:themeColor="accent6" w:themeTint="90"/>
        <w:insideH w:val="single" w:sz="4" w:space="0" w:color="9A9A9A" w:themeColor="accent6" w:themeTint="90"/>
        <w:insideV w:val="single" w:sz="4" w:space="0" w:color="9A9A9A" w:themeColor="accent6" w:themeTint="90"/>
      </w:tblBorders>
    </w:tblPr>
    <w:tblStylePr w:type="firstRow">
      <w:rPr>
        <w:rFonts w:ascii="Arial" w:hAnsi="Arial"/>
        <w:b/>
        <w:color w:val="2C2C2C" w:themeColor="accent6" w:themeShade="95"/>
        <w:sz w:val="22"/>
      </w:rPr>
      <w:tblPr/>
      <w:tcPr>
        <w:tcBorders>
          <w:top w:val="none" w:sz="0" w:space="0" w:color="auto"/>
          <w:left w:val="none" w:sz="0" w:space="0" w:color="auto"/>
          <w:bottom w:val="single" w:sz="4" w:space="0" w:color="9A9A9A" w:themeColor="accent6" w:themeTint="90"/>
          <w:right w:val="none" w:sz="0" w:space="0" w:color="auto"/>
        </w:tcBorders>
        <w:shd w:val="clear" w:color="auto" w:fill="FFFFFF" w:themeFill="light1"/>
      </w:tcPr>
    </w:tblStylePr>
    <w:tblStylePr w:type="lastRow">
      <w:rPr>
        <w:rFonts w:ascii="Arial" w:hAnsi="Arial"/>
        <w:b/>
        <w:color w:val="2C2C2C" w:themeColor="accent6" w:themeShade="95"/>
        <w:sz w:val="22"/>
      </w:rPr>
      <w:tblPr/>
      <w:tcPr>
        <w:tcBorders>
          <w:top w:val="single" w:sz="4" w:space="0" w:color="9A9A9A" w:themeColor="accent6"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C2C2C" w:themeColor="accent6" w:themeShade="95"/>
        <w:sz w:val="22"/>
      </w:rPr>
      <w:tblPr/>
      <w:tcPr>
        <w:tcBorders>
          <w:top w:val="none" w:sz="0" w:space="0" w:color="auto"/>
          <w:left w:val="none" w:sz="0" w:space="0" w:color="auto"/>
          <w:bottom w:val="none" w:sz="0" w:space="0" w:color="auto"/>
          <w:right w:val="single" w:sz="4" w:space="0" w:color="9A9A9A" w:themeColor="accent6" w:themeTint="90"/>
        </w:tcBorders>
        <w:shd w:val="clear" w:color="auto" w:fill="FFFFFF"/>
      </w:tcPr>
    </w:tblStylePr>
    <w:tblStylePr w:type="lastCol">
      <w:rPr>
        <w:rFonts w:ascii="Arial" w:hAnsi="Arial"/>
        <w:i/>
        <w:color w:val="2C2C2C" w:themeColor="accent6" w:themeShade="95"/>
        <w:sz w:val="22"/>
      </w:rPr>
      <w:tblPr/>
      <w:tcPr>
        <w:tcBorders>
          <w:top w:val="none" w:sz="0" w:space="0" w:color="auto"/>
          <w:left w:val="single" w:sz="4" w:space="0" w:color="9A9A9A" w:themeColor="accent6" w:themeTint="90"/>
          <w:bottom w:val="none" w:sz="0" w:space="0" w:color="auto"/>
          <w:right w:val="none" w:sz="0" w:space="0" w:color="auto"/>
        </w:tcBorders>
        <w:shd w:val="clear" w:color="auto" w:fill="FFFFFF"/>
      </w:tcPr>
    </w:tblStylePr>
    <w:tblStylePr w:type="band1Vert">
      <w:tblPr/>
      <w:tcPr>
        <w:shd w:val="clear" w:color="auto" w:fill="DADADA" w:themeFill="accent6" w:themeFillTint="34"/>
      </w:tcPr>
    </w:tblStylePr>
    <w:tblStylePr w:type="band1Horz">
      <w:rPr>
        <w:rFonts w:ascii="Arial" w:hAnsi="Arial"/>
        <w:color w:val="2C2C2C" w:themeColor="accent6" w:themeShade="95"/>
        <w:sz w:val="22"/>
      </w:rPr>
      <w:tblPr/>
      <w:tcPr>
        <w:shd w:val="clear" w:color="auto" w:fill="DADADA" w:themeFill="accent6" w:themeFillTint="34"/>
      </w:tcPr>
    </w:tblStylePr>
    <w:tblStylePr w:type="band2Horz">
      <w:rPr>
        <w:rFonts w:ascii="Arial" w:hAnsi="Arial"/>
        <w:color w:val="2C2C2C" w:themeColor="accent6" w:themeShade="95"/>
        <w:sz w:val="22"/>
      </w:rPr>
    </w:tblStylePr>
  </w:style>
  <w:style w:type="table" w:styleId="ListTable1Light">
    <w:name w:val="List Table 1 Light"/>
    <w:basedOn w:val="TableNormal"/>
    <w:uiPriority w:val="99"/>
    <w:pPr>
      <w:spacing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BFBFBF" w:themeFill="text1" w:themeFillTint="40"/>
      </w:tcPr>
    </w:tblStylePr>
    <w:tblStylePr w:type="band1Horz">
      <w:tblPr/>
      <w:tcPr>
        <w:shd w:val="clear" w:color="auto" w:fill="BFBFBF" w:themeFill="text1" w:themeFillTint="40"/>
      </w:tcPr>
    </w:tblStylePr>
  </w:style>
  <w:style w:type="table" w:customStyle="1" w:styleId="ListTable1Light-Accent11">
    <w:name w:val="List Table 1 Light - Accent 11"/>
    <w:basedOn w:val="TableNormal"/>
    <w:uiPriority w:val="99"/>
    <w:pPr>
      <w:spacing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DDDDDD" w:themeColor="accent1"/>
          <w:right w:val="none" w:sz="4" w:space="0" w:color="000000"/>
        </w:tcBorders>
      </w:tcPr>
    </w:tblStylePr>
    <w:tblStylePr w:type="lastRow">
      <w:rPr>
        <w:b/>
        <w:color w:val="404040"/>
      </w:rPr>
      <w:tblPr/>
      <w:tcPr>
        <w:tcBorders>
          <w:top w:val="single" w:sz="4" w:space="0" w:color="DDDDD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6F6F6" w:themeFill="accent1" w:themeFillTint="40"/>
      </w:tcPr>
    </w:tblStylePr>
    <w:tblStylePr w:type="band1Horz">
      <w:tblPr/>
      <w:tcPr>
        <w:shd w:val="clear" w:color="auto" w:fill="F6F6F6" w:themeFill="accent1" w:themeFillTint="40"/>
      </w:tcPr>
    </w:tblStylePr>
  </w:style>
  <w:style w:type="table" w:customStyle="1" w:styleId="ListTable1Light-Accent21">
    <w:name w:val="List Table 1 Light - Accent 21"/>
    <w:basedOn w:val="TableNormal"/>
    <w:uiPriority w:val="99"/>
    <w:pPr>
      <w:spacing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B2B2B2" w:themeColor="accent2"/>
          <w:right w:val="none" w:sz="4" w:space="0" w:color="000000"/>
        </w:tcBorders>
      </w:tcPr>
    </w:tblStylePr>
    <w:tblStylePr w:type="lastRow">
      <w:rPr>
        <w:b/>
        <w:color w:val="404040"/>
      </w:rPr>
      <w:tblPr/>
      <w:tcPr>
        <w:tcBorders>
          <w:top w:val="single" w:sz="4" w:space="0" w:color="B2B2B2"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BEBEB" w:themeFill="accent2" w:themeFillTint="40"/>
      </w:tcPr>
    </w:tblStylePr>
    <w:tblStylePr w:type="band1Horz">
      <w:tblPr/>
      <w:tcPr>
        <w:shd w:val="clear" w:color="auto" w:fill="EBEBEB" w:themeFill="accent2" w:themeFillTint="40"/>
      </w:tcPr>
    </w:tblStylePr>
  </w:style>
  <w:style w:type="table" w:customStyle="1" w:styleId="ListTable1Light-Accent31">
    <w:name w:val="List Table 1 Light - Accent 31"/>
    <w:basedOn w:val="TableNormal"/>
    <w:uiPriority w:val="99"/>
    <w:pPr>
      <w:spacing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69696" w:themeColor="accent3"/>
          <w:right w:val="none" w:sz="4" w:space="0" w:color="000000"/>
        </w:tcBorders>
      </w:tcPr>
    </w:tblStylePr>
    <w:tblStylePr w:type="lastRow">
      <w:rPr>
        <w:b/>
        <w:color w:val="404040"/>
      </w:rPr>
      <w:tblPr/>
      <w:tcPr>
        <w:tcBorders>
          <w:top w:val="single" w:sz="4" w:space="0" w:color="969696"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4E4E4" w:themeFill="accent3" w:themeFillTint="40"/>
      </w:tcPr>
    </w:tblStylePr>
    <w:tblStylePr w:type="band1Horz">
      <w:tblPr/>
      <w:tcPr>
        <w:shd w:val="clear" w:color="auto" w:fill="E4E4E4" w:themeFill="accent3" w:themeFillTint="40"/>
      </w:tcPr>
    </w:tblStylePr>
  </w:style>
  <w:style w:type="table" w:customStyle="1" w:styleId="ListTable1Light-Accent41">
    <w:name w:val="List Table 1 Light - Accent 41"/>
    <w:basedOn w:val="TableNormal"/>
    <w:uiPriority w:val="99"/>
    <w:pPr>
      <w:spacing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808080" w:themeColor="accent4"/>
          <w:right w:val="none" w:sz="4" w:space="0" w:color="000000"/>
        </w:tcBorders>
      </w:tcPr>
    </w:tblStylePr>
    <w:tblStylePr w:type="lastRow">
      <w:rPr>
        <w:b/>
        <w:color w:val="404040"/>
      </w:rPr>
      <w:tblPr/>
      <w:tcPr>
        <w:tcBorders>
          <w:top w:val="single" w:sz="4" w:space="0" w:color="80808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FDFDF" w:themeFill="accent4" w:themeFillTint="40"/>
      </w:tcPr>
    </w:tblStylePr>
    <w:tblStylePr w:type="band1Horz">
      <w:tblPr/>
      <w:tcPr>
        <w:shd w:val="clear" w:color="auto" w:fill="DFDFDF" w:themeFill="accent4" w:themeFillTint="40"/>
      </w:tcPr>
    </w:tblStylePr>
  </w:style>
  <w:style w:type="table" w:customStyle="1" w:styleId="ListTable1Light-Accent51">
    <w:name w:val="List Table 1 Light - Accent 51"/>
    <w:basedOn w:val="TableNormal"/>
    <w:uiPriority w:val="99"/>
    <w:pPr>
      <w:spacing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F5F5F" w:themeColor="accent5"/>
          <w:right w:val="none" w:sz="4" w:space="0" w:color="000000"/>
        </w:tcBorders>
      </w:tcPr>
    </w:tblStylePr>
    <w:tblStylePr w:type="lastRow">
      <w:rPr>
        <w:b/>
        <w:color w:val="404040"/>
      </w:rPr>
      <w:tblPr/>
      <w:tcPr>
        <w:tcBorders>
          <w:top w:val="single" w:sz="4" w:space="0" w:color="5F5F5F"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6D6D6" w:themeFill="accent5" w:themeFillTint="40"/>
      </w:tcPr>
    </w:tblStylePr>
    <w:tblStylePr w:type="band1Horz">
      <w:tblPr/>
      <w:tcPr>
        <w:shd w:val="clear" w:color="auto" w:fill="D6D6D6" w:themeFill="accent5" w:themeFillTint="40"/>
      </w:tcPr>
    </w:tblStylePr>
  </w:style>
  <w:style w:type="table" w:customStyle="1" w:styleId="ListTable1Light-Accent61">
    <w:name w:val="List Table 1 Light - Accent 61"/>
    <w:basedOn w:val="TableNormal"/>
    <w:uiPriority w:val="99"/>
    <w:pPr>
      <w:spacing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D4D4D" w:themeColor="accent6"/>
          <w:right w:val="none" w:sz="4" w:space="0" w:color="000000"/>
        </w:tcBorders>
      </w:tcPr>
    </w:tblStylePr>
    <w:tblStylePr w:type="lastRow">
      <w:rPr>
        <w:b/>
        <w:color w:val="404040"/>
      </w:rPr>
      <w:tblPr/>
      <w:tcPr>
        <w:tcBorders>
          <w:top w:val="single" w:sz="4" w:space="0" w:color="4D4D4D"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2D2D2" w:themeFill="accent6" w:themeFillTint="40"/>
      </w:tcPr>
    </w:tblStylePr>
    <w:tblStylePr w:type="band1Horz">
      <w:tblPr/>
      <w:tcPr>
        <w:shd w:val="clear" w:color="auto" w:fill="D2D2D2" w:themeFill="accent6" w:themeFillTint="40"/>
      </w:tcPr>
    </w:tblStylePr>
  </w:style>
  <w:style w:type="table" w:styleId="ListTable2">
    <w:name w:val="List Table 2"/>
    <w:basedOn w:val="TableNormal"/>
    <w:uiPriority w:val="99"/>
    <w:pPr>
      <w:spacing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2-Accent11">
    <w:name w:val="List Table 2 - Accent 11"/>
    <w:basedOn w:val="TableNormal"/>
    <w:uiPriority w:val="99"/>
    <w:pPr>
      <w:spacing w:line="240" w:lineRule="auto"/>
    </w:pPr>
    <w:tblPr>
      <w:tblStyleRowBandSize w:val="1"/>
      <w:tblStyleColBandSize w:val="1"/>
      <w:tblBorders>
        <w:top w:val="single" w:sz="4" w:space="0" w:color="EBEBEB" w:themeColor="accent1" w:themeTint="90"/>
        <w:bottom w:val="single" w:sz="4" w:space="0" w:color="EBEBEB" w:themeColor="accent1" w:themeTint="90"/>
        <w:insideH w:val="single" w:sz="4" w:space="0" w:color="EBEBEB" w:themeColor="accent1" w:themeTint="90"/>
      </w:tblBorders>
    </w:tblPr>
    <w:tblStylePr w:type="firstRow">
      <w:rPr>
        <w:rFonts w:ascii="Arial" w:hAnsi="Arial"/>
        <w:b/>
        <w:color w:val="404040"/>
        <w:sz w:val="22"/>
      </w:rPr>
      <w:tblPr/>
      <w:tcPr>
        <w:tcBorders>
          <w:top w:val="single" w:sz="4" w:space="0" w:color="EBEBEB" w:themeColor="accent1" w:themeTint="90"/>
          <w:left w:val="none" w:sz="4" w:space="0" w:color="000000"/>
          <w:bottom w:val="single" w:sz="4" w:space="0" w:color="EBEBEB" w:themeColor="accent1" w:themeTint="90"/>
          <w:right w:val="none" w:sz="4" w:space="0" w:color="000000"/>
        </w:tcBorders>
      </w:tcPr>
    </w:tblStylePr>
    <w:tblStylePr w:type="lastRow">
      <w:rPr>
        <w:rFonts w:ascii="Arial" w:hAnsi="Arial"/>
        <w:b/>
        <w:color w:val="404040"/>
        <w:sz w:val="22"/>
      </w:rPr>
      <w:tblPr/>
      <w:tcPr>
        <w:tcBorders>
          <w:top w:val="single" w:sz="4" w:space="0" w:color="EBEBEB" w:themeColor="accent1" w:themeTint="90"/>
          <w:left w:val="none" w:sz="4" w:space="0" w:color="000000"/>
          <w:bottom w:val="single" w:sz="4" w:space="0" w:color="EBEBEB"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6F6F6" w:themeFill="accent1" w:themeFillTint="40"/>
      </w:tcPr>
    </w:tblStylePr>
    <w:tblStylePr w:type="band1Horz">
      <w:rPr>
        <w:rFonts w:ascii="Arial" w:hAnsi="Arial"/>
        <w:color w:val="404040"/>
        <w:sz w:val="22"/>
      </w:rPr>
      <w:tblPr/>
      <w:tcPr>
        <w:shd w:val="clear" w:color="auto" w:fill="F6F6F6" w:themeFill="accent1" w:themeFillTint="40"/>
      </w:tcPr>
    </w:tblStylePr>
  </w:style>
  <w:style w:type="table" w:customStyle="1" w:styleId="ListTable2-Accent21">
    <w:name w:val="List Table 2 - Accent 21"/>
    <w:basedOn w:val="TableNormal"/>
    <w:uiPriority w:val="99"/>
    <w:pPr>
      <w:spacing w:line="240" w:lineRule="auto"/>
    </w:pPr>
    <w:tblPr>
      <w:tblStyleRowBandSize w:val="1"/>
      <w:tblStyleColBandSize w:val="1"/>
      <w:tblBorders>
        <w:top w:val="single" w:sz="4" w:space="0" w:color="D3D3D3" w:themeColor="accent2" w:themeTint="90"/>
        <w:bottom w:val="single" w:sz="4" w:space="0" w:color="D3D3D3" w:themeColor="accent2" w:themeTint="90"/>
        <w:insideH w:val="single" w:sz="4" w:space="0" w:color="D3D3D3" w:themeColor="accent2" w:themeTint="90"/>
      </w:tblBorders>
    </w:tblPr>
    <w:tblStylePr w:type="firstRow">
      <w:rPr>
        <w:rFonts w:ascii="Arial" w:hAnsi="Arial"/>
        <w:b/>
        <w:color w:val="404040"/>
        <w:sz w:val="22"/>
      </w:rPr>
      <w:tblPr/>
      <w:tcPr>
        <w:tcBorders>
          <w:top w:val="single" w:sz="4" w:space="0" w:color="D3D3D3" w:themeColor="accent2" w:themeTint="90"/>
          <w:left w:val="none" w:sz="4" w:space="0" w:color="000000"/>
          <w:bottom w:val="single" w:sz="4" w:space="0" w:color="D3D3D3" w:themeColor="accent2" w:themeTint="90"/>
          <w:right w:val="none" w:sz="4" w:space="0" w:color="000000"/>
        </w:tcBorders>
      </w:tcPr>
    </w:tblStylePr>
    <w:tblStylePr w:type="lastRow">
      <w:rPr>
        <w:rFonts w:ascii="Arial" w:hAnsi="Arial"/>
        <w:b/>
        <w:color w:val="404040"/>
        <w:sz w:val="22"/>
      </w:rPr>
      <w:tblPr/>
      <w:tcPr>
        <w:tcBorders>
          <w:top w:val="single" w:sz="4" w:space="0" w:color="D3D3D3" w:themeColor="accent2" w:themeTint="90"/>
          <w:left w:val="none" w:sz="4" w:space="0" w:color="000000"/>
          <w:bottom w:val="single" w:sz="4" w:space="0" w:color="D3D3D3"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BEBEB" w:themeFill="accent2" w:themeFillTint="40"/>
      </w:tcPr>
    </w:tblStylePr>
    <w:tblStylePr w:type="band1Horz">
      <w:rPr>
        <w:rFonts w:ascii="Arial" w:hAnsi="Arial"/>
        <w:color w:val="404040"/>
        <w:sz w:val="22"/>
      </w:rPr>
      <w:tblPr/>
      <w:tcPr>
        <w:shd w:val="clear" w:color="auto" w:fill="EBEBEB" w:themeFill="accent2" w:themeFillTint="40"/>
      </w:tcPr>
    </w:tblStylePr>
  </w:style>
  <w:style w:type="table" w:customStyle="1" w:styleId="ListTable2-Accent31">
    <w:name w:val="List Table 2 - Accent 31"/>
    <w:basedOn w:val="TableNormal"/>
    <w:uiPriority w:val="99"/>
    <w:pPr>
      <w:spacing w:line="240" w:lineRule="auto"/>
    </w:pPr>
    <w:tblPr>
      <w:tblStyleRowBandSize w:val="1"/>
      <w:tblStyleColBandSize w:val="1"/>
      <w:tblBorders>
        <w:top w:val="single" w:sz="4" w:space="0" w:color="C3C3C3" w:themeColor="accent3" w:themeTint="90"/>
        <w:bottom w:val="single" w:sz="4" w:space="0" w:color="C3C3C3" w:themeColor="accent3" w:themeTint="90"/>
        <w:insideH w:val="single" w:sz="4" w:space="0" w:color="C3C3C3" w:themeColor="accent3" w:themeTint="90"/>
      </w:tblBorders>
    </w:tblPr>
    <w:tblStylePr w:type="firstRow">
      <w:rPr>
        <w:rFonts w:ascii="Arial" w:hAnsi="Arial"/>
        <w:b/>
        <w:color w:val="404040"/>
        <w:sz w:val="22"/>
      </w:rPr>
      <w:tblPr/>
      <w:tcPr>
        <w:tcBorders>
          <w:top w:val="single" w:sz="4" w:space="0" w:color="C3C3C3" w:themeColor="accent3" w:themeTint="90"/>
          <w:left w:val="none" w:sz="4" w:space="0" w:color="000000"/>
          <w:bottom w:val="single" w:sz="4" w:space="0" w:color="C3C3C3" w:themeColor="accent3" w:themeTint="90"/>
          <w:right w:val="none" w:sz="4" w:space="0" w:color="000000"/>
        </w:tcBorders>
      </w:tcPr>
    </w:tblStylePr>
    <w:tblStylePr w:type="lastRow">
      <w:rPr>
        <w:rFonts w:ascii="Arial" w:hAnsi="Arial"/>
        <w:b/>
        <w:color w:val="404040"/>
        <w:sz w:val="22"/>
      </w:rPr>
      <w:tblPr/>
      <w:tcPr>
        <w:tcBorders>
          <w:top w:val="single" w:sz="4" w:space="0" w:color="C3C3C3" w:themeColor="accent3" w:themeTint="90"/>
          <w:left w:val="none" w:sz="4" w:space="0" w:color="000000"/>
          <w:bottom w:val="single" w:sz="4" w:space="0" w:color="C3C3C3"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4E4E4" w:themeFill="accent3" w:themeFillTint="40"/>
      </w:tcPr>
    </w:tblStylePr>
    <w:tblStylePr w:type="band1Horz">
      <w:rPr>
        <w:rFonts w:ascii="Arial" w:hAnsi="Arial"/>
        <w:color w:val="404040"/>
        <w:sz w:val="22"/>
      </w:rPr>
      <w:tblPr/>
      <w:tcPr>
        <w:shd w:val="clear" w:color="auto" w:fill="E4E4E4" w:themeFill="accent3" w:themeFillTint="40"/>
      </w:tcPr>
    </w:tblStylePr>
  </w:style>
  <w:style w:type="table" w:customStyle="1" w:styleId="ListTable2-Accent41">
    <w:name w:val="List Table 2 - Accent 41"/>
    <w:basedOn w:val="TableNormal"/>
    <w:uiPriority w:val="99"/>
    <w:pPr>
      <w:spacing w:line="240" w:lineRule="auto"/>
    </w:pPr>
    <w:tblPr>
      <w:tblStyleRowBandSize w:val="1"/>
      <w:tblStyleColBandSize w:val="1"/>
      <w:tblBorders>
        <w:top w:val="single" w:sz="4" w:space="0" w:color="B7B7B7" w:themeColor="accent4" w:themeTint="90"/>
        <w:bottom w:val="single" w:sz="4" w:space="0" w:color="B7B7B7" w:themeColor="accent4" w:themeTint="90"/>
        <w:insideH w:val="single" w:sz="4" w:space="0" w:color="B7B7B7" w:themeColor="accent4" w:themeTint="90"/>
      </w:tblBorders>
    </w:tblPr>
    <w:tblStylePr w:type="firstRow">
      <w:rPr>
        <w:rFonts w:ascii="Arial" w:hAnsi="Arial"/>
        <w:b/>
        <w:color w:val="404040"/>
        <w:sz w:val="22"/>
      </w:rPr>
      <w:tblPr/>
      <w:tcPr>
        <w:tcBorders>
          <w:top w:val="single" w:sz="4" w:space="0" w:color="B7B7B7" w:themeColor="accent4" w:themeTint="90"/>
          <w:left w:val="none" w:sz="4" w:space="0" w:color="000000"/>
          <w:bottom w:val="single" w:sz="4" w:space="0" w:color="B7B7B7" w:themeColor="accent4" w:themeTint="90"/>
          <w:right w:val="none" w:sz="4" w:space="0" w:color="000000"/>
        </w:tcBorders>
      </w:tcPr>
    </w:tblStylePr>
    <w:tblStylePr w:type="lastRow">
      <w:rPr>
        <w:rFonts w:ascii="Arial" w:hAnsi="Arial"/>
        <w:b/>
        <w:color w:val="404040"/>
        <w:sz w:val="22"/>
      </w:rPr>
      <w:tblPr/>
      <w:tcPr>
        <w:tcBorders>
          <w:top w:val="single" w:sz="4" w:space="0" w:color="B7B7B7" w:themeColor="accent4" w:themeTint="90"/>
          <w:left w:val="none" w:sz="4" w:space="0" w:color="000000"/>
          <w:bottom w:val="single" w:sz="4" w:space="0" w:color="B7B7B7"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FDFDF" w:themeFill="accent4" w:themeFillTint="40"/>
      </w:tcPr>
    </w:tblStylePr>
    <w:tblStylePr w:type="band1Horz">
      <w:rPr>
        <w:rFonts w:ascii="Arial" w:hAnsi="Arial"/>
        <w:color w:val="404040"/>
        <w:sz w:val="22"/>
      </w:rPr>
      <w:tblPr/>
      <w:tcPr>
        <w:shd w:val="clear" w:color="auto" w:fill="DFDFDF" w:themeFill="accent4" w:themeFillTint="40"/>
      </w:tcPr>
    </w:tblStylePr>
  </w:style>
  <w:style w:type="table" w:customStyle="1" w:styleId="ListTable2-Accent51">
    <w:name w:val="List Table 2 - Accent 51"/>
    <w:basedOn w:val="TableNormal"/>
    <w:uiPriority w:val="99"/>
    <w:pPr>
      <w:spacing w:line="240" w:lineRule="auto"/>
    </w:pPr>
    <w:tblPr>
      <w:tblStyleRowBandSize w:val="1"/>
      <w:tblStyleColBandSize w:val="1"/>
      <w:tblBorders>
        <w:top w:val="single" w:sz="4" w:space="0" w:color="A4A4A4" w:themeColor="accent5" w:themeTint="90"/>
        <w:bottom w:val="single" w:sz="4" w:space="0" w:color="A4A4A4" w:themeColor="accent5" w:themeTint="90"/>
        <w:insideH w:val="single" w:sz="4" w:space="0" w:color="A4A4A4" w:themeColor="accent5" w:themeTint="90"/>
      </w:tblBorders>
    </w:tblPr>
    <w:tblStylePr w:type="firstRow">
      <w:rPr>
        <w:rFonts w:ascii="Arial" w:hAnsi="Arial"/>
        <w:b/>
        <w:color w:val="404040"/>
        <w:sz w:val="22"/>
      </w:rPr>
      <w:tblPr/>
      <w:tcPr>
        <w:tcBorders>
          <w:top w:val="single" w:sz="4" w:space="0" w:color="A4A4A4" w:themeColor="accent5" w:themeTint="90"/>
          <w:left w:val="none" w:sz="4" w:space="0" w:color="000000"/>
          <w:bottom w:val="single" w:sz="4" w:space="0" w:color="A4A4A4" w:themeColor="accent5" w:themeTint="90"/>
          <w:right w:val="none" w:sz="4" w:space="0" w:color="000000"/>
        </w:tcBorders>
      </w:tcPr>
    </w:tblStylePr>
    <w:tblStylePr w:type="lastRow">
      <w:rPr>
        <w:rFonts w:ascii="Arial" w:hAnsi="Arial"/>
        <w:b/>
        <w:color w:val="404040"/>
        <w:sz w:val="22"/>
      </w:rPr>
      <w:tblPr/>
      <w:tcPr>
        <w:tcBorders>
          <w:top w:val="single" w:sz="4" w:space="0" w:color="A4A4A4" w:themeColor="accent5" w:themeTint="90"/>
          <w:left w:val="none" w:sz="4" w:space="0" w:color="000000"/>
          <w:bottom w:val="single" w:sz="4" w:space="0" w:color="A4A4A4"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6D6D6" w:themeFill="accent5" w:themeFillTint="40"/>
      </w:tcPr>
    </w:tblStylePr>
    <w:tblStylePr w:type="band1Horz">
      <w:rPr>
        <w:rFonts w:ascii="Arial" w:hAnsi="Arial"/>
        <w:color w:val="404040"/>
        <w:sz w:val="22"/>
      </w:rPr>
      <w:tblPr/>
      <w:tcPr>
        <w:shd w:val="clear" w:color="auto" w:fill="D6D6D6" w:themeFill="accent5" w:themeFillTint="40"/>
      </w:tcPr>
    </w:tblStylePr>
  </w:style>
  <w:style w:type="table" w:customStyle="1" w:styleId="ListTable2-Accent61">
    <w:name w:val="List Table 2 - Accent 61"/>
    <w:basedOn w:val="TableNormal"/>
    <w:uiPriority w:val="99"/>
    <w:pPr>
      <w:spacing w:line="240" w:lineRule="auto"/>
    </w:pPr>
    <w:tblPr>
      <w:tblStyleRowBandSize w:val="1"/>
      <w:tblStyleColBandSize w:val="1"/>
      <w:tblBorders>
        <w:top w:val="single" w:sz="4" w:space="0" w:color="9A9A9A" w:themeColor="accent6" w:themeTint="90"/>
        <w:bottom w:val="single" w:sz="4" w:space="0" w:color="9A9A9A" w:themeColor="accent6" w:themeTint="90"/>
        <w:insideH w:val="single" w:sz="4" w:space="0" w:color="9A9A9A" w:themeColor="accent6" w:themeTint="90"/>
      </w:tblBorders>
    </w:tblPr>
    <w:tblStylePr w:type="firstRow">
      <w:rPr>
        <w:rFonts w:ascii="Arial" w:hAnsi="Arial"/>
        <w:b/>
        <w:color w:val="404040"/>
        <w:sz w:val="22"/>
      </w:rPr>
      <w:tblPr/>
      <w:tcPr>
        <w:tcBorders>
          <w:top w:val="single" w:sz="4" w:space="0" w:color="9A9A9A" w:themeColor="accent6" w:themeTint="90"/>
          <w:left w:val="none" w:sz="4" w:space="0" w:color="000000"/>
          <w:bottom w:val="single" w:sz="4" w:space="0" w:color="9A9A9A" w:themeColor="accent6" w:themeTint="90"/>
          <w:right w:val="none" w:sz="4" w:space="0" w:color="000000"/>
        </w:tcBorders>
      </w:tcPr>
    </w:tblStylePr>
    <w:tblStylePr w:type="lastRow">
      <w:rPr>
        <w:rFonts w:ascii="Arial" w:hAnsi="Arial"/>
        <w:b/>
        <w:color w:val="404040"/>
        <w:sz w:val="22"/>
      </w:rPr>
      <w:tblPr/>
      <w:tcPr>
        <w:tcBorders>
          <w:top w:val="single" w:sz="4" w:space="0" w:color="9A9A9A" w:themeColor="accent6" w:themeTint="90"/>
          <w:left w:val="none" w:sz="4" w:space="0" w:color="000000"/>
          <w:bottom w:val="single" w:sz="4" w:space="0" w:color="9A9A9A"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2D2D2" w:themeFill="accent6" w:themeFillTint="40"/>
      </w:tcPr>
    </w:tblStylePr>
    <w:tblStylePr w:type="band1Horz">
      <w:rPr>
        <w:rFonts w:ascii="Arial" w:hAnsi="Arial"/>
        <w:color w:val="404040"/>
        <w:sz w:val="22"/>
      </w:rPr>
      <w:tblPr/>
      <w:tcPr>
        <w:shd w:val="clear" w:color="auto" w:fill="D2D2D2" w:themeFill="accent6" w:themeFillTint="40"/>
      </w:tcPr>
    </w:tblStylePr>
  </w:style>
  <w:style w:type="table" w:styleId="ListTable3">
    <w:name w:val="List Table 3"/>
    <w:basedOn w:val="TableNormal"/>
    <w:uiPriority w:val="99"/>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1">
    <w:name w:val="List Table 3 - Accent 11"/>
    <w:basedOn w:val="TableNormal"/>
    <w:uiPriority w:val="99"/>
    <w:pPr>
      <w:spacing w:line="240" w:lineRule="auto"/>
    </w:pPr>
    <w:tblPr>
      <w:tblStyleRowBandSize w:val="1"/>
      <w:tblStyleColBandSize w:val="1"/>
      <w:tblBorders>
        <w:top w:val="single" w:sz="4" w:space="0" w:color="DDDDDD" w:themeColor="accent1"/>
        <w:left w:val="single" w:sz="4" w:space="0" w:color="DDDDDD" w:themeColor="accent1"/>
        <w:bottom w:val="single" w:sz="4" w:space="0" w:color="DDDDDD" w:themeColor="accent1"/>
        <w:right w:val="single" w:sz="4" w:space="0" w:color="DDDDDD" w:themeColor="accent1"/>
      </w:tblBorders>
    </w:tblPr>
    <w:tblStylePr w:type="firstRow">
      <w:rPr>
        <w:rFonts w:ascii="Arial" w:hAnsi="Arial"/>
        <w:b/>
        <w:color w:val="FFFFFF"/>
        <w:sz w:val="22"/>
      </w:rPr>
      <w:tblPr/>
      <w:tcPr>
        <w:shd w:val="clear" w:color="auto" w:fill="DDDDD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DDDDD" w:themeColor="accent1"/>
          <w:right w:val="single" w:sz="4" w:space="0" w:color="DDDDDD" w:themeColor="accent1"/>
        </w:tcBorders>
      </w:tcPr>
    </w:tblStylePr>
    <w:tblStylePr w:type="band1Horz">
      <w:rPr>
        <w:rFonts w:ascii="Arial" w:hAnsi="Arial"/>
        <w:color w:val="404040"/>
        <w:sz w:val="22"/>
      </w:rPr>
      <w:tblPr/>
      <w:tcPr>
        <w:tcBorders>
          <w:top w:val="single" w:sz="4" w:space="0" w:color="DDDDDD" w:themeColor="accent1"/>
          <w:bottom w:val="single" w:sz="4" w:space="0" w:color="DDDDDD" w:themeColor="accent1"/>
        </w:tcBorders>
      </w:tcPr>
    </w:tblStylePr>
  </w:style>
  <w:style w:type="table" w:customStyle="1" w:styleId="ListTable3-Accent21">
    <w:name w:val="List Table 3 - Accent 21"/>
    <w:basedOn w:val="TableNormal"/>
    <w:uiPriority w:val="99"/>
    <w:pPr>
      <w:spacing w:line="240" w:lineRule="auto"/>
    </w:pPr>
    <w:tblPr>
      <w:tblStyleRowBandSize w:val="1"/>
      <w:tblStyleColBandSize w:val="1"/>
      <w:tblBorders>
        <w:top w:val="single" w:sz="4" w:space="0" w:color="D1D1D1" w:themeColor="accent2" w:themeTint="97"/>
        <w:left w:val="single" w:sz="4" w:space="0" w:color="D1D1D1" w:themeColor="accent2" w:themeTint="97"/>
        <w:bottom w:val="single" w:sz="4" w:space="0" w:color="D1D1D1" w:themeColor="accent2" w:themeTint="97"/>
        <w:right w:val="single" w:sz="4" w:space="0" w:color="D1D1D1" w:themeColor="accent2" w:themeTint="97"/>
      </w:tblBorders>
    </w:tblPr>
    <w:tblStylePr w:type="firstRow">
      <w:rPr>
        <w:rFonts w:ascii="Arial" w:hAnsi="Arial"/>
        <w:b/>
        <w:color w:val="FFFFFF"/>
        <w:sz w:val="22"/>
      </w:rPr>
      <w:tblPr/>
      <w:tcPr>
        <w:shd w:val="clear" w:color="auto" w:fill="D1D1D1"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1D1D1" w:themeColor="accent2" w:themeTint="97"/>
          <w:right w:val="single" w:sz="4" w:space="0" w:color="D1D1D1" w:themeColor="accent2" w:themeTint="97"/>
        </w:tcBorders>
      </w:tcPr>
    </w:tblStylePr>
    <w:tblStylePr w:type="band1Horz">
      <w:rPr>
        <w:rFonts w:ascii="Arial" w:hAnsi="Arial"/>
        <w:color w:val="404040"/>
        <w:sz w:val="22"/>
      </w:rPr>
      <w:tblPr/>
      <w:tcPr>
        <w:tcBorders>
          <w:top w:val="single" w:sz="4" w:space="0" w:color="D1D1D1" w:themeColor="accent2" w:themeTint="97"/>
          <w:bottom w:val="single" w:sz="4" w:space="0" w:color="D1D1D1" w:themeColor="accent2" w:themeTint="97"/>
        </w:tcBorders>
      </w:tcPr>
    </w:tblStylePr>
  </w:style>
  <w:style w:type="table" w:customStyle="1" w:styleId="ListTable3-Accent31">
    <w:name w:val="List Table 3 - Accent 31"/>
    <w:basedOn w:val="TableNormal"/>
    <w:uiPriority w:val="99"/>
    <w:pPr>
      <w:spacing w:line="240" w:lineRule="auto"/>
    </w:pPr>
    <w:tblPr>
      <w:tblStyleRowBandSize w:val="1"/>
      <w:tblStyleColBandSize w:val="1"/>
      <w:tblBorders>
        <w:top w:val="single" w:sz="4" w:space="0" w:color="C0C0C0" w:themeColor="accent3" w:themeTint="98"/>
        <w:left w:val="single" w:sz="4" w:space="0" w:color="C0C0C0" w:themeColor="accent3" w:themeTint="98"/>
        <w:bottom w:val="single" w:sz="4" w:space="0" w:color="C0C0C0" w:themeColor="accent3" w:themeTint="98"/>
        <w:right w:val="single" w:sz="4" w:space="0" w:color="C0C0C0" w:themeColor="accent3" w:themeTint="98"/>
      </w:tblBorders>
    </w:tblPr>
    <w:tblStylePr w:type="firstRow">
      <w:rPr>
        <w:rFonts w:ascii="Arial" w:hAnsi="Arial"/>
        <w:b/>
        <w:color w:val="FFFFFF"/>
        <w:sz w:val="22"/>
      </w:rPr>
      <w:tblPr/>
      <w:tcPr>
        <w:shd w:val="clear" w:color="auto" w:fill="C0C0C0"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0C0C0" w:themeColor="accent3" w:themeTint="98"/>
          <w:right w:val="single" w:sz="4" w:space="0" w:color="C0C0C0" w:themeColor="accent3" w:themeTint="98"/>
        </w:tcBorders>
      </w:tcPr>
    </w:tblStylePr>
    <w:tblStylePr w:type="band1Horz">
      <w:rPr>
        <w:rFonts w:ascii="Arial" w:hAnsi="Arial"/>
        <w:color w:val="404040"/>
        <w:sz w:val="22"/>
      </w:rPr>
      <w:tblPr/>
      <w:tcPr>
        <w:tcBorders>
          <w:top w:val="single" w:sz="4" w:space="0" w:color="C0C0C0" w:themeColor="accent3" w:themeTint="98"/>
          <w:bottom w:val="single" w:sz="4" w:space="0" w:color="C0C0C0" w:themeColor="accent3" w:themeTint="98"/>
        </w:tcBorders>
      </w:tcPr>
    </w:tblStylePr>
  </w:style>
  <w:style w:type="table" w:customStyle="1" w:styleId="ListTable3-Accent41">
    <w:name w:val="List Table 3 - Accent 41"/>
    <w:basedOn w:val="TableNormal"/>
    <w:uiPriority w:val="99"/>
    <w:pPr>
      <w:spacing w:line="240" w:lineRule="auto"/>
    </w:pPr>
    <w:tblPr>
      <w:tblStyleRowBandSize w:val="1"/>
      <w:tblStyleColBandSize w:val="1"/>
      <w:tblBorders>
        <w:top w:val="single" w:sz="4" w:space="0" w:color="B2B2B2" w:themeColor="accent4" w:themeTint="9A"/>
        <w:left w:val="single" w:sz="4" w:space="0" w:color="B2B2B2" w:themeColor="accent4" w:themeTint="9A"/>
        <w:bottom w:val="single" w:sz="4" w:space="0" w:color="B2B2B2" w:themeColor="accent4" w:themeTint="9A"/>
        <w:right w:val="single" w:sz="4" w:space="0" w:color="B2B2B2" w:themeColor="accent4" w:themeTint="9A"/>
      </w:tblBorders>
    </w:tblPr>
    <w:tblStylePr w:type="firstRow">
      <w:rPr>
        <w:rFonts w:ascii="Arial" w:hAnsi="Arial"/>
        <w:b/>
        <w:color w:val="FFFFFF"/>
        <w:sz w:val="22"/>
      </w:rPr>
      <w:tblPr/>
      <w:tcPr>
        <w:shd w:val="clear" w:color="auto" w:fill="B2B2B2"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B2B2" w:themeColor="accent4" w:themeTint="9A"/>
          <w:right w:val="single" w:sz="4" w:space="0" w:color="B2B2B2" w:themeColor="accent4" w:themeTint="9A"/>
        </w:tcBorders>
      </w:tcPr>
    </w:tblStylePr>
    <w:tblStylePr w:type="band1Horz">
      <w:rPr>
        <w:rFonts w:ascii="Arial" w:hAnsi="Arial"/>
        <w:color w:val="404040"/>
        <w:sz w:val="22"/>
      </w:rPr>
      <w:tblPr/>
      <w:tcPr>
        <w:tcBorders>
          <w:top w:val="single" w:sz="4" w:space="0" w:color="B2B2B2" w:themeColor="accent4" w:themeTint="9A"/>
          <w:bottom w:val="single" w:sz="4" w:space="0" w:color="B2B2B2" w:themeColor="accent4" w:themeTint="9A"/>
        </w:tcBorders>
      </w:tcPr>
    </w:tblStylePr>
  </w:style>
  <w:style w:type="table" w:customStyle="1" w:styleId="ListTable3-Accent51">
    <w:name w:val="List Table 3 - Accent 51"/>
    <w:basedOn w:val="TableNormal"/>
    <w:uiPriority w:val="99"/>
    <w:pPr>
      <w:spacing w:line="240" w:lineRule="auto"/>
    </w:pPr>
    <w:tblPr>
      <w:tblStyleRowBandSize w:val="1"/>
      <w:tblStyleColBandSize w:val="1"/>
      <w:tblBorders>
        <w:top w:val="single" w:sz="4" w:space="0" w:color="9E9E9E" w:themeColor="accent5" w:themeTint="9A"/>
        <w:left w:val="single" w:sz="4" w:space="0" w:color="9E9E9E" w:themeColor="accent5" w:themeTint="9A"/>
        <w:bottom w:val="single" w:sz="4" w:space="0" w:color="9E9E9E" w:themeColor="accent5" w:themeTint="9A"/>
        <w:right w:val="single" w:sz="4" w:space="0" w:color="9E9E9E" w:themeColor="accent5" w:themeTint="9A"/>
      </w:tblBorders>
    </w:tblPr>
    <w:tblStylePr w:type="firstRow">
      <w:rPr>
        <w:rFonts w:ascii="Arial" w:hAnsi="Arial"/>
        <w:b/>
        <w:color w:val="FFFFFF"/>
        <w:sz w:val="22"/>
      </w:rPr>
      <w:tblPr/>
      <w:tcPr>
        <w:shd w:val="clear" w:color="auto" w:fill="9E9E9E"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E9E9E" w:themeColor="accent5" w:themeTint="9A"/>
          <w:right w:val="single" w:sz="4" w:space="0" w:color="9E9E9E" w:themeColor="accent5" w:themeTint="9A"/>
        </w:tcBorders>
      </w:tcPr>
    </w:tblStylePr>
    <w:tblStylePr w:type="band1Horz">
      <w:rPr>
        <w:rFonts w:ascii="Arial" w:hAnsi="Arial"/>
        <w:color w:val="404040"/>
        <w:sz w:val="22"/>
      </w:rPr>
      <w:tblPr/>
      <w:tcPr>
        <w:tcBorders>
          <w:top w:val="single" w:sz="4" w:space="0" w:color="9E9E9E" w:themeColor="accent5" w:themeTint="9A"/>
          <w:bottom w:val="single" w:sz="4" w:space="0" w:color="9E9E9E" w:themeColor="accent5" w:themeTint="9A"/>
        </w:tcBorders>
      </w:tcPr>
    </w:tblStylePr>
  </w:style>
  <w:style w:type="table" w:customStyle="1" w:styleId="ListTable3-Accent61">
    <w:name w:val="List Table 3 - Accent 61"/>
    <w:basedOn w:val="TableNormal"/>
    <w:uiPriority w:val="99"/>
    <w:pPr>
      <w:spacing w:line="240" w:lineRule="auto"/>
    </w:pPr>
    <w:tblPr>
      <w:tblStyleRowBandSize w:val="1"/>
      <w:tblStyleColBandSize w:val="1"/>
      <w:tblBorders>
        <w:top w:val="single" w:sz="4" w:space="0" w:color="949494" w:themeColor="accent6" w:themeTint="98"/>
        <w:left w:val="single" w:sz="4" w:space="0" w:color="949494" w:themeColor="accent6" w:themeTint="98"/>
        <w:bottom w:val="single" w:sz="4" w:space="0" w:color="949494" w:themeColor="accent6" w:themeTint="98"/>
        <w:right w:val="single" w:sz="4" w:space="0" w:color="949494" w:themeColor="accent6" w:themeTint="98"/>
      </w:tblBorders>
    </w:tblPr>
    <w:tblStylePr w:type="firstRow">
      <w:rPr>
        <w:rFonts w:ascii="Arial" w:hAnsi="Arial"/>
        <w:b/>
        <w:color w:val="FFFFFF"/>
        <w:sz w:val="22"/>
      </w:rPr>
      <w:tblPr/>
      <w:tcPr>
        <w:shd w:val="clear" w:color="auto" w:fill="949494"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49494" w:themeColor="accent6" w:themeTint="98"/>
          <w:right w:val="single" w:sz="4" w:space="0" w:color="949494" w:themeColor="accent6" w:themeTint="98"/>
        </w:tcBorders>
      </w:tcPr>
    </w:tblStylePr>
    <w:tblStylePr w:type="band1Horz">
      <w:rPr>
        <w:rFonts w:ascii="Arial" w:hAnsi="Arial"/>
        <w:color w:val="404040"/>
        <w:sz w:val="22"/>
      </w:rPr>
      <w:tblPr/>
      <w:tcPr>
        <w:tcBorders>
          <w:top w:val="single" w:sz="4" w:space="0" w:color="949494" w:themeColor="accent6" w:themeTint="98"/>
          <w:bottom w:val="single" w:sz="4" w:space="0" w:color="949494" w:themeColor="accent6" w:themeTint="98"/>
        </w:tcBorders>
      </w:tcPr>
    </w:tblStylePr>
  </w:style>
  <w:style w:type="table" w:styleId="ListTable4">
    <w:name w:val="List Table 4"/>
    <w:basedOn w:val="TableNormal"/>
    <w:uiPriority w:val="99"/>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4-Accent11">
    <w:name w:val="List Table 4 - Accent 11"/>
    <w:basedOn w:val="TableNormal"/>
    <w:uiPriority w:val="99"/>
    <w:pPr>
      <w:spacing w:line="240" w:lineRule="auto"/>
    </w:pPr>
    <w:tblPr>
      <w:tblStyleRowBandSize w:val="1"/>
      <w:tblStyleColBandSize w:val="1"/>
      <w:tblBorders>
        <w:top w:val="single" w:sz="4" w:space="0" w:color="EBEBEB" w:themeColor="accent1" w:themeTint="90"/>
        <w:left w:val="single" w:sz="4" w:space="0" w:color="EBEBEB" w:themeColor="accent1" w:themeTint="90"/>
        <w:bottom w:val="single" w:sz="4" w:space="0" w:color="EBEBEB" w:themeColor="accent1" w:themeTint="90"/>
        <w:right w:val="single" w:sz="4" w:space="0" w:color="EBEBEB" w:themeColor="accent1" w:themeTint="90"/>
        <w:insideH w:val="single" w:sz="4" w:space="0" w:color="EBEBEB" w:themeColor="accent1" w:themeTint="90"/>
      </w:tblBorders>
    </w:tblPr>
    <w:tblStylePr w:type="firstRow">
      <w:rPr>
        <w:rFonts w:ascii="Arial" w:hAnsi="Arial"/>
        <w:b/>
        <w:color w:val="FFFFFF"/>
        <w:sz w:val="22"/>
      </w:rPr>
      <w:tblPr/>
      <w:tcPr>
        <w:shd w:val="clear" w:color="auto" w:fill="DDDDD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6F6F6" w:themeFill="accent1" w:themeFillTint="40"/>
      </w:tcPr>
    </w:tblStylePr>
    <w:tblStylePr w:type="band1Horz">
      <w:rPr>
        <w:rFonts w:ascii="Arial" w:hAnsi="Arial"/>
        <w:color w:val="404040"/>
        <w:sz w:val="22"/>
      </w:rPr>
      <w:tblPr/>
      <w:tcPr>
        <w:shd w:val="clear" w:color="auto" w:fill="F6F6F6" w:themeFill="accent1" w:themeFillTint="40"/>
      </w:tcPr>
    </w:tblStylePr>
  </w:style>
  <w:style w:type="table" w:customStyle="1" w:styleId="ListTable4-Accent21">
    <w:name w:val="List Table 4 - Accent 21"/>
    <w:basedOn w:val="TableNormal"/>
    <w:uiPriority w:val="99"/>
    <w:pPr>
      <w:spacing w:line="240" w:lineRule="auto"/>
    </w:pPr>
    <w:tblPr>
      <w:tblStyleRowBandSize w:val="1"/>
      <w:tblStyleColBandSize w:val="1"/>
      <w:tblBorders>
        <w:top w:val="single" w:sz="4" w:space="0" w:color="D3D3D3" w:themeColor="accent2" w:themeTint="90"/>
        <w:left w:val="single" w:sz="4" w:space="0" w:color="D3D3D3" w:themeColor="accent2" w:themeTint="90"/>
        <w:bottom w:val="single" w:sz="4" w:space="0" w:color="D3D3D3" w:themeColor="accent2" w:themeTint="90"/>
        <w:right w:val="single" w:sz="4" w:space="0" w:color="D3D3D3" w:themeColor="accent2" w:themeTint="90"/>
        <w:insideH w:val="single" w:sz="4" w:space="0" w:color="D3D3D3" w:themeColor="accent2" w:themeTint="90"/>
      </w:tblBorders>
    </w:tblPr>
    <w:tblStylePr w:type="firstRow">
      <w:rPr>
        <w:rFonts w:ascii="Arial" w:hAnsi="Arial"/>
        <w:b/>
        <w:color w:val="FFFFFF"/>
        <w:sz w:val="22"/>
      </w:rPr>
      <w:tblPr/>
      <w:tcPr>
        <w:shd w:val="clear" w:color="auto" w:fill="B2B2B2"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BEBEB" w:themeFill="accent2" w:themeFillTint="40"/>
      </w:tcPr>
    </w:tblStylePr>
    <w:tblStylePr w:type="band1Horz">
      <w:rPr>
        <w:rFonts w:ascii="Arial" w:hAnsi="Arial"/>
        <w:color w:val="404040"/>
        <w:sz w:val="22"/>
      </w:rPr>
      <w:tblPr/>
      <w:tcPr>
        <w:shd w:val="clear" w:color="auto" w:fill="EBEBEB" w:themeFill="accent2" w:themeFillTint="40"/>
      </w:tcPr>
    </w:tblStylePr>
  </w:style>
  <w:style w:type="table" w:customStyle="1" w:styleId="ListTable4-Accent31">
    <w:name w:val="List Table 4 - Accent 31"/>
    <w:basedOn w:val="TableNormal"/>
    <w:uiPriority w:val="99"/>
    <w:pPr>
      <w:spacing w:line="240" w:lineRule="auto"/>
    </w:pPr>
    <w:tblPr>
      <w:tblStyleRowBandSize w:val="1"/>
      <w:tblStyleColBandSize w:val="1"/>
      <w:tblBorders>
        <w:top w:val="single" w:sz="4" w:space="0" w:color="C3C3C3" w:themeColor="accent3" w:themeTint="90"/>
        <w:left w:val="single" w:sz="4" w:space="0" w:color="C3C3C3" w:themeColor="accent3" w:themeTint="90"/>
        <w:bottom w:val="single" w:sz="4" w:space="0" w:color="C3C3C3" w:themeColor="accent3" w:themeTint="90"/>
        <w:right w:val="single" w:sz="4" w:space="0" w:color="C3C3C3" w:themeColor="accent3" w:themeTint="90"/>
        <w:insideH w:val="single" w:sz="4" w:space="0" w:color="C3C3C3" w:themeColor="accent3" w:themeTint="90"/>
      </w:tblBorders>
    </w:tblPr>
    <w:tblStylePr w:type="firstRow">
      <w:rPr>
        <w:rFonts w:ascii="Arial" w:hAnsi="Arial"/>
        <w:b/>
        <w:color w:val="FFFFFF"/>
        <w:sz w:val="22"/>
      </w:rPr>
      <w:tblPr/>
      <w:tcPr>
        <w:shd w:val="clear" w:color="auto" w:fill="969696"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4E4E4" w:themeFill="accent3" w:themeFillTint="40"/>
      </w:tcPr>
    </w:tblStylePr>
    <w:tblStylePr w:type="band1Horz">
      <w:rPr>
        <w:rFonts w:ascii="Arial" w:hAnsi="Arial"/>
        <w:color w:val="404040"/>
        <w:sz w:val="22"/>
      </w:rPr>
      <w:tblPr/>
      <w:tcPr>
        <w:shd w:val="clear" w:color="auto" w:fill="E4E4E4" w:themeFill="accent3" w:themeFillTint="40"/>
      </w:tcPr>
    </w:tblStylePr>
  </w:style>
  <w:style w:type="table" w:customStyle="1" w:styleId="ListTable4-Accent41">
    <w:name w:val="List Table 4 - Accent 41"/>
    <w:basedOn w:val="TableNormal"/>
    <w:uiPriority w:val="99"/>
    <w:pPr>
      <w:spacing w:line="240" w:lineRule="auto"/>
    </w:pPr>
    <w:tblPr>
      <w:tblStyleRowBandSize w:val="1"/>
      <w:tblStyleColBandSize w:val="1"/>
      <w:tblBorders>
        <w:top w:val="single" w:sz="4" w:space="0" w:color="B7B7B7" w:themeColor="accent4" w:themeTint="90"/>
        <w:left w:val="single" w:sz="4" w:space="0" w:color="B7B7B7" w:themeColor="accent4" w:themeTint="90"/>
        <w:bottom w:val="single" w:sz="4" w:space="0" w:color="B7B7B7" w:themeColor="accent4" w:themeTint="90"/>
        <w:right w:val="single" w:sz="4" w:space="0" w:color="B7B7B7" w:themeColor="accent4" w:themeTint="90"/>
        <w:insideH w:val="single" w:sz="4" w:space="0" w:color="B7B7B7" w:themeColor="accent4" w:themeTint="90"/>
      </w:tblBorders>
    </w:tblPr>
    <w:tblStylePr w:type="firstRow">
      <w:rPr>
        <w:rFonts w:ascii="Arial" w:hAnsi="Arial"/>
        <w:b/>
        <w:color w:val="FFFFFF"/>
        <w:sz w:val="22"/>
      </w:rPr>
      <w:tblPr/>
      <w:tcPr>
        <w:shd w:val="clear" w:color="auto" w:fill="80808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FDFDF" w:themeFill="accent4" w:themeFillTint="40"/>
      </w:tcPr>
    </w:tblStylePr>
    <w:tblStylePr w:type="band1Horz">
      <w:rPr>
        <w:rFonts w:ascii="Arial" w:hAnsi="Arial"/>
        <w:color w:val="404040"/>
        <w:sz w:val="22"/>
      </w:rPr>
      <w:tblPr/>
      <w:tcPr>
        <w:shd w:val="clear" w:color="auto" w:fill="DFDFDF" w:themeFill="accent4" w:themeFillTint="40"/>
      </w:tcPr>
    </w:tblStylePr>
  </w:style>
  <w:style w:type="table" w:customStyle="1" w:styleId="ListTable4-Accent51">
    <w:name w:val="List Table 4 - Accent 51"/>
    <w:basedOn w:val="TableNormal"/>
    <w:uiPriority w:val="99"/>
    <w:pPr>
      <w:spacing w:line="240" w:lineRule="auto"/>
    </w:pPr>
    <w:tblPr>
      <w:tblStyleRowBandSize w:val="1"/>
      <w:tblStyleColBandSize w:val="1"/>
      <w:tblBorders>
        <w:top w:val="single" w:sz="4" w:space="0" w:color="A4A4A4" w:themeColor="accent5" w:themeTint="90"/>
        <w:left w:val="single" w:sz="4" w:space="0" w:color="A4A4A4" w:themeColor="accent5" w:themeTint="90"/>
        <w:bottom w:val="single" w:sz="4" w:space="0" w:color="A4A4A4" w:themeColor="accent5" w:themeTint="90"/>
        <w:right w:val="single" w:sz="4" w:space="0" w:color="A4A4A4" w:themeColor="accent5" w:themeTint="90"/>
        <w:insideH w:val="single" w:sz="4" w:space="0" w:color="A4A4A4" w:themeColor="accent5" w:themeTint="90"/>
      </w:tblBorders>
    </w:tblPr>
    <w:tblStylePr w:type="firstRow">
      <w:rPr>
        <w:rFonts w:ascii="Arial" w:hAnsi="Arial"/>
        <w:b/>
        <w:color w:val="FFFFFF"/>
        <w:sz w:val="22"/>
      </w:rPr>
      <w:tblPr/>
      <w:tcPr>
        <w:shd w:val="clear" w:color="auto" w:fill="5F5F5F"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6D6D6" w:themeFill="accent5" w:themeFillTint="40"/>
      </w:tcPr>
    </w:tblStylePr>
    <w:tblStylePr w:type="band1Horz">
      <w:rPr>
        <w:rFonts w:ascii="Arial" w:hAnsi="Arial"/>
        <w:color w:val="404040"/>
        <w:sz w:val="22"/>
      </w:rPr>
      <w:tblPr/>
      <w:tcPr>
        <w:shd w:val="clear" w:color="auto" w:fill="D6D6D6" w:themeFill="accent5" w:themeFillTint="40"/>
      </w:tcPr>
    </w:tblStylePr>
  </w:style>
  <w:style w:type="table" w:customStyle="1" w:styleId="ListTable4-Accent61">
    <w:name w:val="List Table 4 - Accent 61"/>
    <w:basedOn w:val="TableNormal"/>
    <w:uiPriority w:val="99"/>
    <w:pPr>
      <w:spacing w:line="240" w:lineRule="auto"/>
    </w:pPr>
    <w:tblPr>
      <w:tblStyleRowBandSize w:val="1"/>
      <w:tblStyleColBandSize w:val="1"/>
      <w:tblBorders>
        <w:top w:val="single" w:sz="4" w:space="0" w:color="9A9A9A" w:themeColor="accent6" w:themeTint="90"/>
        <w:left w:val="single" w:sz="4" w:space="0" w:color="9A9A9A" w:themeColor="accent6" w:themeTint="90"/>
        <w:bottom w:val="single" w:sz="4" w:space="0" w:color="9A9A9A" w:themeColor="accent6" w:themeTint="90"/>
        <w:right w:val="single" w:sz="4" w:space="0" w:color="9A9A9A" w:themeColor="accent6" w:themeTint="90"/>
        <w:insideH w:val="single" w:sz="4" w:space="0" w:color="9A9A9A" w:themeColor="accent6" w:themeTint="90"/>
      </w:tblBorders>
    </w:tblPr>
    <w:tblStylePr w:type="firstRow">
      <w:rPr>
        <w:rFonts w:ascii="Arial" w:hAnsi="Arial"/>
        <w:b/>
        <w:color w:val="FFFFFF"/>
        <w:sz w:val="22"/>
      </w:rPr>
      <w:tblPr/>
      <w:tcPr>
        <w:shd w:val="clear" w:color="auto" w:fill="4D4D4D"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2D2D2" w:themeFill="accent6" w:themeFillTint="40"/>
      </w:tcPr>
    </w:tblStylePr>
    <w:tblStylePr w:type="band1Horz">
      <w:rPr>
        <w:rFonts w:ascii="Arial" w:hAnsi="Arial"/>
        <w:color w:val="404040"/>
        <w:sz w:val="22"/>
      </w:rPr>
      <w:tblPr/>
      <w:tcPr>
        <w:shd w:val="clear" w:color="auto" w:fill="D2D2D2" w:themeFill="accent6" w:themeFillTint="40"/>
      </w:tcPr>
    </w:tblStylePr>
  </w:style>
  <w:style w:type="table" w:styleId="ListTable5Dark">
    <w:name w:val="List Table 5 Dark"/>
    <w:basedOn w:val="TableNormal"/>
    <w:uiPriority w:val="99"/>
    <w:pPr>
      <w:spacing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auto"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auto"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auto"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7F7F7F" w:themeFill="text1" w:themeFillTint="80"/>
      </w:tcPr>
    </w:tblStylePr>
    <w:tblStylePr w:type="band2Horz">
      <w:tblPr/>
      <w:tcPr>
        <w:tcBorders>
          <w:top w:val="single" w:sz="4" w:space="0" w:color="FFFFFF" w:themeColor="light1"/>
          <w:bottom w:val="single" w:sz="4" w:space="0" w:color="FFFFFF" w:themeColor="light1"/>
        </w:tcBorders>
        <w:shd w:val="clear" w:color="auto" w:fill="7F7F7F" w:themeFill="text1" w:themeFillTint="80"/>
      </w:tcPr>
    </w:tblStylePr>
  </w:style>
  <w:style w:type="table" w:customStyle="1" w:styleId="ListTable5Dark-Accent11">
    <w:name w:val="List Table 5 Dark - Accent 11"/>
    <w:basedOn w:val="TableNormal"/>
    <w:uiPriority w:val="99"/>
    <w:pPr>
      <w:spacing w:line="240" w:lineRule="auto"/>
    </w:pPr>
    <w:tblPr>
      <w:tblStyleRowBandSize w:val="1"/>
      <w:tblStyleColBandSize w:val="1"/>
      <w:tblBorders>
        <w:top w:val="single" w:sz="32" w:space="0" w:color="DDDDDD" w:themeColor="accent1"/>
        <w:left w:val="single" w:sz="32" w:space="0" w:color="DDDDDD" w:themeColor="accent1"/>
        <w:bottom w:val="single" w:sz="32" w:space="0" w:color="DDDDDD" w:themeColor="accent1"/>
        <w:right w:val="single" w:sz="32" w:space="0" w:color="DDDDDD" w:themeColor="accent1"/>
      </w:tblBorders>
      <w:shd w:val="clear" w:color="auto" w:fill="DDDDDD" w:themeFill="accent1"/>
    </w:tblPr>
    <w:tblStylePr w:type="firstRow">
      <w:rPr>
        <w:rFonts w:ascii="Arial" w:hAnsi="Arial"/>
        <w:b/>
        <w:color w:val="FFFFFF" w:themeColor="light1"/>
        <w:sz w:val="22"/>
      </w:rPr>
      <w:tblPr/>
      <w:tcPr>
        <w:tcBorders>
          <w:top w:val="single" w:sz="32" w:space="0" w:color="DDDDDD" w:themeColor="accent1"/>
          <w:bottom w:val="single" w:sz="12" w:space="0" w:color="FFFFFF" w:themeColor="light1"/>
        </w:tcBorders>
        <w:shd w:val="clear" w:color="auto" w:fill="DDDDD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DDDDD" w:themeColor="accent1"/>
          <w:right w:val="single" w:sz="4" w:space="0" w:color="FFFFFF" w:themeColor="light1"/>
        </w:tcBorders>
      </w:tcPr>
    </w:tblStylePr>
    <w:tblStylePr w:type="lastCol">
      <w:tblPr/>
      <w:tcPr>
        <w:tcBorders>
          <w:left w:val="single" w:sz="4" w:space="0" w:color="FFFFFF" w:themeColor="light1"/>
          <w:right w:val="single" w:sz="32" w:space="0" w:color="DDDDDD" w:themeColor="accent1"/>
        </w:tcBorders>
      </w:tcPr>
    </w:tblStylePr>
    <w:tblStylePr w:type="band1Vert">
      <w:tblPr/>
      <w:tcPr>
        <w:tcBorders>
          <w:left w:val="single" w:sz="4" w:space="0" w:color="FFFFFF" w:themeColor="light1"/>
          <w:right w:val="single" w:sz="4" w:space="0" w:color="FFFFFF" w:themeColor="light1"/>
        </w:tcBorders>
        <w:shd w:val="clear" w:color="auto" w:fill="DDDDD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DDDDDD" w:themeFill="accent1"/>
      </w:tcPr>
    </w:tblStylePr>
    <w:tblStylePr w:type="band2Horz">
      <w:tblPr/>
      <w:tcPr>
        <w:tcBorders>
          <w:top w:val="single" w:sz="4" w:space="0" w:color="FFFFFF" w:themeColor="light1"/>
          <w:bottom w:val="single" w:sz="4" w:space="0" w:color="FFFFFF" w:themeColor="light1"/>
        </w:tcBorders>
        <w:shd w:val="clear" w:color="auto" w:fill="DDDDDD" w:themeFill="accent1"/>
      </w:tcPr>
    </w:tblStylePr>
  </w:style>
  <w:style w:type="table" w:customStyle="1" w:styleId="ListTable5Dark-Accent21">
    <w:name w:val="List Table 5 Dark - Accent 21"/>
    <w:basedOn w:val="TableNormal"/>
    <w:uiPriority w:val="99"/>
    <w:pPr>
      <w:spacing w:line="240" w:lineRule="auto"/>
    </w:pPr>
    <w:tblPr>
      <w:tblStyleRowBandSize w:val="1"/>
      <w:tblStyleColBandSize w:val="1"/>
      <w:tblBorders>
        <w:top w:val="single" w:sz="32" w:space="0" w:color="D1D1D1" w:themeColor="accent2" w:themeTint="97"/>
        <w:left w:val="single" w:sz="32" w:space="0" w:color="D1D1D1" w:themeColor="accent2" w:themeTint="97"/>
        <w:bottom w:val="single" w:sz="32" w:space="0" w:color="D1D1D1" w:themeColor="accent2" w:themeTint="97"/>
        <w:right w:val="single" w:sz="32" w:space="0" w:color="D1D1D1" w:themeColor="accent2" w:themeTint="97"/>
      </w:tblBorders>
      <w:shd w:val="clear" w:color="auto" w:fill="D1D1D1" w:themeFill="accent2" w:themeFillTint="97"/>
    </w:tblPr>
    <w:tblStylePr w:type="firstRow">
      <w:rPr>
        <w:rFonts w:ascii="Arial" w:hAnsi="Arial"/>
        <w:b/>
        <w:color w:val="FFFFFF" w:themeColor="light1"/>
        <w:sz w:val="22"/>
      </w:rPr>
      <w:tblPr/>
      <w:tcPr>
        <w:tcBorders>
          <w:top w:val="single" w:sz="32" w:space="0" w:color="D1D1D1" w:themeColor="accent2" w:themeTint="97"/>
          <w:bottom w:val="single" w:sz="12" w:space="0" w:color="FFFFFF" w:themeColor="light1"/>
        </w:tcBorders>
        <w:shd w:val="clear" w:color="auto" w:fill="D1D1D1"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1D1D1" w:themeColor="accent2" w:themeTint="97"/>
          <w:right w:val="single" w:sz="4" w:space="0" w:color="FFFFFF" w:themeColor="light1"/>
        </w:tcBorders>
      </w:tcPr>
    </w:tblStylePr>
    <w:tblStylePr w:type="lastCol">
      <w:tblPr/>
      <w:tcPr>
        <w:tcBorders>
          <w:left w:val="single" w:sz="4" w:space="0" w:color="FFFFFF" w:themeColor="light1"/>
          <w:right w:val="single" w:sz="32" w:space="0" w:color="D1D1D1" w:themeColor="accent2" w:themeTint="97"/>
        </w:tcBorders>
      </w:tcPr>
    </w:tblStylePr>
    <w:tblStylePr w:type="band1Vert">
      <w:tblPr/>
      <w:tcPr>
        <w:tcBorders>
          <w:left w:val="single" w:sz="4" w:space="0" w:color="FFFFFF" w:themeColor="light1"/>
          <w:right w:val="single" w:sz="4" w:space="0" w:color="FFFFFF" w:themeColor="light1"/>
        </w:tcBorders>
        <w:shd w:val="clear" w:color="auto" w:fill="D1D1D1"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D1D1D1" w:themeFill="accent2" w:themeFillTint="97"/>
      </w:tcPr>
    </w:tblStylePr>
    <w:tblStylePr w:type="band2Horz">
      <w:tblPr/>
      <w:tcPr>
        <w:tcBorders>
          <w:top w:val="single" w:sz="4" w:space="0" w:color="FFFFFF" w:themeColor="light1"/>
          <w:bottom w:val="single" w:sz="4" w:space="0" w:color="FFFFFF" w:themeColor="light1"/>
        </w:tcBorders>
        <w:shd w:val="clear" w:color="auto" w:fill="D1D1D1" w:themeFill="accent2" w:themeFillTint="97"/>
      </w:tcPr>
    </w:tblStylePr>
  </w:style>
  <w:style w:type="table" w:customStyle="1" w:styleId="ListTable5Dark-Accent31">
    <w:name w:val="List Table 5 Dark - Accent 31"/>
    <w:basedOn w:val="TableNormal"/>
    <w:uiPriority w:val="99"/>
    <w:pPr>
      <w:spacing w:line="240" w:lineRule="auto"/>
    </w:pPr>
    <w:tblPr>
      <w:tblStyleRowBandSize w:val="1"/>
      <w:tblStyleColBandSize w:val="1"/>
      <w:tblBorders>
        <w:top w:val="single" w:sz="32" w:space="0" w:color="C0C0C0" w:themeColor="accent3" w:themeTint="98"/>
        <w:left w:val="single" w:sz="32" w:space="0" w:color="C0C0C0" w:themeColor="accent3" w:themeTint="98"/>
        <w:bottom w:val="single" w:sz="32" w:space="0" w:color="C0C0C0" w:themeColor="accent3" w:themeTint="98"/>
        <w:right w:val="single" w:sz="32" w:space="0" w:color="C0C0C0" w:themeColor="accent3" w:themeTint="98"/>
      </w:tblBorders>
      <w:shd w:val="clear" w:color="auto" w:fill="C0C0C0" w:themeFill="accent3" w:themeFillTint="98"/>
    </w:tblPr>
    <w:tblStylePr w:type="firstRow">
      <w:rPr>
        <w:rFonts w:ascii="Arial" w:hAnsi="Arial"/>
        <w:b/>
        <w:color w:val="FFFFFF" w:themeColor="light1"/>
        <w:sz w:val="22"/>
      </w:rPr>
      <w:tblPr/>
      <w:tcPr>
        <w:tcBorders>
          <w:top w:val="single" w:sz="32" w:space="0" w:color="C0C0C0" w:themeColor="accent3" w:themeTint="98"/>
          <w:bottom w:val="single" w:sz="12" w:space="0" w:color="FFFFFF" w:themeColor="light1"/>
        </w:tcBorders>
        <w:shd w:val="clear" w:color="auto" w:fill="C0C0C0"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0C0C0" w:themeColor="accent3" w:themeTint="98"/>
          <w:right w:val="single" w:sz="4" w:space="0" w:color="FFFFFF" w:themeColor="light1"/>
        </w:tcBorders>
      </w:tcPr>
    </w:tblStylePr>
    <w:tblStylePr w:type="lastCol">
      <w:tblPr/>
      <w:tcPr>
        <w:tcBorders>
          <w:left w:val="single" w:sz="4" w:space="0" w:color="FFFFFF" w:themeColor="light1"/>
          <w:right w:val="single" w:sz="32" w:space="0" w:color="C0C0C0" w:themeColor="accent3" w:themeTint="98"/>
        </w:tcBorders>
      </w:tcPr>
    </w:tblStylePr>
    <w:tblStylePr w:type="band1Vert">
      <w:tblPr/>
      <w:tcPr>
        <w:tcBorders>
          <w:left w:val="single" w:sz="4" w:space="0" w:color="FFFFFF" w:themeColor="light1"/>
          <w:right w:val="single" w:sz="4" w:space="0" w:color="FFFFFF" w:themeColor="light1"/>
        </w:tcBorders>
        <w:shd w:val="clear" w:color="auto" w:fill="C0C0C0"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C0C0C0" w:themeFill="accent3" w:themeFillTint="98"/>
      </w:tcPr>
    </w:tblStylePr>
    <w:tblStylePr w:type="band2Horz">
      <w:tblPr/>
      <w:tcPr>
        <w:tcBorders>
          <w:top w:val="single" w:sz="4" w:space="0" w:color="FFFFFF" w:themeColor="light1"/>
          <w:bottom w:val="single" w:sz="4" w:space="0" w:color="FFFFFF" w:themeColor="light1"/>
        </w:tcBorders>
        <w:shd w:val="clear" w:color="auto" w:fill="C0C0C0" w:themeFill="accent3" w:themeFillTint="98"/>
      </w:tcPr>
    </w:tblStylePr>
  </w:style>
  <w:style w:type="table" w:customStyle="1" w:styleId="ListTable5Dark-Accent41">
    <w:name w:val="List Table 5 Dark - Accent 41"/>
    <w:basedOn w:val="TableNormal"/>
    <w:uiPriority w:val="99"/>
    <w:pPr>
      <w:spacing w:line="240" w:lineRule="auto"/>
    </w:pPr>
    <w:tblPr>
      <w:tblStyleRowBandSize w:val="1"/>
      <w:tblStyleColBandSize w:val="1"/>
      <w:tblBorders>
        <w:top w:val="single" w:sz="32" w:space="0" w:color="B2B2B2" w:themeColor="accent4" w:themeTint="9A"/>
        <w:left w:val="single" w:sz="32" w:space="0" w:color="B2B2B2" w:themeColor="accent4" w:themeTint="9A"/>
        <w:bottom w:val="single" w:sz="32" w:space="0" w:color="B2B2B2" w:themeColor="accent4" w:themeTint="9A"/>
        <w:right w:val="single" w:sz="32" w:space="0" w:color="B2B2B2" w:themeColor="accent4" w:themeTint="9A"/>
      </w:tblBorders>
      <w:shd w:val="clear" w:color="auto" w:fill="B2B2B2" w:themeFill="accent4" w:themeFillTint="9A"/>
    </w:tblPr>
    <w:tblStylePr w:type="firstRow">
      <w:rPr>
        <w:rFonts w:ascii="Arial" w:hAnsi="Arial"/>
        <w:b/>
        <w:color w:val="FFFFFF" w:themeColor="light1"/>
        <w:sz w:val="22"/>
      </w:rPr>
      <w:tblPr/>
      <w:tcPr>
        <w:tcBorders>
          <w:top w:val="single" w:sz="32" w:space="0" w:color="B2B2B2" w:themeColor="accent4" w:themeTint="9A"/>
          <w:bottom w:val="single" w:sz="12" w:space="0" w:color="FFFFFF" w:themeColor="light1"/>
        </w:tcBorders>
        <w:shd w:val="clear" w:color="auto" w:fill="B2B2B2"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B2B2" w:themeColor="accent4" w:themeTint="9A"/>
          <w:right w:val="single" w:sz="4" w:space="0" w:color="FFFFFF" w:themeColor="light1"/>
        </w:tcBorders>
      </w:tcPr>
    </w:tblStylePr>
    <w:tblStylePr w:type="lastCol">
      <w:tblPr/>
      <w:tcPr>
        <w:tcBorders>
          <w:left w:val="single" w:sz="4" w:space="0" w:color="FFFFFF" w:themeColor="light1"/>
          <w:right w:val="single" w:sz="32" w:space="0" w:color="B2B2B2" w:themeColor="accent4" w:themeTint="9A"/>
        </w:tcBorders>
      </w:tcPr>
    </w:tblStylePr>
    <w:tblStylePr w:type="band1Vert">
      <w:tblPr/>
      <w:tcPr>
        <w:tcBorders>
          <w:left w:val="single" w:sz="4" w:space="0" w:color="FFFFFF" w:themeColor="light1"/>
          <w:right w:val="single" w:sz="4" w:space="0" w:color="FFFFFF" w:themeColor="light1"/>
        </w:tcBorders>
        <w:shd w:val="clear" w:color="auto" w:fill="B2B2B2"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B2B2B2" w:themeFill="accent4" w:themeFillTint="9A"/>
      </w:tcPr>
    </w:tblStylePr>
    <w:tblStylePr w:type="band2Horz">
      <w:tblPr/>
      <w:tcPr>
        <w:tcBorders>
          <w:top w:val="single" w:sz="4" w:space="0" w:color="FFFFFF" w:themeColor="light1"/>
          <w:bottom w:val="single" w:sz="4" w:space="0" w:color="FFFFFF" w:themeColor="light1"/>
        </w:tcBorders>
        <w:shd w:val="clear" w:color="auto" w:fill="B2B2B2" w:themeFill="accent4" w:themeFillTint="9A"/>
      </w:tcPr>
    </w:tblStylePr>
  </w:style>
  <w:style w:type="table" w:customStyle="1" w:styleId="ListTable5Dark-Accent51">
    <w:name w:val="List Table 5 Dark - Accent 51"/>
    <w:basedOn w:val="TableNormal"/>
    <w:uiPriority w:val="99"/>
    <w:pPr>
      <w:spacing w:line="240" w:lineRule="auto"/>
    </w:pPr>
    <w:tblPr>
      <w:tblStyleRowBandSize w:val="1"/>
      <w:tblStyleColBandSize w:val="1"/>
      <w:tblBorders>
        <w:top w:val="single" w:sz="32" w:space="0" w:color="9E9E9E" w:themeColor="accent5" w:themeTint="9A"/>
        <w:left w:val="single" w:sz="32" w:space="0" w:color="9E9E9E" w:themeColor="accent5" w:themeTint="9A"/>
        <w:bottom w:val="single" w:sz="32" w:space="0" w:color="9E9E9E" w:themeColor="accent5" w:themeTint="9A"/>
        <w:right w:val="single" w:sz="32" w:space="0" w:color="9E9E9E" w:themeColor="accent5" w:themeTint="9A"/>
      </w:tblBorders>
      <w:shd w:val="clear" w:color="auto" w:fill="9E9E9E" w:themeFill="accent5" w:themeFillTint="9A"/>
    </w:tblPr>
    <w:tblStylePr w:type="firstRow">
      <w:rPr>
        <w:rFonts w:ascii="Arial" w:hAnsi="Arial"/>
        <w:b/>
        <w:color w:val="FFFFFF" w:themeColor="light1"/>
        <w:sz w:val="22"/>
      </w:rPr>
      <w:tblPr/>
      <w:tcPr>
        <w:tcBorders>
          <w:top w:val="single" w:sz="32" w:space="0" w:color="9E9E9E" w:themeColor="accent5" w:themeTint="9A"/>
          <w:bottom w:val="single" w:sz="12" w:space="0" w:color="FFFFFF" w:themeColor="light1"/>
        </w:tcBorders>
        <w:shd w:val="clear" w:color="auto" w:fill="9E9E9E"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E9E9E" w:themeColor="accent5" w:themeTint="9A"/>
          <w:right w:val="single" w:sz="4" w:space="0" w:color="FFFFFF" w:themeColor="light1"/>
        </w:tcBorders>
      </w:tcPr>
    </w:tblStylePr>
    <w:tblStylePr w:type="lastCol">
      <w:tblPr/>
      <w:tcPr>
        <w:tcBorders>
          <w:left w:val="single" w:sz="4" w:space="0" w:color="FFFFFF" w:themeColor="light1"/>
          <w:right w:val="single" w:sz="32" w:space="0" w:color="9E9E9E" w:themeColor="accent5" w:themeTint="9A"/>
        </w:tcBorders>
      </w:tcPr>
    </w:tblStylePr>
    <w:tblStylePr w:type="band1Vert">
      <w:tblPr/>
      <w:tcPr>
        <w:tcBorders>
          <w:left w:val="single" w:sz="4" w:space="0" w:color="FFFFFF" w:themeColor="light1"/>
          <w:right w:val="single" w:sz="4" w:space="0" w:color="FFFFFF" w:themeColor="light1"/>
        </w:tcBorders>
        <w:shd w:val="clear" w:color="auto" w:fill="9E9E9E"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9E9E9E" w:themeFill="accent5" w:themeFillTint="9A"/>
      </w:tcPr>
    </w:tblStylePr>
    <w:tblStylePr w:type="band2Horz">
      <w:tblPr/>
      <w:tcPr>
        <w:tcBorders>
          <w:top w:val="single" w:sz="4" w:space="0" w:color="FFFFFF" w:themeColor="light1"/>
          <w:bottom w:val="single" w:sz="4" w:space="0" w:color="FFFFFF" w:themeColor="light1"/>
        </w:tcBorders>
        <w:shd w:val="clear" w:color="auto" w:fill="9E9E9E" w:themeFill="accent5" w:themeFillTint="9A"/>
      </w:tcPr>
    </w:tblStylePr>
  </w:style>
  <w:style w:type="table" w:customStyle="1" w:styleId="ListTable5Dark-Accent61">
    <w:name w:val="List Table 5 Dark - Accent 61"/>
    <w:basedOn w:val="TableNormal"/>
    <w:uiPriority w:val="99"/>
    <w:pPr>
      <w:spacing w:line="240" w:lineRule="auto"/>
    </w:pPr>
    <w:tblPr>
      <w:tblStyleRowBandSize w:val="1"/>
      <w:tblStyleColBandSize w:val="1"/>
      <w:tblBorders>
        <w:top w:val="single" w:sz="32" w:space="0" w:color="949494" w:themeColor="accent6" w:themeTint="98"/>
        <w:left w:val="single" w:sz="32" w:space="0" w:color="949494" w:themeColor="accent6" w:themeTint="98"/>
        <w:bottom w:val="single" w:sz="32" w:space="0" w:color="949494" w:themeColor="accent6" w:themeTint="98"/>
        <w:right w:val="single" w:sz="32" w:space="0" w:color="949494" w:themeColor="accent6" w:themeTint="98"/>
      </w:tblBorders>
      <w:shd w:val="clear" w:color="auto" w:fill="949494" w:themeFill="accent6" w:themeFillTint="98"/>
    </w:tblPr>
    <w:tblStylePr w:type="firstRow">
      <w:rPr>
        <w:rFonts w:ascii="Arial" w:hAnsi="Arial"/>
        <w:b/>
        <w:color w:val="FFFFFF" w:themeColor="light1"/>
        <w:sz w:val="22"/>
      </w:rPr>
      <w:tblPr/>
      <w:tcPr>
        <w:tcBorders>
          <w:top w:val="single" w:sz="32" w:space="0" w:color="949494" w:themeColor="accent6" w:themeTint="98"/>
          <w:bottom w:val="single" w:sz="12" w:space="0" w:color="FFFFFF" w:themeColor="light1"/>
        </w:tcBorders>
        <w:shd w:val="clear" w:color="auto" w:fill="949494"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49494" w:themeColor="accent6" w:themeTint="98"/>
          <w:right w:val="single" w:sz="4" w:space="0" w:color="FFFFFF" w:themeColor="light1"/>
        </w:tcBorders>
      </w:tcPr>
    </w:tblStylePr>
    <w:tblStylePr w:type="lastCol">
      <w:tblPr/>
      <w:tcPr>
        <w:tcBorders>
          <w:left w:val="single" w:sz="4" w:space="0" w:color="FFFFFF" w:themeColor="light1"/>
          <w:right w:val="single" w:sz="32" w:space="0" w:color="949494" w:themeColor="accent6" w:themeTint="98"/>
        </w:tcBorders>
      </w:tcPr>
    </w:tblStylePr>
    <w:tblStylePr w:type="band1Vert">
      <w:tblPr/>
      <w:tcPr>
        <w:tcBorders>
          <w:left w:val="single" w:sz="4" w:space="0" w:color="FFFFFF" w:themeColor="light1"/>
          <w:right w:val="single" w:sz="4" w:space="0" w:color="FFFFFF" w:themeColor="light1"/>
        </w:tcBorders>
        <w:shd w:val="clear" w:color="auto" w:fill="949494"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949494" w:themeFill="accent6" w:themeFillTint="98"/>
      </w:tcPr>
    </w:tblStylePr>
    <w:tblStylePr w:type="band2Horz">
      <w:tblPr/>
      <w:tcPr>
        <w:tcBorders>
          <w:top w:val="single" w:sz="4" w:space="0" w:color="FFFFFF" w:themeColor="light1"/>
          <w:bottom w:val="single" w:sz="4" w:space="0" w:color="FFFFFF" w:themeColor="light1"/>
        </w:tcBorders>
        <w:shd w:val="clear" w:color="auto" w:fill="949494" w:themeFill="accent6" w:themeFillTint="98"/>
      </w:tcPr>
    </w:tblStylePr>
  </w:style>
  <w:style w:type="table" w:styleId="ListTable6Colorful">
    <w:name w:val="List Table 6 Colorful"/>
    <w:basedOn w:val="TableNormal"/>
    <w:uiPriority w:val="99"/>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auto" w:fill="BFBFBF" w:themeFill="text1" w:themeFillTint="40"/>
      </w:tcPr>
    </w:tblStylePr>
    <w:tblStylePr w:type="band1Horz">
      <w:rPr>
        <w:rFonts w:ascii="Arial" w:hAnsi="Arial"/>
        <w:color w:val="000000" w:themeColor="text1"/>
        <w:sz w:val="22"/>
      </w:rPr>
      <w:tblPr/>
      <w:tcPr>
        <w:shd w:val="clear" w:color="auto" w:fill="BFBFBF" w:themeFill="text1" w:themeFillTint="40"/>
      </w:tcPr>
    </w:tblStylePr>
    <w:tblStylePr w:type="band2Horz">
      <w:rPr>
        <w:rFonts w:ascii="Arial" w:hAnsi="Arial"/>
        <w:color w:val="000000" w:themeColor="text1"/>
        <w:sz w:val="22"/>
      </w:rPr>
    </w:tblStylePr>
  </w:style>
  <w:style w:type="table" w:customStyle="1" w:styleId="ListTable6Colorful-Accent11">
    <w:name w:val="List Table 6 Colorful - Accent 11"/>
    <w:basedOn w:val="TableNormal"/>
    <w:uiPriority w:val="99"/>
    <w:pPr>
      <w:spacing w:line="240" w:lineRule="auto"/>
    </w:pPr>
    <w:tblPr>
      <w:tblStyleRowBandSize w:val="1"/>
      <w:tblStyleColBandSize w:val="1"/>
      <w:tblBorders>
        <w:top w:val="single" w:sz="4" w:space="0" w:color="DDDDDD" w:themeColor="accent1"/>
        <w:bottom w:val="single" w:sz="4" w:space="0" w:color="DDDDDD" w:themeColor="accent1"/>
      </w:tblBorders>
    </w:tblPr>
    <w:tblStylePr w:type="firstRow">
      <w:rPr>
        <w:b/>
        <w:color w:val="818181" w:themeColor="accent1" w:themeShade="95"/>
      </w:rPr>
      <w:tblPr/>
      <w:tcPr>
        <w:tcBorders>
          <w:bottom w:val="single" w:sz="4" w:space="0" w:color="DDDDDD" w:themeColor="accent1"/>
        </w:tcBorders>
      </w:tcPr>
    </w:tblStylePr>
    <w:tblStylePr w:type="lastRow">
      <w:rPr>
        <w:b/>
        <w:color w:val="818181" w:themeColor="accent1" w:themeShade="95"/>
      </w:rPr>
      <w:tblPr/>
      <w:tcPr>
        <w:tcBorders>
          <w:top w:val="single" w:sz="4" w:space="0" w:color="DDDDDD" w:themeColor="accent1"/>
        </w:tcBorders>
      </w:tcPr>
    </w:tblStylePr>
    <w:tblStylePr w:type="firstCol">
      <w:rPr>
        <w:b/>
        <w:color w:val="818181" w:themeColor="accent1" w:themeShade="95"/>
      </w:rPr>
    </w:tblStylePr>
    <w:tblStylePr w:type="lastCol">
      <w:rPr>
        <w:b/>
        <w:color w:val="818181" w:themeColor="accent1" w:themeShade="95"/>
      </w:rPr>
    </w:tblStylePr>
    <w:tblStylePr w:type="band1Vert">
      <w:tblPr/>
      <w:tcPr>
        <w:shd w:val="clear" w:color="auto" w:fill="F6F6F6" w:themeFill="accent1" w:themeFillTint="40"/>
      </w:tcPr>
    </w:tblStylePr>
    <w:tblStylePr w:type="band1Horz">
      <w:rPr>
        <w:rFonts w:ascii="Arial" w:hAnsi="Arial"/>
        <w:color w:val="818181" w:themeColor="accent1" w:themeShade="95"/>
        <w:sz w:val="22"/>
      </w:rPr>
      <w:tblPr/>
      <w:tcPr>
        <w:shd w:val="clear" w:color="auto" w:fill="F6F6F6" w:themeFill="accent1" w:themeFillTint="40"/>
      </w:tcPr>
    </w:tblStylePr>
    <w:tblStylePr w:type="band2Horz">
      <w:rPr>
        <w:rFonts w:ascii="Arial" w:hAnsi="Arial"/>
        <w:color w:val="818181" w:themeColor="accent1" w:themeShade="95"/>
        <w:sz w:val="22"/>
      </w:rPr>
    </w:tblStylePr>
  </w:style>
  <w:style w:type="table" w:customStyle="1" w:styleId="ListTable6Colorful-Accent21">
    <w:name w:val="List Table 6 Colorful - Accent 21"/>
    <w:basedOn w:val="TableNormal"/>
    <w:uiPriority w:val="99"/>
    <w:pPr>
      <w:spacing w:line="240" w:lineRule="auto"/>
    </w:pPr>
    <w:tblPr>
      <w:tblStyleRowBandSize w:val="1"/>
      <w:tblStyleColBandSize w:val="1"/>
      <w:tblBorders>
        <w:top w:val="single" w:sz="4" w:space="0" w:color="D1D1D1" w:themeColor="accent2" w:themeTint="97"/>
        <w:bottom w:val="single" w:sz="4" w:space="0" w:color="D1D1D1" w:themeColor="accent2" w:themeTint="97"/>
      </w:tblBorders>
    </w:tblPr>
    <w:tblStylePr w:type="firstRow">
      <w:rPr>
        <w:b/>
        <w:color w:val="D1D1D1" w:themeColor="accent2" w:themeTint="97" w:themeShade="95"/>
      </w:rPr>
      <w:tblPr/>
      <w:tcPr>
        <w:tcBorders>
          <w:bottom w:val="single" w:sz="4" w:space="0" w:color="D1D1D1" w:themeColor="accent2" w:themeTint="97"/>
        </w:tcBorders>
      </w:tcPr>
    </w:tblStylePr>
    <w:tblStylePr w:type="lastRow">
      <w:rPr>
        <w:b/>
        <w:color w:val="D1D1D1" w:themeColor="accent2" w:themeTint="97" w:themeShade="95"/>
      </w:rPr>
      <w:tblPr/>
      <w:tcPr>
        <w:tcBorders>
          <w:top w:val="single" w:sz="4" w:space="0" w:color="D1D1D1" w:themeColor="accent2" w:themeTint="97"/>
        </w:tcBorders>
      </w:tcPr>
    </w:tblStylePr>
    <w:tblStylePr w:type="firstCol">
      <w:rPr>
        <w:b/>
        <w:color w:val="D1D1D1" w:themeColor="accent2" w:themeTint="97" w:themeShade="95"/>
      </w:rPr>
    </w:tblStylePr>
    <w:tblStylePr w:type="lastCol">
      <w:rPr>
        <w:b/>
        <w:color w:val="D1D1D1" w:themeColor="accent2" w:themeTint="97" w:themeShade="95"/>
      </w:rPr>
    </w:tblStylePr>
    <w:tblStylePr w:type="band1Vert">
      <w:tblPr/>
      <w:tcPr>
        <w:shd w:val="clear" w:color="auto" w:fill="EBEBEB" w:themeFill="accent2" w:themeFillTint="40"/>
      </w:tcPr>
    </w:tblStylePr>
    <w:tblStylePr w:type="band1Horz">
      <w:rPr>
        <w:rFonts w:ascii="Arial" w:hAnsi="Arial"/>
        <w:color w:val="D1D1D1" w:themeColor="accent2" w:themeTint="97" w:themeShade="95"/>
        <w:sz w:val="22"/>
      </w:rPr>
      <w:tblPr/>
      <w:tcPr>
        <w:shd w:val="clear" w:color="auto" w:fill="EBEBEB" w:themeFill="accent2" w:themeFillTint="40"/>
      </w:tcPr>
    </w:tblStylePr>
    <w:tblStylePr w:type="band2Horz">
      <w:rPr>
        <w:rFonts w:ascii="Arial" w:hAnsi="Arial"/>
        <w:color w:val="D1D1D1" w:themeColor="accent2" w:themeTint="97" w:themeShade="95"/>
        <w:sz w:val="22"/>
      </w:rPr>
    </w:tblStylePr>
  </w:style>
  <w:style w:type="table" w:customStyle="1" w:styleId="ListTable6Colorful-Accent31">
    <w:name w:val="List Table 6 Colorful - Accent 31"/>
    <w:basedOn w:val="TableNormal"/>
    <w:uiPriority w:val="99"/>
    <w:pPr>
      <w:spacing w:line="240" w:lineRule="auto"/>
    </w:pPr>
    <w:tblPr>
      <w:tblStyleRowBandSize w:val="1"/>
      <w:tblStyleColBandSize w:val="1"/>
      <w:tblBorders>
        <w:top w:val="single" w:sz="4" w:space="0" w:color="C0C0C0" w:themeColor="accent3" w:themeTint="98"/>
        <w:bottom w:val="single" w:sz="4" w:space="0" w:color="C0C0C0" w:themeColor="accent3" w:themeTint="98"/>
      </w:tblBorders>
    </w:tblPr>
    <w:tblStylePr w:type="firstRow">
      <w:rPr>
        <w:b/>
        <w:color w:val="C0C0C0" w:themeColor="accent3" w:themeTint="98" w:themeShade="95"/>
      </w:rPr>
      <w:tblPr/>
      <w:tcPr>
        <w:tcBorders>
          <w:bottom w:val="single" w:sz="4" w:space="0" w:color="C0C0C0" w:themeColor="accent3" w:themeTint="98"/>
        </w:tcBorders>
      </w:tcPr>
    </w:tblStylePr>
    <w:tblStylePr w:type="lastRow">
      <w:rPr>
        <w:b/>
        <w:color w:val="C0C0C0" w:themeColor="accent3" w:themeTint="98" w:themeShade="95"/>
      </w:rPr>
      <w:tblPr/>
      <w:tcPr>
        <w:tcBorders>
          <w:top w:val="single" w:sz="4" w:space="0" w:color="C0C0C0" w:themeColor="accent3" w:themeTint="98"/>
        </w:tcBorders>
      </w:tcPr>
    </w:tblStylePr>
    <w:tblStylePr w:type="firstCol">
      <w:rPr>
        <w:b/>
        <w:color w:val="C0C0C0" w:themeColor="accent3" w:themeTint="98" w:themeShade="95"/>
      </w:rPr>
    </w:tblStylePr>
    <w:tblStylePr w:type="lastCol">
      <w:rPr>
        <w:b/>
        <w:color w:val="C0C0C0" w:themeColor="accent3" w:themeTint="98" w:themeShade="95"/>
      </w:rPr>
    </w:tblStylePr>
    <w:tblStylePr w:type="band1Vert">
      <w:tblPr/>
      <w:tcPr>
        <w:shd w:val="clear" w:color="auto" w:fill="E4E4E4" w:themeFill="accent3" w:themeFillTint="40"/>
      </w:tcPr>
    </w:tblStylePr>
    <w:tblStylePr w:type="band1Horz">
      <w:rPr>
        <w:rFonts w:ascii="Arial" w:hAnsi="Arial"/>
        <w:color w:val="C0C0C0" w:themeColor="accent3" w:themeTint="98" w:themeShade="95"/>
        <w:sz w:val="22"/>
      </w:rPr>
      <w:tblPr/>
      <w:tcPr>
        <w:shd w:val="clear" w:color="auto" w:fill="E4E4E4" w:themeFill="accent3" w:themeFillTint="40"/>
      </w:tcPr>
    </w:tblStylePr>
    <w:tblStylePr w:type="band2Horz">
      <w:rPr>
        <w:rFonts w:ascii="Arial" w:hAnsi="Arial"/>
        <w:color w:val="C0C0C0" w:themeColor="accent3" w:themeTint="98" w:themeShade="95"/>
        <w:sz w:val="22"/>
      </w:rPr>
    </w:tblStylePr>
  </w:style>
  <w:style w:type="table" w:customStyle="1" w:styleId="ListTable6Colorful-Accent41">
    <w:name w:val="List Table 6 Colorful - Accent 41"/>
    <w:basedOn w:val="TableNormal"/>
    <w:uiPriority w:val="99"/>
    <w:pPr>
      <w:spacing w:line="240" w:lineRule="auto"/>
    </w:pPr>
    <w:tblPr>
      <w:tblStyleRowBandSize w:val="1"/>
      <w:tblStyleColBandSize w:val="1"/>
      <w:tblBorders>
        <w:top w:val="single" w:sz="4" w:space="0" w:color="B2B2B2" w:themeColor="accent4" w:themeTint="9A"/>
        <w:bottom w:val="single" w:sz="4" w:space="0" w:color="B2B2B2" w:themeColor="accent4" w:themeTint="9A"/>
      </w:tblBorders>
    </w:tblPr>
    <w:tblStylePr w:type="firstRow">
      <w:rPr>
        <w:b/>
        <w:color w:val="B2B2B2" w:themeColor="accent4" w:themeTint="9A" w:themeShade="95"/>
      </w:rPr>
      <w:tblPr/>
      <w:tcPr>
        <w:tcBorders>
          <w:bottom w:val="single" w:sz="4" w:space="0" w:color="B2B2B2" w:themeColor="accent4" w:themeTint="9A"/>
        </w:tcBorders>
      </w:tcPr>
    </w:tblStylePr>
    <w:tblStylePr w:type="lastRow">
      <w:rPr>
        <w:b/>
        <w:color w:val="B2B2B2" w:themeColor="accent4" w:themeTint="9A" w:themeShade="95"/>
      </w:rPr>
      <w:tblPr/>
      <w:tcPr>
        <w:tcBorders>
          <w:top w:val="single" w:sz="4" w:space="0" w:color="B2B2B2" w:themeColor="accent4" w:themeTint="9A"/>
        </w:tcBorders>
      </w:tcPr>
    </w:tblStylePr>
    <w:tblStylePr w:type="firstCol">
      <w:rPr>
        <w:b/>
        <w:color w:val="B2B2B2" w:themeColor="accent4" w:themeTint="9A" w:themeShade="95"/>
      </w:rPr>
    </w:tblStylePr>
    <w:tblStylePr w:type="lastCol">
      <w:rPr>
        <w:b/>
        <w:color w:val="B2B2B2" w:themeColor="accent4" w:themeTint="9A" w:themeShade="95"/>
      </w:rPr>
    </w:tblStylePr>
    <w:tblStylePr w:type="band1Vert">
      <w:tblPr/>
      <w:tcPr>
        <w:shd w:val="clear" w:color="auto" w:fill="DFDFDF" w:themeFill="accent4" w:themeFillTint="40"/>
      </w:tcPr>
    </w:tblStylePr>
    <w:tblStylePr w:type="band1Horz">
      <w:rPr>
        <w:rFonts w:ascii="Arial" w:hAnsi="Arial"/>
        <w:color w:val="B2B2B2" w:themeColor="accent4" w:themeTint="9A" w:themeShade="95"/>
        <w:sz w:val="22"/>
      </w:rPr>
      <w:tblPr/>
      <w:tcPr>
        <w:shd w:val="clear" w:color="auto" w:fill="DFDFDF" w:themeFill="accent4" w:themeFillTint="40"/>
      </w:tcPr>
    </w:tblStylePr>
    <w:tblStylePr w:type="band2Horz">
      <w:rPr>
        <w:rFonts w:ascii="Arial" w:hAnsi="Arial"/>
        <w:color w:val="B2B2B2" w:themeColor="accent4" w:themeTint="9A" w:themeShade="95"/>
        <w:sz w:val="22"/>
      </w:rPr>
    </w:tblStylePr>
  </w:style>
  <w:style w:type="table" w:customStyle="1" w:styleId="ListTable6Colorful-Accent51">
    <w:name w:val="List Table 6 Colorful - Accent 51"/>
    <w:basedOn w:val="TableNormal"/>
    <w:uiPriority w:val="99"/>
    <w:pPr>
      <w:spacing w:line="240" w:lineRule="auto"/>
    </w:pPr>
    <w:tblPr>
      <w:tblStyleRowBandSize w:val="1"/>
      <w:tblStyleColBandSize w:val="1"/>
      <w:tblBorders>
        <w:top w:val="single" w:sz="4" w:space="0" w:color="9E9E9E" w:themeColor="accent5" w:themeTint="9A"/>
        <w:bottom w:val="single" w:sz="4" w:space="0" w:color="9E9E9E" w:themeColor="accent5" w:themeTint="9A"/>
      </w:tblBorders>
    </w:tblPr>
    <w:tblStylePr w:type="firstRow">
      <w:rPr>
        <w:b/>
        <w:color w:val="9E9E9E" w:themeColor="accent5" w:themeTint="9A" w:themeShade="95"/>
      </w:rPr>
      <w:tblPr/>
      <w:tcPr>
        <w:tcBorders>
          <w:bottom w:val="single" w:sz="4" w:space="0" w:color="9E9E9E" w:themeColor="accent5" w:themeTint="9A"/>
        </w:tcBorders>
      </w:tcPr>
    </w:tblStylePr>
    <w:tblStylePr w:type="lastRow">
      <w:rPr>
        <w:b/>
        <w:color w:val="9E9E9E" w:themeColor="accent5" w:themeTint="9A" w:themeShade="95"/>
      </w:rPr>
      <w:tblPr/>
      <w:tcPr>
        <w:tcBorders>
          <w:top w:val="single" w:sz="4" w:space="0" w:color="9E9E9E" w:themeColor="accent5" w:themeTint="9A"/>
        </w:tcBorders>
      </w:tcPr>
    </w:tblStylePr>
    <w:tblStylePr w:type="firstCol">
      <w:rPr>
        <w:b/>
        <w:color w:val="9E9E9E" w:themeColor="accent5" w:themeTint="9A" w:themeShade="95"/>
      </w:rPr>
    </w:tblStylePr>
    <w:tblStylePr w:type="lastCol">
      <w:rPr>
        <w:b/>
        <w:color w:val="9E9E9E" w:themeColor="accent5" w:themeTint="9A" w:themeShade="95"/>
      </w:rPr>
    </w:tblStylePr>
    <w:tblStylePr w:type="band1Vert">
      <w:tblPr/>
      <w:tcPr>
        <w:shd w:val="clear" w:color="auto" w:fill="D6D6D6" w:themeFill="accent5" w:themeFillTint="40"/>
      </w:tcPr>
    </w:tblStylePr>
    <w:tblStylePr w:type="band1Horz">
      <w:rPr>
        <w:rFonts w:ascii="Arial" w:hAnsi="Arial"/>
        <w:color w:val="9E9E9E" w:themeColor="accent5" w:themeTint="9A" w:themeShade="95"/>
        <w:sz w:val="22"/>
      </w:rPr>
      <w:tblPr/>
      <w:tcPr>
        <w:shd w:val="clear" w:color="auto" w:fill="D6D6D6" w:themeFill="accent5" w:themeFillTint="40"/>
      </w:tcPr>
    </w:tblStylePr>
    <w:tblStylePr w:type="band2Horz">
      <w:rPr>
        <w:rFonts w:ascii="Arial" w:hAnsi="Arial"/>
        <w:color w:val="9E9E9E" w:themeColor="accent5" w:themeTint="9A" w:themeShade="95"/>
        <w:sz w:val="22"/>
      </w:rPr>
    </w:tblStylePr>
  </w:style>
  <w:style w:type="table" w:customStyle="1" w:styleId="ListTable6Colorful-Accent61">
    <w:name w:val="List Table 6 Colorful - Accent 61"/>
    <w:basedOn w:val="TableNormal"/>
    <w:uiPriority w:val="99"/>
    <w:pPr>
      <w:spacing w:line="240" w:lineRule="auto"/>
    </w:pPr>
    <w:tblPr>
      <w:tblStyleRowBandSize w:val="1"/>
      <w:tblStyleColBandSize w:val="1"/>
      <w:tblBorders>
        <w:top w:val="single" w:sz="4" w:space="0" w:color="949494" w:themeColor="accent6" w:themeTint="98"/>
        <w:bottom w:val="single" w:sz="4" w:space="0" w:color="949494" w:themeColor="accent6" w:themeTint="98"/>
      </w:tblBorders>
    </w:tblPr>
    <w:tblStylePr w:type="firstRow">
      <w:rPr>
        <w:b/>
        <w:color w:val="949494" w:themeColor="accent6" w:themeTint="98" w:themeShade="95"/>
      </w:rPr>
      <w:tblPr/>
      <w:tcPr>
        <w:tcBorders>
          <w:bottom w:val="single" w:sz="4" w:space="0" w:color="949494" w:themeColor="accent6" w:themeTint="98"/>
        </w:tcBorders>
      </w:tcPr>
    </w:tblStylePr>
    <w:tblStylePr w:type="lastRow">
      <w:rPr>
        <w:b/>
        <w:color w:val="949494" w:themeColor="accent6" w:themeTint="98" w:themeShade="95"/>
      </w:rPr>
      <w:tblPr/>
      <w:tcPr>
        <w:tcBorders>
          <w:top w:val="single" w:sz="4" w:space="0" w:color="949494" w:themeColor="accent6" w:themeTint="98"/>
        </w:tcBorders>
      </w:tcPr>
    </w:tblStylePr>
    <w:tblStylePr w:type="firstCol">
      <w:rPr>
        <w:b/>
        <w:color w:val="949494" w:themeColor="accent6" w:themeTint="98" w:themeShade="95"/>
      </w:rPr>
    </w:tblStylePr>
    <w:tblStylePr w:type="lastCol">
      <w:rPr>
        <w:b/>
        <w:color w:val="949494" w:themeColor="accent6" w:themeTint="98" w:themeShade="95"/>
      </w:rPr>
    </w:tblStylePr>
    <w:tblStylePr w:type="band1Vert">
      <w:tblPr/>
      <w:tcPr>
        <w:shd w:val="clear" w:color="auto" w:fill="D2D2D2" w:themeFill="accent6" w:themeFillTint="40"/>
      </w:tcPr>
    </w:tblStylePr>
    <w:tblStylePr w:type="band1Horz">
      <w:rPr>
        <w:rFonts w:ascii="Arial" w:hAnsi="Arial"/>
        <w:color w:val="949494" w:themeColor="accent6" w:themeTint="98" w:themeShade="95"/>
        <w:sz w:val="22"/>
      </w:rPr>
      <w:tblPr/>
      <w:tcPr>
        <w:shd w:val="clear" w:color="auto" w:fill="D2D2D2" w:themeFill="accent6" w:themeFillTint="40"/>
      </w:tcPr>
    </w:tblStylePr>
    <w:tblStylePr w:type="band2Horz">
      <w:rPr>
        <w:rFonts w:ascii="Arial" w:hAnsi="Arial"/>
        <w:color w:val="949494" w:themeColor="accent6" w:themeTint="98" w:themeShade="95"/>
        <w:sz w:val="22"/>
      </w:rPr>
    </w:tblStylePr>
  </w:style>
  <w:style w:type="table" w:styleId="ListTable7Colorful">
    <w:name w:val="List Table 7 Colorful"/>
    <w:basedOn w:val="TableNormal"/>
    <w:uiPriority w:val="99"/>
    <w:pPr>
      <w:spacing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BFBFBF" w:themeFill="text1" w:themeFillTint="40"/>
      </w:tcPr>
    </w:tblStylePr>
    <w:tblStylePr w:type="band1Horz">
      <w:rPr>
        <w:rFonts w:ascii="Arial" w:hAnsi="Arial"/>
        <w:color w:val="7F7F7F" w:themeColor="text1" w:themeTint="80" w:themeShade="95"/>
        <w:sz w:val="22"/>
      </w:rPr>
      <w:tblPr/>
      <w:tcPr>
        <w:shd w:val="clear" w:color="auto"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1">
    <w:name w:val="List Table 7 Colorful - Accent 11"/>
    <w:basedOn w:val="TableNormal"/>
    <w:uiPriority w:val="99"/>
    <w:pPr>
      <w:spacing w:line="240" w:lineRule="auto"/>
    </w:pPr>
    <w:tblPr>
      <w:tblStyleRowBandSize w:val="1"/>
      <w:tblStyleColBandSize w:val="1"/>
      <w:tblBorders>
        <w:right w:val="single" w:sz="4" w:space="0" w:color="DDDDDD" w:themeColor="accent1"/>
      </w:tblBorders>
    </w:tblPr>
    <w:tblStylePr w:type="firstRow">
      <w:rPr>
        <w:rFonts w:ascii="Arial" w:hAnsi="Arial"/>
        <w:i/>
        <w:color w:val="818181" w:themeColor="accent1" w:themeShade="95"/>
        <w:sz w:val="22"/>
      </w:rPr>
      <w:tblPr/>
      <w:tcPr>
        <w:tcBorders>
          <w:top w:val="none" w:sz="0" w:space="0" w:color="auto"/>
          <w:left w:val="none" w:sz="0" w:space="0" w:color="auto"/>
          <w:bottom w:val="single" w:sz="4" w:space="0" w:color="DDDDDD" w:themeColor="accent1"/>
          <w:right w:val="none" w:sz="0" w:space="0" w:color="auto"/>
        </w:tcBorders>
        <w:shd w:val="clear" w:color="auto" w:fill="FFFFFF" w:themeFill="light1"/>
      </w:tcPr>
    </w:tblStylePr>
    <w:tblStylePr w:type="lastRow">
      <w:rPr>
        <w:rFonts w:ascii="Arial" w:hAnsi="Arial"/>
        <w:i/>
        <w:color w:val="818181" w:themeColor="accent1" w:themeShade="95"/>
        <w:sz w:val="22"/>
      </w:rPr>
      <w:tblPr/>
      <w:tcPr>
        <w:tcBorders>
          <w:top w:val="single" w:sz="4" w:space="0" w:color="DDDDDD" w:themeColor="accent1"/>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818181" w:themeColor="accent1" w:themeShade="95"/>
        <w:sz w:val="22"/>
      </w:rPr>
      <w:tblPr/>
      <w:tcPr>
        <w:tcBorders>
          <w:top w:val="none" w:sz="0" w:space="0" w:color="auto"/>
          <w:left w:val="none" w:sz="0" w:space="0" w:color="auto"/>
          <w:bottom w:val="none" w:sz="0" w:space="0" w:color="auto"/>
          <w:right w:val="single" w:sz="4" w:space="0" w:color="DDDDDD" w:themeColor="accent1"/>
        </w:tcBorders>
        <w:shd w:val="clear" w:color="auto" w:fill="FFFFFF"/>
      </w:tcPr>
    </w:tblStylePr>
    <w:tblStylePr w:type="lastCol">
      <w:rPr>
        <w:rFonts w:ascii="Arial" w:hAnsi="Arial"/>
        <w:i/>
        <w:color w:val="818181" w:themeColor="accent1" w:themeShade="95"/>
        <w:sz w:val="22"/>
      </w:rPr>
      <w:tblPr/>
      <w:tcPr>
        <w:tcBorders>
          <w:top w:val="none" w:sz="0" w:space="0" w:color="auto"/>
          <w:left w:val="single" w:sz="4" w:space="0" w:color="DDDDDD" w:themeColor="accent1"/>
          <w:bottom w:val="none" w:sz="0" w:space="0" w:color="auto"/>
          <w:right w:val="none" w:sz="0" w:space="0" w:color="auto"/>
        </w:tcBorders>
        <w:shd w:val="clear" w:color="auto" w:fill="FFFFFF"/>
      </w:tcPr>
    </w:tblStylePr>
    <w:tblStylePr w:type="band1Vert">
      <w:tblPr/>
      <w:tcPr>
        <w:shd w:val="clear" w:color="auto" w:fill="F6F6F6" w:themeFill="accent1" w:themeFillTint="40"/>
      </w:tcPr>
    </w:tblStylePr>
    <w:tblStylePr w:type="band1Horz">
      <w:rPr>
        <w:rFonts w:ascii="Arial" w:hAnsi="Arial"/>
        <w:color w:val="818181" w:themeColor="accent1" w:themeShade="95"/>
        <w:sz w:val="22"/>
      </w:rPr>
      <w:tblPr/>
      <w:tcPr>
        <w:shd w:val="clear" w:color="auto" w:fill="F6F6F6" w:themeFill="accent1" w:themeFillTint="40"/>
      </w:tcPr>
    </w:tblStylePr>
    <w:tblStylePr w:type="band2Horz">
      <w:rPr>
        <w:rFonts w:ascii="Arial" w:hAnsi="Arial"/>
        <w:color w:val="818181" w:themeColor="accent1" w:themeShade="95"/>
        <w:sz w:val="22"/>
      </w:rPr>
    </w:tblStylePr>
  </w:style>
  <w:style w:type="table" w:customStyle="1" w:styleId="ListTable7Colorful-Accent21">
    <w:name w:val="List Table 7 Colorful - Accent 21"/>
    <w:basedOn w:val="TableNormal"/>
    <w:uiPriority w:val="99"/>
    <w:pPr>
      <w:spacing w:line="240" w:lineRule="auto"/>
    </w:pPr>
    <w:tblPr>
      <w:tblStyleRowBandSize w:val="1"/>
      <w:tblStyleColBandSize w:val="1"/>
      <w:tblBorders>
        <w:right w:val="single" w:sz="4" w:space="0" w:color="D1D1D1" w:themeColor="accent2" w:themeTint="97"/>
      </w:tblBorders>
    </w:tblPr>
    <w:tblStylePr w:type="firstRow">
      <w:rPr>
        <w:rFonts w:ascii="Arial" w:hAnsi="Arial"/>
        <w:i/>
        <w:color w:val="D1D1D1" w:themeColor="accent2" w:themeTint="97" w:themeShade="95"/>
        <w:sz w:val="22"/>
      </w:rPr>
      <w:tblPr/>
      <w:tcPr>
        <w:tcBorders>
          <w:top w:val="none" w:sz="0" w:space="0" w:color="auto"/>
          <w:left w:val="none" w:sz="0" w:space="0" w:color="auto"/>
          <w:bottom w:val="single" w:sz="4" w:space="0" w:color="D1D1D1" w:themeColor="accent2" w:themeTint="97"/>
          <w:right w:val="none" w:sz="0" w:space="0" w:color="auto"/>
        </w:tcBorders>
        <w:shd w:val="clear" w:color="auto" w:fill="FFFFFF" w:themeFill="light1"/>
      </w:tcPr>
    </w:tblStylePr>
    <w:tblStylePr w:type="lastRow">
      <w:rPr>
        <w:rFonts w:ascii="Arial" w:hAnsi="Arial"/>
        <w:i/>
        <w:color w:val="D1D1D1" w:themeColor="accent2" w:themeTint="97" w:themeShade="95"/>
        <w:sz w:val="22"/>
      </w:rPr>
      <w:tblPr/>
      <w:tcPr>
        <w:tcBorders>
          <w:top w:val="single" w:sz="4" w:space="0" w:color="D1D1D1"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D1D1D1" w:themeColor="accent2" w:themeTint="97" w:themeShade="95"/>
        <w:sz w:val="22"/>
      </w:rPr>
      <w:tblPr/>
      <w:tcPr>
        <w:tcBorders>
          <w:top w:val="none" w:sz="0" w:space="0" w:color="auto"/>
          <w:left w:val="none" w:sz="0" w:space="0" w:color="auto"/>
          <w:bottom w:val="none" w:sz="0" w:space="0" w:color="auto"/>
          <w:right w:val="single" w:sz="4" w:space="0" w:color="D1D1D1" w:themeColor="accent2" w:themeTint="97"/>
        </w:tcBorders>
        <w:shd w:val="clear" w:color="auto" w:fill="FFFFFF"/>
      </w:tcPr>
    </w:tblStylePr>
    <w:tblStylePr w:type="lastCol">
      <w:rPr>
        <w:rFonts w:ascii="Arial" w:hAnsi="Arial"/>
        <w:i/>
        <w:color w:val="D1D1D1" w:themeColor="accent2" w:themeTint="97" w:themeShade="95"/>
        <w:sz w:val="22"/>
      </w:rPr>
      <w:tblPr/>
      <w:tcPr>
        <w:tcBorders>
          <w:top w:val="none" w:sz="0" w:space="0" w:color="auto"/>
          <w:left w:val="single" w:sz="4" w:space="0" w:color="D1D1D1" w:themeColor="accent2" w:themeTint="97"/>
          <w:bottom w:val="none" w:sz="0" w:space="0" w:color="auto"/>
          <w:right w:val="none" w:sz="0" w:space="0" w:color="auto"/>
        </w:tcBorders>
        <w:shd w:val="clear" w:color="auto" w:fill="FFFFFF"/>
      </w:tcPr>
    </w:tblStylePr>
    <w:tblStylePr w:type="band1Vert">
      <w:tblPr/>
      <w:tcPr>
        <w:shd w:val="clear" w:color="auto" w:fill="EBEBEB" w:themeFill="accent2" w:themeFillTint="40"/>
      </w:tcPr>
    </w:tblStylePr>
    <w:tblStylePr w:type="band1Horz">
      <w:rPr>
        <w:rFonts w:ascii="Arial" w:hAnsi="Arial"/>
        <w:color w:val="D1D1D1" w:themeColor="accent2" w:themeTint="97" w:themeShade="95"/>
        <w:sz w:val="22"/>
      </w:rPr>
      <w:tblPr/>
      <w:tcPr>
        <w:shd w:val="clear" w:color="auto" w:fill="EBEBEB" w:themeFill="accent2" w:themeFillTint="40"/>
      </w:tcPr>
    </w:tblStylePr>
    <w:tblStylePr w:type="band2Horz">
      <w:rPr>
        <w:rFonts w:ascii="Arial" w:hAnsi="Arial"/>
        <w:color w:val="D1D1D1" w:themeColor="accent2" w:themeTint="97" w:themeShade="95"/>
        <w:sz w:val="22"/>
      </w:rPr>
    </w:tblStylePr>
  </w:style>
  <w:style w:type="table" w:customStyle="1" w:styleId="ListTable7Colorful-Accent31">
    <w:name w:val="List Table 7 Colorful - Accent 31"/>
    <w:basedOn w:val="TableNormal"/>
    <w:uiPriority w:val="99"/>
    <w:pPr>
      <w:spacing w:line="240" w:lineRule="auto"/>
    </w:pPr>
    <w:tblPr>
      <w:tblStyleRowBandSize w:val="1"/>
      <w:tblStyleColBandSize w:val="1"/>
      <w:tblBorders>
        <w:right w:val="single" w:sz="4" w:space="0" w:color="C0C0C0" w:themeColor="accent3" w:themeTint="98"/>
      </w:tblBorders>
    </w:tblPr>
    <w:tblStylePr w:type="firstRow">
      <w:rPr>
        <w:rFonts w:ascii="Arial" w:hAnsi="Arial"/>
        <w:i/>
        <w:color w:val="C0C0C0" w:themeColor="accent3" w:themeTint="98" w:themeShade="95"/>
        <w:sz w:val="22"/>
      </w:rPr>
      <w:tblPr/>
      <w:tcPr>
        <w:tcBorders>
          <w:top w:val="none" w:sz="0" w:space="0" w:color="auto"/>
          <w:left w:val="none" w:sz="0" w:space="0" w:color="auto"/>
          <w:bottom w:val="single" w:sz="4" w:space="0" w:color="C0C0C0" w:themeColor="accent3" w:themeTint="98"/>
          <w:right w:val="none" w:sz="0" w:space="0" w:color="auto"/>
        </w:tcBorders>
        <w:shd w:val="clear" w:color="auto" w:fill="FFFFFF" w:themeFill="light1"/>
      </w:tcPr>
    </w:tblStylePr>
    <w:tblStylePr w:type="lastRow">
      <w:rPr>
        <w:rFonts w:ascii="Arial" w:hAnsi="Arial"/>
        <w:i/>
        <w:color w:val="C0C0C0" w:themeColor="accent3" w:themeTint="98" w:themeShade="95"/>
        <w:sz w:val="22"/>
      </w:rPr>
      <w:tblPr/>
      <w:tcPr>
        <w:tcBorders>
          <w:top w:val="single" w:sz="4" w:space="0" w:color="C0C0C0" w:themeColor="accent3"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C0C0C0" w:themeColor="accent3" w:themeTint="98" w:themeShade="95"/>
        <w:sz w:val="22"/>
      </w:rPr>
      <w:tblPr/>
      <w:tcPr>
        <w:tcBorders>
          <w:top w:val="none" w:sz="0" w:space="0" w:color="auto"/>
          <w:left w:val="none" w:sz="0" w:space="0" w:color="auto"/>
          <w:bottom w:val="none" w:sz="0" w:space="0" w:color="auto"/>
          <w:right w:val="single" w:sz="4" w:space="0" w:color="C0C0C0" w:themeColor="accent3" w:themeTint="98"/>
        </w:tcBorders>
        <w:shd w:val="clear" w:color="auto" w:fill="FFFFFF"/>
      </w:tcPr>
    </w:tblStylePr>
    <w:tblStylePr w:type="lastCol">
      <w:rPr>
        <w:rFonts w:ascii="Arial" w:hAnsi="Arial"/>
        <w:i/>
        <w:color w:val="C0C0C0" w:themeColor="accent3" w:themeTint="98" w:themeShade="95"/>
        <w:sz w:val="22"/>
      </w:rPr>
      <w:tblPr/>
      <w:tcPr>
        <w:tcBorders>
          <w:top w:val="none" w:sz="0" w:space="0" w:color="auto"/>
          <w:left w:val="single" w:sz="4" w:space="0" w:color="C0C0C0" w:themeColor="accent3" w:themeTint="98"/>
          <w:bottom w:val="none" w:sz="0" w:space="0" w:color="auto"/>
          <w:right w:val="none" w:sz="0" w:space="0" w:color="auto"/>
        </w:tcBorders>
        <w:shd w:val="clear" w:color="auto" w:fill="FFFFFF"/>
      </w:tcPr>
    </w:tblStylePr>
    <w:tblStylePr w:type="band1Vert">
      <w:tblPr/>
      <w:tcPr>
        <w:shd w:val="clear" w:color="auto" w:fill="E4E4E4" w:themeFill="accent3" w:themeFillTint="40"/>
      </w:tcPr>
    </w:tblStylePr>
    <w:tblStylePr w:type="band1Horz">
      <w:rPr>
        <w:rFonts w:ascii="Arial" w:hAnsi="Arial"/>
        <w:color w:val="C0C0C0" w:themeColor="accent3" w:themeTint="98" w:themeShade="95"/>
        <w:sz w:val="22"/>
      </w:rPr>
      <w:tblPr/>
      <w:tcPr>
        <w:shd w:val="clear" w:color="auto" w:fill="E4E4E4" w:themeFill="accent3" w:themeFillTint="40"/>
      </w:tcPr>
    </w:tblStylePr>
    <w:tblStylePr w:type="band2Horz">
      <w:rPr>
        <w:rFonts w:ascii="Arial" w:hAnsi="Arial"/>
        <w:color w:val="C0C0C0" w:themeColor="accent3" w:themeTint="98" w:themeShade="95"/>
        <w:sz w:val="22"/>
      </w:rPr>
    </w:tblStylePr>
  </w:style>
  <w:style w:type="table" w:customStyle="1" w:styleId="ListTable7Colorful-Accent41">
    <w:name w:val="List Table 7 Colorful - Accent 41"/>
    <w:basedOn w:val="TableNormal"/>
    <w:uiPriority w:val="99"/>
    <w:pPr>
      <w:spacing w:line="240" w:lineRule="auto"/>
    </w:pPr>
    <w:tblPr>
      <w:tblStyleRowBandSize w:val="1"/>
      <w:tblStyleColBandSize w:val="1"/>
      <w:tblBorders>
        <w:right w:val="single" w:sz="4" w:space="0" w:color="B2B2B2" w:themeColor="accent4" w:themeTint="9A"/>
      </w:tblBorders>
    </w:tblPr>
    <w:tblStylePr w:type="firstRow">
      <w:rPr>
        <w:rFonts w:ascii="Arial" w:hAnsi="Arial"/>
        <w:i/>
        <w:color w:val="B2B2B2" w:themeColor="accent4" w:themeTint="9A" w:themeShade="95"/>
        <w:sz w:val="22"/>
      </w:rPr>
      <w:tblPr/>
      <w:tcPr>
        <w:tcBorders>
          <w:top w:val="none" w:sz="0" w:space="0" w:color="auto"/>
          <w:left w:val="none" w:sz="0" w:space="0" w:color="auto"/>
          <w:bottom w:val="single" w:sz="4" w:space="0" w:color="B2B2B2" w:themeColor="accent4" w:themeTint="9A"/>
          <w:right w:val="none" w:sz="0" w:space="0" w:color="auto"/>
        </w:tcBorders>
        <w:shd w:val="clear" w:color="auto" w:fill="FFFFFF" w:themeFill="light1"/>
      </w:tcPr>
    </w:tblStylePr>
    <w:tblStylePr w:type="lastRow">
      <w:rPr>
        <w:rFonts w:ascii="Arial" w:hAnsi="Arial"/>
        <w:i/>
        <w:color w:val="B2B2B2" w:themeColor="accent4" w:themeTint="9A" w:themeShade="95"/>
        <w:sz w:val="22"/>
      </w:rPr>
      <w:tblPr/>
      <w:tcPr>
        <w:tcBorders>
          <w:top w:val="single" w:sz="4" w:space="0" w:color="B2B2B2"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B2B2B2" w:themeColor="accent4" w:themeTint="9A" w:themeShade="95"/>
        <w:sz w:val="22"/>
      </w:rPr>
      <w:tblPr/>
      <w:tcPr>
        <w:tcBorders>
          <w:top w:val="none" w:sz="0" w:space="0" w:color="auto"/>
          <w:left w:val="none" w:sz="0" w:space="0" w:color="auto"/>
          <w:bottom w:val="none" w:sz="0" w:space="0" w:color="auto"/>
          <w:right w:val="single" w:sz="4" w:space="0" w:color="B2B2B2" w:themeColor="accent4" w:themeTint="9A"/>
        </w:tcBorders>
        <w:shd w:val="clear" w:color="auto" w:fill="FFFFFF"/>
      </w:tcPr>
    </w:tblStylePr>
    <w:tblStylePr w:type="lastCol">
      <w:rPr>
        <w:rFonts w:ascii="Arial" w:hAnsi="Arial"/>
        <w:i/>
        <w:color w:val="B2B2B2" w:themeColor="accent4" w:themeTint="9A" w:themeShade="95"/>
        <w:sz w:val="22"/>
      </w:rPr>
      <w:tblPr/>
      <w:tcPr>
        <w:tcBorders>
          <w:top w:val="none" w:sz="0" w:space="0" w:color="auto"/>
          <w:left w:val="single" w:sz="4" w:space="0" w:color="B2B2B2" w:themeColor="accent4" w:themeTint="9A"/>
          <w:bottom w:val="none" w:sz="0" w:space="0" w:color="auto"/>
          <w:right w:val="none" w:sz="0" w:space="0" w:color="auto"/>
        </w:tcBorders>
        <w:shd w:val="clear" w:color="auto" w:fill="FFFFFF"/>
      </w:tcPr>
    </w:tblStylePr>
    <w:tblStylePr w:type="band1Vert">
      <w:tblPr/>
      <w:tcPr>
        <w:shd w:val="clear" w:color="auto" w:fill="DFDFDF" w:themeFill="accent4" w:themeFillTint="40"/>
      </w:tcPr>
    </w:tblStylePr>
    <w:tblStylePr w:type="band1Horz">
      <w:rPr>
        <w:rFonts w:ascii="Arial" w:hAnsi="Arial"/>
        <w:color w:val="B2B2B2" w:themeColor="accent4" w:themeTint="9A" w:themeShade="95"/>
        <w:sz w:val="22"/>
      </w:rPr>
      <w:tblPr/>
      <w:tcPr>
        <w:shd w:val="clear" w:color="auto" w:fill="DFDFDF" w:themeFill="accent4" w:themeFillTint="40"/>
      </w:tcPr>
    </w:tblStylePr>
    <w:tblStylePr w:type="band2Horz">
      <w:rPr>
        <w:rFonts w:ascii="Arial" w:hAnsi="Arial"/>
        <w:color w:val="B2B2B2" w:themeColor="accent4" w:themeTint="9A" w:themeShade="95"/>
        <w:sz w:val="22"/>
      </w:rPr>
    </w:tblStylePr>
  </w:style>
  <w:style w:type="table" w:customStyle="1" w:styleId="ListTable7Colorful-Accent51">
    <w:name w:val="List Table 7 Colorful - Accent 51"/>
    <w:basedOn w:val="TableNormal"/>
    <w:uiPriority w:val="99"/>
    <w:pPr>
      <w:spacing w:line="240" w:lineRule="auto"/>
    </w:pPr>
    <w:tblPr>
      <w:tblStyleRowBandSize w:val="1"/>
      <w:tblStyleColBandSize w:val="1"/>
      <w:tblBorders>
        <w:right w:val="single" w:sz="4" w:space="0" w:color="9E9E9E" w:themeColor="accent5" w:themeTint="9A"/>
      </w:tblBorders>
    </w:tblPr>
    <w:tblStylePr w:type="firstRow">
      <w:rPr>
        <w:rFonts w:ascii="Arial" w:hAnsi="Arial"/>
        <w:i/>
        <w:color w:val="9E9E9E" w:themeColor="accent5" w:themeTint="9A" w:themeShade="95"/>
        <w:sz w:val="22"/>
      </w:rPr>
      <w:tblPr/>
      <w:tcPr>
        <w:tcBorders>
          <w:top w:val="none" w:sz="0" w:space="0" w:color="auto"/>
          <w:left w:val="none" w:sz="0" w:space="0" w:color="auto"/>
          <w:bottom w:val="single" w:sz="4" w:space="0" w:color="9E9E9E" w:themeColor="accent5" w:themeTint="9A"/>
          <w:right w:val="none" w:sz="0" w:space="0" w:color="auto"/>
        </w:tcBorders>
        <w:shd w:val="clear" w:color="auto" w:fill="FFFFFF" w:themeFill="light1"/>
      </w:tcPr>
    </w:tblStylePr>
    <w:tblStylePr w:type="lastRow">
      <w:rPr>
        <w:rFonts w:ascii="Arial" w:hAnsi="Arial"/>
        <w:i/>
        <w:color w:val="9E9E9E" w:themeColor="accent5" w:themeTint="9A" w:themeShade="95"/>
        <w:sz w:val="22"/>
      </w:rPr>
      <w:tblPr/>
      <w:tcPr>
        <w:tcBorders>
          <w:top w:val="single" w:sz="4" w:space="0" w:color="9E9E9E" w:themeColor="accent5"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9E9E9E" w:themeColor="accent5" w:themeTint="9A" w:themeShade="95"/>
        <w:sz w:val="22"/>
      </w:rPr>
      <w:tblPr/>
      <w:tcPr>
        <w:tcBorders>
          <w:top w:val="none" w:sz="0" w:space="0" w:color="auto"/>
          <w:left w:val="none" w:sz="0" w:space="0" w:color="auto"/>
          <w:bottom w:val="none" w:sz="0" w:space="0" w:color="auto"/>
          <w:right w:val="single" w:sz="4" w:space="0" w:color="9E9E9E" w:themeColor="accent5" w:themeTint="9A"/>
        </w:tcBorders>
        <w:shd w:val="clear" w:color="auto" w:fill="FFFFFF"/>
      </w:tcPr>
    </w:tblStylePr>
    <w:tblStylePr w:type="lastCol">
      <w:rPr>
        <w:rFonts w:ascii="Arial" w:hAnsi="Arial"/>
        <w:i/>
        <w:color w:val="9E9E9E" w:themeColor="accent5" w:themeTint="9A" w:themeShade="95"/>
        <w:sz w:val="22"/>
      </w:rPr>
      <w:tblPr/>
      <w:tcPr>
        <w:tcBorders>
          <w:top w:val="none" w:sz="0" w:space="0" w:color="auto"/>
          <w:left w:val="single" w:sz="4" w:space="0" w:color="9E9E9E" w:themeColor="accent5" w:themeTint="9A"/>
          <w:bottom w:val="none" w:sz="0" w:space="0" w:color="auto"/>
          <w:right w:val="none" w:sz="0" w:space="0" w:color="auto"/>
        </w:tcBorders>
        <w:shd w:val="clear" w:color="auto" w:fill="FFFFFF"/>
      </w:tcPr>
    </w:tblStylePr>
    <w:tblStylePr w:type="band1Vert">
      <w:tblPr/>
      <w:tcPr>
        <w:shd w:val="clear" w:color="auto" w:fill="D6D6D6" w:themeFill="accent5" w:themeFillTint="40"/>
      </w:tcPr>
    </w:tblStylePr>
    <w:tblStylePr w:type="band1Horz">
      <w:rPr>
        <w:rFonts w:ascii="Arial" w:hAnsi="Arial"/>
        <w:color w:val="9E9E9E" w:themeColor="accent5" w:themeTint="9A" w:themeShade="95"/>
        <w:sz w:val="22"/>
      </w:rPr>
      <w:tblPr/>
      <w:tcPr>
        <w:shd w:val="clear" w:color="auto" w:fill="D6D6D6" w:themeFill="accent5" w:themeFillTint="40"/>
      </w:tcPr>
    </w:tblStylePr>
    <w:tblStylePr w:type="band2Horz">
      <w:rPr>
        <w:rFonts w:ascii="Arial" w:hAnsi="Arial"/>
        <w:color w:val="9E9E9E" w:themeColor="accent5" w:themeTint="9A" w:themeShade="95"/>
        <w:sz w:val="22"/>
      </w:rPr>
    </w:tblStylePr>
  </w:style>
  <w:style w:type="table" w:customStyle="1" w:styleId="ListTable7Colorful-Accent61">
    <w:name w:val="List Table 7 Colorful - Accent 61"/>
    <w:basedOn w:val="TableNormal"/>
    <w:uiPriority w:val="99"/>
    <w:pPr>
      <w:spacing w:line="240" w:lineRule="auto"/>
    </w:pPr>
    <w:tblPr>
      <w:tblStyleRowBandSize w:val="1"/>
      <w:tblStyleColBandSize w:val="1"/>
      <w:tblBorders>
        <w:right w:val="single" w:sz="4" w:space="0" w:color="949494" w:themeColor="accent6" w:themeTint="98"/>
      </w:tblBorders>
    </w:tblPr>
    <w:tblStylePr w:type="firstRow">
      <w:rPr>
        <w:rFonts w:ascii="Arial" w:hAnsi="Arial"/>
        <w:i/>
        <w:color w:val="949494" w:themeColor="accent6" w:themeTint="98" w:themeShade="95"/>
        <w:sz w:val="22"/>
      </w:rPr>
      <w:tblPr/>
      <w:tcPr>
        <w:tcBorders>
          <w:top w:val="none" w:sz="0" w:space="0" w:color="auto"/>
          <w:left w:val="none" w:sz="0" w:space="0" w:color="auto"/>
          <w:bottom w:val="single" w:sz="4" w:space="0" w:color="949494" w:themeColor="accent6" w:themeTint="98"/>
          <w:right w:val="none" w:sz="0" w:space="0" w:color="auto"/>
        </w:tcBorders>
        <w:shd w:val="clear" w:color="auto" w:fill="FFFFFF" w:themeFill="light1"/>
      </w:tcPr>
    </w:tblStylePr>
    <w:tblStylePr w:type="lastRow">
      <w:rPr>
        <w:rFonts w:ascii="Arial" w:hAnsi="Arial"/>
        <w:i/>
        <w:color w:val="949494" w:themeColor="accent6" w:themeTint="98" w:themeShade="95"/>
        <w:sz w:val="22"/>
      </w:rPr>
      <w:tblPr/>
      <w:tcPr>
        <w:tcBorders>
          <w:top w:val="single" w:sz="4" w:space="0" w:color="949494" w:themeColor="accent6"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949494" w:themeColor="accent6" w:themeTint="98" w:themeShade="95"/>
        <w:sz w:val="22"/>
      </w:rPr>
      <w:tblPr/>
      <w:tcPr>
        <w:tcBorders>
          <w:top w:val="none" w:sz="0" w:space="0" w:color="auto"/>
          <w:left w:val="none" w:sz="0" w:space="0" w:color="auto"/>
          <w:bottom w:val="none" w:sz="0" w:space="0" w:color="auto"/>
          <w:right w:val="single" w:sz="4" w:space="0" w:color="949494" w:themeColor="accent6" w:themeTint="98"/>
        </w:tcBorders>
        <w:shd w:val="clear" w:color="auto" w:fill="FFFFFF"/>
      </w:tcPr>
    </w:tblStylePr>
    <w:tblStylePr w:type="lastCol">
      <w:rPr>
        <w:rFonts w:ascii="Arial" w:hAnsi="Arial"/>
        <w:i/>
        <w:color w:val="949494" w:themeColor="accent6" w:themeTint="98" w:themeShade="95"/>
        <w:sz w:val="22"/>
      </w:rPr>
      <w:tblPr/>
      <w:tcPr>
        <w:tcBorders>
          <w:top w:val="none" w:sz="0" w:space="0" w:color="auto"/>
          <w:left w:val="single" w:sz="4" w:space="0" w:color="949494" w:themeColor="accent6" w:themeTint="98"/>
          <w:bottom w:val="none" w:sz="0" w:space="0" w:color="auto"/>
          <w:right w:val="none" w:sz="0" w:space="0" w:color="auto"/>
        </w:tcBorders>
        <w:shd w:val="clear" w:color="auto" w:fill="FFFFFF"/>
      </w:tcPr>
    </w:tblStylePr>
    <w:tblStylePr w:type="band1Vert">
      <w:tblPr/>
      <w:tcPr>
        <w:shd w:val="clear" w:color="auto" w:fill="D2D2D2" w:themeFill="accent6" w:themeFillTint="40"/>
      </w:tcPr>
    </w:tblStylePr>
    <w:tblStylePr w:type="band1Horz">
      <w:rPr>
        <w:rFonts w:ascii="Arial" w:hAnsi="Arial"/>
        <w:color w:val="949494" w:themeColor="accent6" w:themeTint="98" w:themeShade="95"/>
        <w:sz w:val="22"/>
      </w:rPr>
      <w:tblPr/>
      <w:tcPr>
        <w:shd w:val="clear" w:color="auto" w:fill="D2D2D2" w:themeFill="accent6" w:themeFillTint="40"/>
      </w:tcPr>
    </w:tblStylePr>
    <w:tblStylePr w:type="band2Horz">
      <w:rPr>
        <w:rFonts w:ascii="Arial" w:hAnsi="Arial"/>
        <w:color w:val="949494" w:themeColor="accent6" w:themeTint="98" w:themeShade="95"/>
        <w:sz w:val="22"/>
      </w:rPr>
    </w:tblStylePr>
  </w:style>
  <w:style w:type="table" w:customStyle="1" w:styleId="Lined-Accent">
    <w:name w:val="Lined - Accent"/>
    <w:basedOn w:val="TableNormal"/>
    <w:uiPriority w:val="99"/>
    <w:pPr>
      <w:spacing w:line="240" w:lineRule="auto"/>
    </w:pPr>
    <w:rPr>
      <w:color w:val="404040"/>
      <w:sz w:val="20"/>
      <w:szCs w:val="20"/>
      <w:lang w:val="de-DE" w:eastAsia="de-DE"/>
    </w:rPr>
    <w:tblPr>
      <w:tblStyleRowBandSize w:val="1"/>
      <w:tblStyleColBandSize w:val="1"/>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Lined-Accent1">
    <w:name w:val="Lined - Accent 1"/>
    <w:basedOn w:val="TableNormal"/>
    <w:uiPriority w:val="99"/>
    <w:pPr>
      <w:spacing w:line="240" w:lineRule="auto"/>
    </w:pPr>
    <w:rPr>
      <w:color w:val="404040"/>
      <w:sz w:val="20"/>
      <w:szCs w:val="20"/>
      <w:lang w:val="de-DE" w:eastAsia="de-DE"/>
    </w:rPr>
    <w:tblPr>
      <w:tblStyleRowBandSize w:val="1"/>
      <w:tblStyleColBandSize w:val="1"/>
    </w:tblPr>
    <w:tblStylePr w:type="firstRow">
      <w:rPr>
        <w:rFonts w:ascii="Arial" w:hAnsi="Arial"/>
        <w:color w:val="F2F2F2"/>
        <w:sz w:val="22"/>
      </w:rPr>
      <w:tblPr/>
      <w:tcPr>
        <w:shd w:val="clear" w:color="auto" w:fill="DFDFDF" w:themeFill="accent1" w:themeFillTint="EA"/>
      </w:tcPr>
    </w:tblStylePr>
    <w:tblStylePr w:type="lastRow">
      <w:rPr>
        <w:rFonts w:ascii="Arial" w:hAnsi="Arial"/>
        <w:color w:val="F2F2F2"/>
        <w:sz w:val="22"/>
      </w:rPr>
      <w:tblPr/>
      <w:tcPr>
        <w:shd w:val="clear" w:color="auto" w:fill="DFDFDF" w:themeFill="accent1" w:themeFillTint="EA"/>
      </w:tcPr>
    </w:tblStylePr>
    <w:tblStylePr w:type="firstCol">
      <w:rPr>
        <w:rFonts w:ascii="Arial" w:hAnsi="Arial"/>
        <w:color w:val="F2F2F2"/>
        <w:sz w:val="22"/>
      </w:rPr>
      <w:tblPr/>
      <w:tcPr>
        <w:shd w:val="clear" w:color="auto" w:fill="DFDFDF" w:themeFill="accent1" w:themeFillTint="EA"/>
      </w:tcPr>
    </w:tblStylePr>
    <w:tblStylePr w:type="lastCol">
      <w:rPr>
        <w:rFonts w:ascii="Arial" w:hAnsi="Arial"/>
        <w:color w:val="F2F2F2"/>
        <w:sz w:val="22"/>
      </w:rPr>
      <w:tblPr/>
      <w:tcPr>
        <w:shd w:val="clear" w:color="auto" w:fill="DFDFDF"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F4F4F4"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F4F4F4" w:themeFill="accent1" w:themeFillTint="50"/>
      </w:tcPr>
    </w:tblStylePr>
  </w:style>
  <w:style w:type="table" w:customStyle="1" w:styleId="Lined-Accent2">
    <w:name w:val="Lined - Accent 2"/>
    <w:basedOn w:val="TableNormal"/>
    <w:uiPriority w:val="99"/>
    <w:pPr>
      <w:spacing w:line="240" w:lineRule="auto"/>
    </w:pPr>
    <w:rPr>
      <w:color w:val="404040"/>
      <w:sz w:val="20"/>
      <w:szCs w:val="20"/>
      <w:lang w:val="de-DE" w:eastAsia="de-DE"/>
    </w:rPr>
    <w:tblPr>
      <w:tblStyleRowBandSize w:val="1"/>
      <w:tblStyleColBandSize w:val="1"/>
    </w:tblPr>
    <w:tblStylePr w:type="firstRow">
      <w:rPr>
        <w:rFonts w:ascii="Arial" w:hAnsi="Arial"/>
        <w:color w:val="F2F2F2"/>
        <w:sz w:val="22"/>
      </w:rPr>
      <w:tblPr/>
      <w:tcPr>
        <w:shd w:val="clear" w:color="auto" w:fill="D1D1D1" w:themeFill="accent2" w:themeFillTint="97"/>
      </w:tcPr>
    </w:tblStylePr>
    <w:tblStylePr w:type="lastRow">
      <w:rPr>
        <w:rFonts w:ascii="Arial" w:hAnsi="Arial"/>
        <w:color w:val="F2F2F2"/>
        <w:sz w:val="22"/>
      </w:rPr>
      <w:tblPr/>
      <w:tcPr>
        <w:shd w:val="clear" w:color="auto" w:fill="D1D1D1" w:themeFill="accent2" w:themeFillTint="97"/>
      </w:tcPr>
    </w:tblStylePr>
    <w:tblStylePr w:type="firstCol">
      <w:rPr>
        <w:rFonts w:ascii="Arial" w:hAnsi="Arial"/>
        <w:color w:val="F2F2F2"/>
        <w:sz w:val="22"/>
      </w:rPr>
      <w:tblPr/>
      <w:tcPr>
        <w:shd w:val="clear" w:color="auto" w:fill="D1D1D1" w:themeFill="accent2" w:themeFillTint="97"/>
      </w:tcPr>
    </w:tblStylePr>
    <w:tblStylePr w:type="lastCol">
      <w:rPr>
        <w:rFonts w:ascii="Arial" w:hAnsi="Arial"/>
        <w:color w:val="F2F2F2"/>
        <w:sz w:val="22"/>
      </w:rPr>
      <w:tblPr/>
      <w:tcPr>
        <w:shd w:val="clear" w:color="auto" w:fill="D1D1D1"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EFEFEF"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EFEFEF" w:themeFill="accent2" w:themeFillTint="32"/>
      </w:tcPr>
    </w:tblStylePr>
  </w:style>
  <w:style w:type="table" w:customStyle="1" w:styleId="Lined-Accent3">
    <w:name w:val="Lined - Accent 3"/>
    <w:basedOn w:val="TableNormal"/>
    <w:uiPriority w:val="99"/>
    <w:pPr>
      <w:spacing w:line="240" w:lineRule="auto"/>
    </w:pPr>
    <w:rPr>
      <w:color w:val="404040"/>
      <w:sz w:val="20"/>
      <w:szCs w:val="20"/>
      <w:lang w:val="de-DE" w:eastAsia="de-DE"/>
    </w:rPr>
    <w:tblPr>
      <w:tblStyleRowBandSize w:val="1"/>
      <w:tblStyleColBandSize w:val="1"/>
    </w:tblPr>
    <w:tblStylePr w:type="firstRow">
      <w:rPr>
        <w:rFonts w:ascii="Arial" w:hAnsi="Arial"/>
        <w:color w:val="F2F2F2"/>
        <w:sz w:val="22"/>
      </w:rPr>
      <w:tblPr/>
      <w:tcPr>
        <w:shd w:val="clear" w:color="auto" w:fill="969696" w:themeFill="accent3" w:themeFillTint="FE"/>
      </w:tcPr>
    </w:tblStylePr>
    <w:tblStylePr w:type="lastRow">
      <w:rPr>
        <w:rFonts w:ascii="Arial" w:hAnsi="Arial"/>
        <w:color w:val="F2F2F2"/>
        <w:sz w:val="22"/>
      </w:rPr>
      <w:tblPr/>
      <w:tcPr>
        <w:shd w:val="clear" w:color="auto" w:fill="969696" w:themeFill="accent3" w:themeFillTint="FE"/>
      </w:tcPr>
    </w:tblStylePr>
    <w:tblStylePr w:type="firstCol">
      <w:rPr>
        <w:rFonts w:ascii="Arial" w:hAnsi="Arial"/>
        <w:color w:val="F2F2F2"/>
        <w:sz w:val="22"/>
      </w:rPr>
      <w:tblPr/>
      <w:tcPr>
        <w:shd w:val="clear" w:color="auto" w:fill="969696" w:themeFill="accent3" w:themeFillTint="FE"/>
      </w:tcPr>
    </w:tblStylePr>
    <w:tblStylePr w:type="lastCol">
      <w:rPr>
        <w:rFonts w:ascii="Arial" w:hAnsi="Arial"/>
        <w:color w:val="F2F2F2"/>
        <w:sz w:val="22"/>
      </w:rPr>
      <w:tblPr/>
      <w:tcPr>
        <w:shd w:val="clear" w:color="auto" w:fill="969696"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9E9E9"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9E9E9" w:themeFill="accent3" w:themeFillTint="34"/>
      </w:tcPr>
    </w:tblStylePr>
  </w:style>
  <w:style w:type="table" w:customStyle="1" w:styleId="Lined-Accent4">
    <w:name w:val="Lined - Accent 4"/>
    <w:basedOn w:val="TableNormal"/>
    <w:uiPriority w:val="99"/>
    <w:pPr>
      <w:spacing w:line="240" w:lineRule="auto"/>
    </w:pPr>
    <w:rPr>
      <w:color w:val="404040"/>
      <w:sz w:val="20"/>
      <w:szCs w:val="20"/>
      <w:lang w:val="de-DE" w:eastAsia="de-DE"/>
    </w:rPr>
    <w:tblPr>
      <w:tblStyleRowBandSize w:val="1"/>
      <w:tblStyleColBandSize w:val="1"/>
    </w:tblPr>
    <w:tblStylePr w:type="firstRow">
      <w:rPr>
        <w:rFonts w:ascii="Arial" w:hAnsi="Arial"/>
        <w:color w:val="F2F2F2"/>
        <w:sz w:val="22"/>
      </w:rPr>
      <w:tblPr/>
      <w:tcPr>
        <w:shd w:val="clear" w:color="auto" w:fill="B2B2B2" w:themeFill="accent4" w:themeFillTint="9A"/>
      </w:tcPr>
    </w:tblStylePr>
    <w:tblStylePr w:type="lastRow">
      <w:rPr>
        <w:rFonts w:ascii="Arial" w:hAnsi="Arial"/>
        <w:color w:val="F2F2F2"/>
        <w:sz w:val="22"/>
      </w:rPr>
      <w:tblPr/>
      <w:tcPr>
        <w:shd w:val="clear" w:color="auto" w:fill="B2B2B2" w:themeFill="accent4" w:themeFillTint="9A"/>
      </w:tcPr>
    </w:tblStylePr>
    <w:tblStylePr w:type="firstCol">
      <w:rPr>
        <w:rFonts w:ascii="Arial" w:hAnsi="Arial"/>
        <w:color w:val="F2F2F2"/>
        <w:sz w:val="22"/>
      </w:rPr>
      <w:tblPr/>
      <w:tcPr>
        <w:shd w:val="clear" w:color="auto" w:fill="B2B2B2" w:themeFill="accent4" w:themeFillTint="9A"/>
      </w:tcPr>
    </w:tblStylePr>
    <w:tblStylePr w:type="lastCol">
      <w:rPr>
        <w:rFonts w:ascii="Arial" w:hAnsi="Arial"/>
        <w:color w:val="F2F2F2"/>
        <w:sz w:val="22"/>
      </w:rPr>
      <w:tblPr/>
      <w:tcPr>
        <w:shd w:val="clear" w:color="auto" w:fill="B2B2B2"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E5E5E5"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5E5E5" w:themeFill="accent4" w:themeFillTint="34"/>
      </w:tcPr>
    </w:tblStylePr>
  </w:style>
  <w:style w:type="table" w:customStyle="1" w:styleId="Lined-Accent5">
    <w:name w:val="Lined - Accent 5"/>
    <w:basedOn w:val="TableNormal"/>
    <w:uiPriority w:val="99"/>
    <w:pPr>
      <w:spacing w:line="240" w:lineRule="auto"/>
    </w:pPr>
    <w:rPr>
      <w:color w:val="404040"/>
      <w:sz w:val="20"/>
      <w:szCs w:val="20"/>
      <w:lang w:val="de-DE" w:eastAsia="de-DE"/>
    </w:rPr>
    <w:tblPr>
      <w:tblStyleRowBandSize w:val="1"/>
      <w:tblStyleColBandSize w:val="1"/>
    </w:tblPr>
    <w:tblStylePr w:type="firstRow">
      <w:rPr>
        <w:rFonts w:ascii="Arial" w:hAnsi="Arial"/>
        <w:color w:val="F2F2F2"/>
        <w:sz w:val="22"/>
      </w:rPr>
      <w:tblPr/>
      <w:tcPr>
        <w:shd w:val="clear" w:color="auto" w:fill="5F5F5F" w:themeFill="accent5"/>
      </w:tcPr>
    </w:tblStylePr>
    <w:tblStylePr w:type="lastRow">
      <w:rPr>
        <w:rFonts w:ascii="Arial" w:hAnsi="Arial"/>
        <w:color w:val="F2F2F2"/>
        <w:sz w:val="22"/>
      </w:rPr>
      <w:tblPr/>
      <w:tcPr>
        <w:shd w:val="clear" w:color="auto" w:fill="5F5F5F" w:themeFill="accent5"/>
      </w:tcPr>
    </w:tblStylePr>
    <w:tblStylePr w:type="firstCol">
      <w:rPr>
        <w:rFonts w:ascii="Arial" w:hAnsi="Arial"/>
        <w:color w:val="F2F2F2"/>
        <w:sz w:val="22"/>
      </w:rPr>
      <w:tblPr/>
      <w:tcPr>
        <w:shd w:val="clear" w:color="auto" w:fill="5F5F5F" w:themeFill="accent5"/>
      </w:tcPr>
    </w:tblStylePr>
    <w:tblStylePr w:type="lastCol">
      <w:rPr>
        <w:rFonts w:ascii="Arial" w:hAnsi="Arial"/>
        <w:color w:val="F2F2F2"/>
        <w:sz w:val="22"/>
      </w:rPr>
      <w:tblPr/>
      <w:tcPr>
        <w:shd w:val="clear" w:color="auto" w:fill="5F5F5F"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EDEDE"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EDEDE" w:themeFill="accent5" w:themeFillTint="34"/>
      </w:tcPr>
    </w:tblStylePr>
  </w:style>
  <w:style w:type="table" w:customStyle="1" w:styleId="Lined-Accent6">
    <w:name w:val="Lined - Accent 6"/>
    <w:basedOn w:val="TableNormal"/>
    <w:uiPriority w:val="99"/>
    <w:pPr>
      <w:spacing w:line="240" w:lineRule="auto"/>
    </w:pPr>
    <w:rPr>
      <w:color w:val="404040"/>
      <w:sz w:val="20"/>
      <w:szCs w:val="20"/>
      <w:lang w:val="de-DE" w:eastAsia="de-DE"/>
    </w:rPr>
    <w:tblPr>
      <w:tblStyleRowBandSize w:val="1"/>
      <w:tblStyleColBandSize w:val="1"/>
    </w:tblPr>
    <w:tblStylePr w:type="firstRow">
      <w:rPr>
        <w:rFonts w:ascii="Arial" w:hAnsi="Arial"/>
        <w:color w:val="F2F2F2"/>
        <w:sz w:val="22"/>
      </w:rPr>
      <w:tblPr/>
      <w:tcPr>
        <w:shd w:val="clear" w:color="auto" w:fill="4D4D4D" w:themeFill="accent6"/>
      </w:tcPr>
    </w:tblStylePr>
    <w:tblStylePr w:type="lastRow">
      <w:rPr>
        <w:rFonts w:ascii="Arial" w:hAnsi="Arial"/>
        <w:color w:val="F2F2F2"/>
        <w:sz w:val="22"/>
      </w:rPr>
      <w:tblPr/>
      <w:tcPr>
        <w:shd w:val="clear" w:color="auto" w:fill="4D4D4D" w:themeFill="accent6"/>
      </w:tcPr>
    </w:tblStylePr>
    <w:tblStylePr w:type="firstCol">
      <w:rPr>
        <w:rFonts w:ascii="Arial" w:hAnsi="Arial"/>
        <w:color w:val="F2F2F2"/>
        <w:sz w:val="22"/>
      </w:rPr>
      <w:tblPr/>
      <w:tcPr>
        <w:shd w:val="clear" w:color="auto" w:fill="4D4D4D" w:themeFill="accent6"/>
      </w:tcPr>
    </w:tblStylePr>
    <w:tblStylePr w:type="lastCol">
      <w:rPr>
        <w:rFonts w:ascii="Arial" w:hAnsi="Arial"/>
        <w:color w:val="F2F2F2"/>
        <w:sz w:val="22"/>
      </w:rPr>
      <w:tblPr/>
      <w:tcPr>
        <w:shd w:val="clear" w:color="auto" w:fill="4D4D4D"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DADADA"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ADADA" w:themeFill="accent6" w:themeFillTint="34"/>
      </w:tcPr>
    </w:tblStylePr>
  </w:style>
  <w:style w:type="table" w:customStyle="1" w:styleId="BorderedLined-Accent">
    <w:name w:val="Bordered &amp; Lined - Accent"/>
    <w:basedOn w:val="TableNormal"/>
    <w:uiPriority w:val="99"/>
    <w:pPr>
      <w:spacing w:line="240" w:lineRule="auto"/>
    </w:pPr>
    <w:rPr>
      <w:color w:val="404040"/>
      <w:sz w:val="20"/>
      <w:szCs w:val="20"/>
      <w:lang w:val="de-DE" w:eastAsia="de-DE"/>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BorderedLined-Accent1">
    <w:name w:val="Bordered &amp; Lined - Accent 1"/>
    <w:basedOn w:val="TableNormal"/>
    <w:uiPriority w:val="99"/>
    <w:pPr>
      <w:spacing w:line="240" w:lineRule="auto"/>
    </w:pPr>
    <w:rPr>
      <w:color w:val="404040"/>
      <w:sz w:val="20"/>
      <w:szCs w:val="20"/>
      <w:lang w:val="de-DE" w:eastAsia="de-DE"/>
    </w:rPr>
    <w:tblPr>
      <w:tblStyleRowBandSize w:val="1"/>
      <w:tblStyleColBandSize w:val="1"/>
      <w:tblBorders>
        <w:top w:val="single" w:sz="4" w:space="0" w:color="818181" w:themeColor="accent1" w:themeShade="95"/>
        <w:left w:val="single" w:sz="4" w:space="0" w:color="818181" w:themeColor="accent1" w:themeShade="95"/>
        <w:bottom w:val="single" w:sz="4" w:space="0" w:color="818181" w:themeColor="accent1" w:themeShade="95"/>
        <w:right w:val="single" w:sz="4" w:space="0" w:color="818181" w:themeColor="accent1" w:themeShade="95"/>
        <w:insideH w:val="single" w:sz="4" w:space="0" w:color="818181" w:themeColor="accent1" w:themeShade="95"/>
        <w:insideV w:val="single" w:sz="4" w:space="0" w:color="818181" w:themeColor="accent1" w:themeShade="95"/>
      </w:tblBorders>
    </w:tblPr>
    <w:tblStylePr w:type="firstRow">
      <w:rPr>
        <w:rFonts w:ascii="Arial" w:hAnsi="Arial"/>
        <w:color w:val="F2F2F2"/>
        <w:sz w:val="22"/>
      </w:rPr>
      <w:tblPr/>
      <w:tcPr>
        <w:shd w:val="clear" w:color="auto" w:fill="DFDFDF" w:themeFill="accent1" w:themeFillTint="EA"/>
      </w:tcPr>
    </w:tblStylePr>
    <w:tblStylePr w:type="lastRow">
      <w:rPr>
        <w:rFonts w:ascii="Arial" w:hAnsi="Arial"/>
        <w:color w:val="F2F2F2"/>
        <w:sz w:val="22"/>
      </w:rPr>
      <w:tblPr/>
      <w:tcPr>
        <w:shd w:val="clear" w:color="auto" w:fill="DFDFDF" w:themeFill="accent1" w:themeFillTint="EA"/>
      </w:tcPr>
    </w:tblStylePr>
    <w:tblStylePr w:type="firstCol">
      <w:rPr>
        <w:rFonts w:ascii="Arial" w:hAnsi="Arial"/>
        <w:color w:val="F2F2F2"/>
        <w:sz w:val="22"/>
      </w:rPr>
      <w:tblPr/>
      <w:tcPr>
        <w:shd w:val="clear" w:color="auto" w:fill="DFDFDF" w:themeFill="accent1" w:themeFillTint="EA"/>
      </w:tcPr>
    </w:tblStylePr>
    <w:tblStylePr w:type="lastCol">
      <w:rPr>
        <w:rFonts w:ascii="Arial" w:hAnsi="Arial"/>
        <w:color w:val="F2F2F2"/>
        <w:sz w:val="22"/>
      </w:rPr>
      <w:tblPr/>
      <w:tcPr>
        <w:shd w:val="clear" w:color="auto" w:fill="DFDFDF"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F4F4F4"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F4F4F4" w:themeFill="accent1" w:themeFillTint="50"/>
      </w:tcPr>
    </w:tblStylePr>
  </w:style>
  <w:style w:type="table" w:customStyle="1" w:styleId="BorderedLined-Accent2">
    <w:name w:val="Bordered &amp; Lined - Accent 2"/>
    <w:basedOn w:val="TableNormal"/>
    <w:uiPriority w:val="99"/>
    <w:pPr>
      <w:spacing w:line="240" w:lineRule="auto"/>
    </w:pPr>
    <w:rPr>
      <w:color w:val="404040"/>
      <w:sz w:val="20"/>
      <w:szCs w:val="20"/>
      <w:lang w:val="de-DE" w:eastAsia="de-DE"/>
    </w:rPr>
    <w:tblPr>
      <w:tblStyleRowBandSize w:val="1"/>
      <w:tblStyleColBandSize w:val="1"/>
      <w:tblBorders>
        <w:top w:val="single" w:sz="4" w:space="0" w:color="686868" w:themeColor="accent2" w:themeShade="95"/>
        <w:left w:val="single" w:sz="4" w:space="0" w:color="686868" w:themeColor="accent2" w:themeShade="95"/>
        <w:bottom w:val="single" w:sz="4" w:space="0" w:color="686868" w:themeColor="accent2" w:themeShade="95"/>
        <w:right w:val="single" w:sz="4" w:space="0" w:color="686868" w:themeColor="accent2" w:themeShade="95"/>
        <w:insideH w:val="single" w:sz="4" w:space="0" w:color="686868" w:themeColor="accent2" w:themeShade="95"/>
        <w:insideV w:val="single" w:sz="4" w:space="0" w:color="686868" w:themeColor="accent2" w:themeShade="95"/>
      </w:tblBorders>
    </w:tblPr>
    <w:tblStylePr w:type="firstRow">
      <w:rPr>
        <w:rFonts w:ascii="Arial" w:hAnsi="Arial"/>
        <w:color w:val="F2F2F2"/>
        <w:sz w:val="22"/>
      </w:rPr>
      <w:tblPr/>
      <w:tcPr>
        <w:shd w:val="clear" w:color="auto" w:fill="D1D1D1" w:themeFill="accent2" w:themeFillTint="97"/>
      </w:tcPr>
    </w:tblStylePr>
    <w:tblStylePr w:type="lastRow">
      <w:rPr>
        <w:rFonts w:ascii="Arial" w:hAnsi="Arial"/>
        <w:color w:val="F2F2F2"/>
        <w:sz w:val="22"/>
      </w:rPr>
      <w:tblPr/>
      <w:tcPr>
        <w:shd w:val="clear" w:color="auto" w:fill="D1D1D1" w:themeFill="accent2" w:themeFillTint="97"/>
      </w:tcPr>
    </w:tblStylePr>
    <w:tblStylePr w:type="firstCol">
      <w:rPr>
        <w:rFonts w:ascii="Arial" w:hAnsi="Arial"/>
        <w:color w:val="F2F2F2"/>
        <w:sz w:val="22"/>
      </w:rPr>
      <w:tblPr/>
      <w:tcPr>
        <w:shd w:val="clear" w:color="auto" w:fill="D1D1D1" w:themeFill="accent2" w:themeFillTint="97"/>
      </w:tcPr>
    </w:tblStylePr>
    <w:tblStylePr w:type="lastCol">
      <w:rPr>
        <w:rFonts w:ascii="Arial" w:hAnsi="Arial"/>
        <w:color w:val="F2F2F2"/>
        <w:sz w:val="22"/>
      </w:rPr>
      <w:tblPr/>
      <w:tcPr>
        <w:shd w:val="clear" w:color="auto" w:fill="D1D1D1"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EFEFEF"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EFEFEF" w:themeFill="accent2" w:themeFillTint="32"/>
      </w:tcPr>
    </w:tblStylePr>
  </w:style>
  <w:style w:type="table" w:customStyle="1" w:styleId="BorderedLined-Accent3">
    <w:name w:val="Bordered &amp; Lined - Accent 3"/>
    <w:basedOn w:val="TableNormal"/>
    <w:uiPriority w:val="99"/>
    <w:pPr>
      <w:spacing w:line="240" w:lineRule="auto"/>
    </w:pPr>
    <w:rPr>
      <w:color w:val="404040"/>
      <w:sz w:val="20"/>
      <w:szCs w:val="20"/>
      <w:lang w:val="de-DE" w:eastAsia="de-DE"/>
    </w:rPr>
    <w:tblPr>
      <w:tblStyleRowBandSize w:val="1"/>
      <w:tblStyleColBandSize w:val="1"/>
      <w:tblBorders>
        <w:top w:val="single" w:sz="4" w:space="0" w:color="575757" w:themeColor="accent3" w:themeShade="95"/>
        <w:left w:val="single" w:sz="4" w:space="0" w:color="575757" w:themeColor="accent3" w:themeShade="95"/>
        <w:bottom w:val="single" w:sz="4" w:space="0" w:color="575757" w:themeColor="accent3" w:themeShade="95"/>
        <w:right w:val="single" w:sz="4" w:space="0" w:color="575757" w:themeColor="accent3" w:themeShade="95"/>
        <w:insideH w:val="single" w:sz="4" w:space="0" w:color="575757" w:themeColor="accent3" w:themeShade="95"/>
        <w:insideV w:val="single" w:sz="4" w:space="0" w:color="575757" w:themeColor="accent3" w:themeShade="95"/>
      </w:tblBorders>
    </w:tblPr>
    <w:tblStylePr w:type="firstRow">
      <w:rPr>
        <w:rFonts w:ascii="Arial" w:hAnsi="Arial"/>
        <w:color w:val="F2F2F2"/>
        <w:sz w:val="22"/>
      </w:rPr>
      <w:tblPr/>
      <w:tcPr>
        <w:shd w:val="clear" w:color="auto" w:fill="969696" w:themeFill="accent3" w:themeFillTint="FE"/>
      </w:tcPr>
    </w:tblStylePr>
    <w:tblStylePr w:type="lastRow">
      <w:rPr>
        <w:rFonts w:ascii="Arial" w:hAnsi="Arial"/>
        <w:color w:val="F2F2F2"/>
        <w:sz w:val="22"/>
      </w:rPr>
      <w:tblPr/>
      <w:tcPr>
        <w:shd w:val="clear" w:color="auto" w:fill="969696" w:themeFill="accent3" w:themeFillTint="FE"/>
      </w:tcPr>
    </w:tblStylePr>
    <w:tblStylePr w:type="firstCol">
      <w:rPr>
        <w:rFonts w:ascii="Arial" w:hAnsi="Arial"/>
        <w:color w:val="F2F2F2"/>
        <w:sz w:val="22"/>
      </w:rPr>
      <w:tblPr/>
      <w:tcPr>
        <w:shd w:val="clear" w:color="auto" w:fill="969696" w:themeFill="accent3" w:themeFillTint="FE"/>
      </w:tcPr>
    </w:tblStylePr>
    <w:tblStylePr w:type="lastCol">
      <w:rPr>
        <w:rFonts w:ascii="Arial" w:hAnsi="Arial"/>
        <w:color w:val="F2F2F2"/>
        <w:sz w:val="22"/>
      </w:rPr>
      <w:tblPr/>
      <w:tcPr>
        <w:shd w:val="clear" w:color="auto" w:fill="969696"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9E9E9"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9E9E9" w:themeFill="accent3" w:themeFillTint="34"/>
      </w:tcPr>
    </w:tblStylePr>
  </w:style>
  <w:style w:type="table" w:customStyle="1" w:styleId="BorderedLined-Accent4">
    <w:name w:val="Bordered &amp; Lined - Accent 4"/>
    <w:basedOn w:val="TableNormal"/>
    <w:uiPriority w:val="99"/>
    <w:pPr>
      <w:spacing w:line="240" w:lineRule="auto"/>
    </w:pPr>
    <w:rPr>
      <w:color w:val="404040"/>
      <w:sz w:val="20"/>
      <w:szCs w:val="20"/>
      <w:lang w:val="de-DE" w:eastAsia="de-DE"/>
    </w:rPr>
    <w:tblPr>
      <w:tblStyleRowBandSize w:val="1"/>
      <w:tblStyleColBandSize w:val="1"/>
      <w:tblBorders>
        <w:top w:val="single" w:sz="4" w:space="0" w:color="4A4A4A" w:themeColor="accent4" w:themeShade="95"/>
        <w:left w:val="single" w:sz="4" w:space="0" w:color="4A4A4A" w:themeColor="accent4" w:themeShade="95"/>
        <w:bottom w:val="single" w:sz="4" w:space="0" w:color="4A4A4A" w:themeColor="accent4" w:themeShade="95"/>
        <w:right w:val="single" w:sz="4" w:space="0" w:color="4A4A4A" w:themeColor="accent4" w:themeShade="95"/>
        <w:insideH w:val="single" w:sz="4" w:space="0" w:color="4A4A4A" w:themeColor="accent4" w:themeShade="95"/>
        <w:insideV w:val="single" w:sz="4" w:space="0" w:color="4A4A4A" w:themeColor="accent4" w:themeShade="95"/>
      </w:tblBorders>
    </w:tblPr>
    <w:tblStylePr w:type="firstRow">
      <w:rPr>
        <w:rFonts w:ascii="Arial" w:hAnsi="Arial"/>
        <w:color w:val="F2F2F2"/>
        <w:sz w:val="22"/>
      </w:rPr>
      <w:tblPr/>
      <w:tcPr>
        <w:shd w:val="clear" w:color="auto" w:fill="B2B2B2" w:themeFill="accent4" w:themeFillTint="9A"/>
      </w:tcPr>
    </w:tblStylePr>
    <w:tblStylePr w:type="lastRow">
      <w:rPr>
        <w:rFonts w:ascii="Arial" w:hAnsi="Arial"/>
        <w:color w:val="F2F2F2"/>
        <w:sz w:val="22"/>
      </w:rPr>
      <w:tblPr/>
      <w:tcPr>
        <w:shd w:val="clear" w:color="auto" w:fill="B2B2B2" w:themeFill="accent4" w:themeFillTint="9A"/>
      </w:tcPr>
    </w:tblStylePr>
    <w:tblStylePr w:type="firstCol">
      <w:rPr>
        <w:rFonts w:ascii="Arial" w:hAnsi="Arial"/>
        <w:color w:val="F2F2F2"/>
        <w:sz w:val="22"/>
      </w:rPr>
      <w:tblPr/>
      <w:tcPr>
        <w:shd w:val="clear" w:color="auto" w:fill="B2B2B2" w:themeFill="accent4" w:themeFillTint="9A"/>
      </w:tcPr>
    </w:tblStylePr>
    <w:tblStylePr w:type="lastCol">
      <w:rPr>
        <w:rFonts w:ascii="Arial" w:hAnsi="Arial"/>
        <w:color w:val="F2F2F2"/>
        <w:sz w:val="22"/>
      </w:rPr>
      <w:tblPr/>
      <w:tcPr>
        <w:shd w:val="clear" w:color="auto" w:fill="B2B2B2"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E5E5E5"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5E5E5" w:themeFill="accent4" w:themeFillTint="34"/>
      </w:tcPr>
    </w:tblStylePr>
  </w:style>
  <w:style w:type="table" w:customStyle="1" w:styleId="BorderedLined-Accent5">
    <w:name w:val="Bordered &amp; Lined - Accent 5"/>
    <w:basedOn w:val="TableNormal"/>
    <w:uiPriority w:val="99"/>
    <w:pPr>
      <w:spacing w:line="240" w:lineRule="auto"/>
    </w:pPr>
    <w:rPr>
      <w:color w:val="404040"/>
      <w:sz w:val="20"/>
      <w:szCs w:val="20"/>
      <w:lang w:val="de-DE" w:eastAsia="de-DE"/>
    </w:rPr>
    <w:tblPr>
      <w:tblStyleRowBandSize w:val="1"/>
      <w:tblStyleColBandSize w:val="1"/>
      <w:tblBorders>
        <w:top w:val="single" w:sz="4" w:space="0" w:color="373737" w:themeColor="accent5" w:themeShade="95"/>
        <w:left w:val="single" w:sz="4" w:space="0" w:color="373737" w:themeColor="accent5" w:themeShade="95"/>
        <w:bottom w:val="single" w:sz="4" w:space="0" w:color="373737" w:themeColor="accent5" w:themeShade="95"/>
        <w:right w:val="single" w:sz="4" w:space="0" w:color="373737" w:themeColor="accent5" w:themeShade="95"/>
        <w:insideH w:val="single" w:sz="4" w:space="0" w:color="373737" w:themeColor="accent5" w:themeShade="95"/>
        <w:insideV w:val="single" w:sz="4" w:space="0" w:color="373737" w:themeColor="accent5" w:themeShade="95"/>
      </w:tblBorders>
    </w:tblPr>
    <w:tblStylePr w:type="firstRow">
      <w:rPr>
        <w:rFonts w:ascii="Arial" w:hAnsi="Arial"/>
        <w:color w:val="F2F2F2"/>
        <w:sz w:val="22"/>
      </w:rPr>
      <w:tblPr/>
      <w:tcPr>
        <w:shd w:val="clear" w:color="auto" w:fill="5F5F5F" w:themeFill="accent5"/>
      </w:tcPr>
    </w:tblStylePr>
    <w:tblStylePr w:type="lastRow">
      <w:rPr>
        <w:rFonts w:ascii="Arial" w:hAnsi="Arial"/>
        <w:color w:val="F2F2F2"/>
        <w:sz w:val="22"/>
      </w:rPr>
      <w:tblPr/>
      <w:tcPr>
        <w:shd w:val="clear" w:color="auto" w:fill="5F5F5F" w:themeFill="accent5"/>
      </w:tcPr>
    </w:tblStylePr>
    <w:tblStylePr w:type="firstCol">
      <w:rPr>
        <w:rFonts w:ascii="Arial" w:hAnsi="Arial"/>
        <w:color w:val="F2F2F2"/>
        <w:sz w:val="22"/>
      </w:rPr>
      <w:tblPr/>
      <w:tcPr>
        <w:shd w:val="clear" w:color="auto" w:fill="5F5F5F" w:themeFill="accent5"/>
      </w:tcPr>
    </w:tblStylePr>
    <w:tblStylePr w:type="lastCol">
      <w:rPr>
        <w:rFonts w:ascii="Arial" w:hAnsi="Arial"/>
        <w:color w:val="F2F2F2"/>
        <w:sz w:val="22"/>
      </w:rPr>
      <w:tblPr/>
      <w:tcPr>
        <w:shd w:val="clear" w:color="auto" w:fill="5F5F5F"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EDEDE"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EDEDE" w:themeFill="accent5" w:themeFillTint="34"/>
      </w:tcPr>
    </w:tblStylePr>
  </w:style>
  <w:style w:type="table" w:customStyle="1" w:styleId="BorderedLined-Accent6">
    <w:name w:val="Bordered &amp; Lined - Accent 6"/>
    <w:basedOn w:val="TableNormal"/>
    <w:uiPriority w:val="99"/>
    <w:pPr>
      <w:spacing w:line="240" w:lineRule="auto"/>
    </w:pPr>
    <w:rPr>
      <w:color w:val="404040"/>
      <w:sz w:val="20"/>
      <w:szCs w:val="20"/>
      <w:lang w:val="de-DE" w:eastAsia="de-DE"/>
    </w:rPr>
    <w:tblPr>
      <w:tblStyleRowBandSize w:val="1"/>
      <w:tblStyleColBandSize w:val="1"/>
      <w:tblBorders>
        <w:top w:val="single" w:sz="4" w:space="0" w:color="2C2C2C" w:themeColor="accent6" w:themeShade="95"/>
        <w:left w:val="single" w:sz="4" w:space="0" w:color="2C2C2C" w:themeColor="accent6" w:themeShade="95"/>
        <w:bottom w:val="single" w:sz="4" w:space="0" w:color="2C2C2C" w:themeColor="accent6" w:themeShade="95"/>
        <w:right w:val="single" w:sz="4" w:space="0" w:color="2C2C2C" w:themeColor="accent6" w:themeShade="95"/>
        <w:insideH w:val="single" w:sz="4" w:space="0" w:color="2C2C2C" w:themeColor="accent6" w:themeShade="95"/>
        <w:insideV w:val="single" w:sz="4" w:space="0" w:color="2C2C2C" w:themeColor="accent6" w:themeShade="95"/>
      </w:tblBorders>
    </w:tblPr>
    <w:tblStylePr w:type="firstRow">
      <w:rPr>
        <w:rFonts w:ascii="Arial" w:hAnsi="Arial"/>
        <w:color w:val="F2F2F2"/>
        <w:sz w:val="22"/>
      </w:rPr>
      <w:tblPr/>
      <w:tcPr>
        <w:shd w:val="clear" w:color="auto" w:fill="4D4D4D" w:themeFill="accent6"/>
      </w:tcPr>
    </w:tblStylePr>
    <w:tblStylePr w:type="lastRow">
      <w:rPr>
        <w:rFonts w:ascii="Arial" w:hAnsi="Arial"/>
        <w:color w:val="F2F2F2"/>
        <w:sz w:val="22"/>
      </w:rPr>
      <w:tblPr/>
      <w:tcPr>
        <w:shd w:val="clear" w:color="auto" w:fill="4D4D4D" w:themeFill="accent6"/>
      </w:tcPr>
    </w:tblStylePr>
    <w:tblStylePr w:type="firstCol">
      <w:rPr>
        <w:rFonts w:ascii="Arial" w:hAnsi="Arial"/>
        <w:color w:val="F2F2F2"/>
        <w:sz w:val="22"/>
      </w:rPr>
      <w:tblPr/>
      <w:tcPr>
        <w:shd w:val="clear" w:color="auto" w:fill="4D4D4D" w:themeFill="accent6"/>
      </w:tcPr>
    </w:tblStylePr>
    <w:tblStylePr w:type="lastCol">
      <w:rPr>
        <w:rFonts w:ascii="Arial" w:hAnsi="Arial"/>
        <w:color w:val="F2F2F2"/>
        <w:sz w:val="22"/>
      </w:rPr>
      <w:tblPr/>
      <w:tcPr>
        <w:shd w:val="clear" w:color="auto" w:fill="4D4D4D"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DADADA"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ADADA" w:themeFill="accent6" w:themeFillTint="34"/>
      </w:tcPr>
    </w:tblStylePr>
  </w:style>
  <w:style w:type="table" w:customStyle="1" w:styleId="Bordered">
    <w:name w:val="Bordered"/>
    <w:basedOn w:val="TableNormal"/>
    <w:uiPriority w:val="99"/>
    <w:pPr>
      <w:spacing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Normal"/>
    <w:uiPriority w:val="99"/>
    <w:pPr>
      <w:spacing w:line="240" w:lineRule="auto"/>
    </w:pPr>
    <w:tblPr>
      <w:tblStyleRowBandSize w:val="1"/>
      <w:tblStyleColBandSize w:val="1"/>
      <w:tblBorders>
        <w:top w:val="single" w:sz="4" w:space="0" w:color="F1F1F1" w:themeColor="accent1" w:themeTint="67"/>
        <w:left w:val="single" w:sz="4" w:space="0" w:color="F1F1F1" w:themeColor="accent1" w:themeTint="67"/>
        <w:bottom w:val="single" w:sz="4" w:space="0" w:color="F1F1F1" w:themeColor="accent1" w:themeTint="67"/>
        <w:right w:val="single" w:sz="4" w:space="0" w:color="F1F1F1" w:themeColor="accent1" w:themeTint="67"/>
        <w:insideH w:val="single" w:sz="4" w:space="0" w:color="F1F1F1" w:themeColor="accent1" w:themeTint="67"/>
        <w:insideV w:val="single" w:sz="4" w:space="0" w:color="F1F1F1" w:themeColor="accent1" w:themeTint="67"/>
      </w:tblBorders>
    </w:tblPr>
    <w:tblStylePr w:type="firstRow">
      <w:rPr>
        <w:rFonts w:ascii="Arial" w:hAnsi="Arial"/>
        <w:color w:val="404040"/>
        <w:sz w:val="22"/>
      </w:rPr>
      <w:tblPr/>
      <w:tcPr>
        <w:tcBorders>
          <w:bottom w:val="single" w:sz="12" w:space="0" w:color="DDDDDD" w:themeColor="accent1"/>
        </w:tcBorders>
      </w:tcPr>
    </w:tblStylePr>
    <w:tblStylePr w:type="lastRow">
      <w:rPr>
        <w:rFonts w:ascii="Arial" w:hAnsi="Arial"/>
        <w:color w:val="404040"/>
        <w:sz w:val="22"/>
      </w:rPr>
      <w:tblPr/>
      <w:tcPr>
        <w:tcBorders>
          <w:top w:val="single" w:sz="12" w:space="0" w:color="DDDDD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DDDDD" w:themeColor="accent1"/>
        </w:tcBorders>
      </w:tcPr>
    </w:tblStylePr>
    <w:tblStylePr w:type="band1Horz">
      <w:rPr>
        <w:rFonts w:ascii="Arial" w:hAnsi="Arial"/>
        <w:color w:val="404040"/>
        <w:sz w:val="22"/>
      </w:rPr>
      <w:tblPr/>
      <w:tcPr>
        <w:tcBorders>
          <w:top w:val="single" w:sz="4" w:space="0" w:color="F1F1F1" w:themeColor="accent1" w:themeTint="67"/>
          <w:left w:val="single" w:sz="4" w:space="0" w:color="F1F1F1" w:themeColor="accent1" w:themeTint="67"/>
          <w:bottom w:val="single" w:sz="4" w:space="0" w:color="F1F1F1" w:themeColor="accent1" w:themeTint="67"/>
          <w:right w:val="single" w:sz="4" w:space="0" w:color="F1F1F1" w:themeColor="accent1" w:themeTint="67"/>
        </w:tcBorders>
      </w:tcPr>
    </w:tblStylePr>
  </w:style>
  <w:style w:type="table" w:customStyle="1" w:styleId="Bordered-Accent2">
    <w:name w:val="Bordered - Accent 2"/>
    <w:basedOn w:val="TableNormal"/>
    <w:uiPriority w:val="99"/>
    <w:pPr>
      <w:spacing w:line="240" w:lineRule="auto"/>
    </w:pPr>
    <w:tblPr>
      <w:tblStyleRowBandSize w:val="1"/>
      <w:tblStyleColBandSize w:val="1"/>
      <w:tblBorders>
        <w:top w:val="single" w:sz="4" w:space="0" w:color="DFDFDF" w:themeColor="accent2" w:themeTint="67"/>
        <w:left w:val="single" w:sz="4" w:space="0" w:color="DFDFDF" w:themeColor="accent2" w:themeTint="67"/>
        <w:bottom w:val="single" w:sz="4" w:space="0" w:color="DFDFDF" w:themeColor="accent2" w:themeTint="67"/>
        <w:right w:val="single" w:sz="4" w:space="0" w:color="DFDFDF" w:themeColor="accent2" w:themeTint="67"/>
        <w:insideH w:val="single" w:sz="4" w:space="0" w:color="DFDFDF" w:themeColor="accent2" w:themeTint="67"/>
        <w:insideV w:val="single" w:sz="4" w:space="0" w:color="DFDFDF" w:themeColor="accent2" w:themeTint="67"/>
      </w:tblBorders>
    </w:tblPr>
    <w:tblStylePr w:type="firstRow">
      <w:rPr>
        <w:rFonts w:ascii="Arial" w:hAnsi="Arial"/>
        <w:color w:val="404040"/>
        <w:sz w:val="22"/>
      </w:rPr>
      <w:tblPr/>
      <w:tcPr>
        <w:tcBorders>
          <w:bottom w:val="single" w:sz="12" w:space="0" w:color="D1D1D1" w:themeColor="accent2" w:themeTint="97"/>
        </w:tcBorders>
      </w:tcPr>
    </w:tblStylePr>
    <w:tblStylePr w:type="lastRow">
      <w:rPr>
        <w:rFonts w:ascii="Arial" w:hAnsi="Arial"/>
        <w:color w:val="404040"/>
        <w:sz w:val="22"/>
      </w:rPr>
      <w:tblPr/>
      <w:tcPr>
        <w:tcBorders>
          <w:top w:val="single" w:sz="12" w:space="0" w:color="D1D1D1"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1D1D1" w:themeColor="accent2" w:themeTint="97"/>
        </w:tcBorders>
      </w:tcPr>
    </w:tblStylePr>
    <w:tblStylePr w:type="band1Horz">
      <w:rPr>
        <w:rFonts w:ascii="Arial" w:hAnsi="Arial"/>
        <w:color w:val="404040"/>
        <w:sz w:val="22"/>
      </w:rPr>
      <w:tblPr/>
      <w:tcPr>
        <w:tcBorders>
          <w:top w:val="single" w:sz="4" w:space="0" w:color="DFDFDF" w:themeColor="accent2" w:themeTint="67"/>
          <w:left w:val="single" w:sz="4" w:space="0" w:color="DFDFDF" w:themeColor="accent2" w:themeTint="67"/>
          <w:bottom w:val="single" w:sz="4" w:space="0" w:color="DFDFDF" w:themeColor="accent2" w:themeTint="67"/>
          <w:right w:val="single" w:sz="4" w:space="0" w:color="DFDFDF" w:themeColor="accent2" w:themeTint="67"/>
        </w:tcBorders>
      </w:tcPr>
    </w:tblStylePr>
  </w:style>
  <w:style w:type="table" w:customStyle="1" w:styleId="Bordered-Accent3">
    <w:name w:val="Bordered - Accent 3"/>
    <w:basedOn w:val="TableNormal"/>
    <w:uiPriority w:val="99"/>
    <w:pPr>
      <w:spacing w:line="240" w:lineRule="auto"/>
    </w:pPr>
    <w:tblPr>
      <w:tblStyleRowBandSize w:val="1"/>
      <w:tblStyleColBandSize w:val="1"/>
      <w:tblBorders>
        <w:top w:val="single" w:sz="4" w:space="0" w:color="D4D4D4" w:themeColor="accent3" w:themeTint="67"/>
        <w:left w:val="single" w:sz="4" w:space="0" w:color="D4D4D4" w:themeColor="accent3" w:themeTint="67"/>
        <w:bottom w:val="single" w:sz="4" w:space="0" w:color="D4D4D4" w:themeColor="accent3" w:themeTint="67"/>
        <w:right w:val="single" w:sz="4" w:space="0" w:color="D4D4D4" w:themeColor="accent3" w:themeTint="67"/>
        <w:insideH w:val="single" w:sz="4" w:space="0" w:color="D4D4D4" w:themeColor="accent3" w:themeTint="67"/>
        <w:insideV w:val="single" w:sz="4" w:space="0" w:color="D4D4D4" w:themeColor="accent3" w:themeTint="67"/>
      </w:tblBorders>
    </w:tblPr>
    <w:tblStylePr w:type="firstRow">
      <w:rPr>
        <w:rFonts w:ascii="Arial" w:hAnsi="Arial"/>
        <w:color w:val="404040"/>
        <w:sz w:val="22"/>
      </w:rPr>
      <w:tblPr/>
      <w:tcPr>
        <w:tcBorders>
          <w:bottom w:val="single" w:sz="12" w:space="0" w:color="C0C0C0" w:themeColor="accent3" w:themeTint="98"/>
        </w:tcBorders>
      </w:tcPr>
    </w:tblStylePr>
    <w:tblStylePr w:type="lastRow">
      <w:rPr>
        <w:rFonts w:ascii="Arial" w:hAnsi="Arial"/>
        <w:color w:val="404040"/>
        <w:sz w:val="22"/>
      </w:rPr>
      <w:tblPr/>
      <w:tcPr>
        <w:tcBorders>
          <w:top w:val="single" w:sz="12" w:space="0" w:color="C0C0C0"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0C0C0" w:themeColor="accent3" w:themeTint="98"/>
        </w:tcBorders>
      </w:tcPr>
    </w:tblStylePr>
    <w:tblStylePr w:type="band1Horz">
      <w:rPr>
        <w:rFonts w:ascii="Arial" w:hAnsi="Arial"/>
        <w:color w:val="404040"/>
        <w:sz w:val="22"/>
      </w:rPr>
      <w:tblPr/>
      <w:tcPr>
        <w:tcBorders>
          <w:top w:val="single" w:sz="4" w:space="0" w:color="D4D4D4" w:themeColor="accent3" w:themeTint="67"/>
          <w:left w:val="single" w:sz="4" w:space="0" w:color="D4D4D4" w:themeColor="accent3" w:themeTint="67"/>
          <w:bottom w:val="single" w:sz="4" w:space="0" w:color="D4D4D4" w:themeColor="accent3" w:themeTint="67"/>
          <w:right w:val="single" w:sz="4" w:space="0" w:color="D4D4D4" w:themeColor="accent3" w:themeTint="67"/>
        </w:tcBorders>
      </w:tcPr>
    </w:tblStylePr>
  </w:style>
  <w:style w:type="table" w:customStyle="1" w:styleId="Bordered-Accent4">
    <w:name w:val="Bordered - Accent 4"/>
    <w:basedOn w:val="TableNormal"/>
    <w:uiPriority w:val="99"/>
    <w:pPr>
      <w:spacing w:line="240" w:lineRule="auto"/>
    </w:pPr>
    <w:tblPr>
      <w:tblStyleRowBandSize w:val="1"/>
      <w:tblStyleColBandSize w:val="1"/>
      <w:tblBorders>
        <w:top w:val="single" w:sz="4" w:space="0" w:color="CBCBCB" w:themeColor="accent4" w:themeTint="67"/>
        <w:left w:val="single" w:sz="4" w:space="0" w:color="CBCBCB" w:themeColor="accent4" w:themeTint="67"/>
        <w:bottom w:val="single" w:sz="4" w:space="0" w:color="CBCBCB" w:themeColor="accent4" w:themeTint="67"/>
        <w:right w:val="single" w:sz="4" w:space="0" w:color="CBCBCB" w:themeColor="accent4" w:themeTint="67"/>
        <w:insideH w:val="single" w:sz="4" w:space="0" w:color="CBCBCB" w:themeColor="accent4" w:themeTint="67"/>
        <w:insideV w:val="single" w:sz="4" w:space="0" w:color="CBCBCB" w:themeColor="accent4" w:themeTint="67"/>
      </w:tblBorders>
    </w:tblPr>
    <w:tblStylePr w:type="firstRow">
      <w:rPr>
        <w:rFonts w:ascii="Arial" w:hAnsi="Arial"/>
        <w:color w:val="404040"/>
        <w:sz w:val="22"/>
      </w:rPr>
      <w:tblPr/>
      <w:tcPr>
        <w:tcBorders>
          <w:bottom w:val="single" w:sz="12" w:space="0" w:color="B2B2B2" w:themeColor="accent4" w:themeTint="9A"/>
        </w:tcBorders>
      </w:tcPr>
    </w:tblStylePr>
    <w:tblStylePr w:type="lastRow">
      <w:rPr>
        <w:rFonts w:ascii="Arial" w:hAnsi="Arial"/>
        <w:color w:val="404040"/>
        <w:sz w:val="22"/>
      </w:rPr>
      <w:tblPr/>
      <w:tcPr>
        <w:tcBorders>
          <w:top w:val="single" w:sz="12" w:space="0" w:color="B2B2B2"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B2B2" w:themeColor="accent4" w:themeTint="9A"/>
        </w:tcBorders>
      </w:tcPr>
    </w:tblStylePr>
    <w:tblStylePr w:type="band1Horz">
      <w:rPr>
        <w:rFonts w:ascii="Arial" w:hAnsi="Arial"/>
        <w:color w:val="404040"/>
        <w:sz w:val="22"/>
      </w:rPr>
      <w:tblPr/>
      <w:tcPr>
        <w:tcBorders>
          <w:top w:val="single" w:sz="4" w:space="0" w:color="CBCBCB" w:themeColor="accent4" w:themeTint="67"/>
          <w:left w:val="single" w:sz="4" w:space="0" w:color="CBCBCB" w:themeColor="accent4" w:themeTint="67"/>
          <w:bottom w:val="single" w:sz="4" w:space="0" w:color="CBCBCB" w:themeColor="accent4" w:themeTint="67"/>
          <w:right w:val="single" w:sz="4" w:space="0" w:color="CBCBCB" w:themeColor="accent4" w:themeTint="67"/>
        </w:tcBorders>
      </w:tcPr>
    </w:tblStylePr>
  </w:style>
  <w:style w:type="table" w:customStyle="1" w:styleId="Bordered-Accent5">
    <w:name w:val="Bordered - Accent 5"/>
    <w:basedOn w:val="TableNormal"/>
    <w:uiPriority w:val="99"/>
    <w:pPr>
      <w:spacing w:line="240" w:lineRule="auto"/>
    </w:pPr>
    <w:tblPr>
      <w:tblStyleRowBandSize w:val="1"/>
      <w:tblStyleColBandSize w:val="1"/>
      <w:tblBorders>
        <w:top w:val="single" w:sz="4" w:space="0" w:color="BEBEBE" w:themeColor="accent5" w:themeTint="67"/>
        <w:left w:val="single" w:sz="4" w:space="0" w:color="BEBEBE" w:themeColor="accent5" w:themeTint="67"/>
        <w:bottom w:val="single" w:sz="4" w:space="0" w:color="BEBEBE" w:themeColor="accent5" w:themeTint="67"/>
        <w:right w:val="single" w:sz="4" w:space="0" w:color="BEBEBE" w:themeColor="accent5" w:themeTint="67"/>
        <w:insideH w:val="single" w:sz="4" w:space="0" w:color="BEBEBE" w:themeColor="accent5" w:themeTint="67"/>
        <w:insideV w:val="single" w:sz="4" w:space="0" w:color="BEBEBE" w:themeColor="accent5" w:themeTint="67"/>
      </w:tblBorders>
    </w:tblPr>
    <w:tblStylePr w:type="firstRow">
      <w:rPr>
        <w:rFonts w:ascii="Arial" w:hAnsi="Arial"/>
        <w:color w:val="404040"/>
        <w:sz w:val="22"/>
      </w:rPr>
      <w:tblPr/>
      <w:tcPr>
        <w:tcBorders>
          <w:bottom w:val="single" w:sz="12" w:space="0" w:color="9E9E9E" w:themeColor="accent5" w:themeTint="9A"/>
        </w:tcBorders>
      </w:tcPr>
    </w:tblStylePr>
    <w:tblStylePr w:type="lastRow">
      <w:rPr>
        <w:rFonts w:ascii="Arial" w:hAnsi="Arial"/>
        <w:color w:val="404040"/>
        <w:sz w:val="22"/>
      </w:rPr>
      <w:tblPr/>
      <w:tcPr>
        <w:tcBorders>
          <w:top w:val="single" w:sz="12" w:space="0" w:color="9E9E9E"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E9E9E" w:themeColor="accent5" w:themeTint="9A"/>
        </w:tcBorders>
      </w:tcPr>
    </w:tblStylePr>
    <w:tblStylePr w:type="band1Horz">
      <w:rPr>
        <w:rFonts w:ascii="Arial" w:hAnsi="Arial"/>
        <w:color w:val="404040"/>
        <w:sz w:val="22"/>
      </w:rPr>
      <w:tblPr/>
      <w:tcPr>
        <w:tcBorders>
          <w:top w:val="single" w:sz="4" w:space="0" w:color="BEBEBE" w:themeColor="accent5" w:themeTint="67"/>
          <w:left w:val="single" w:sz="4" w:space="0" w:color="BEBEBE" w:themeColor="accent5" w:themeTint="67"/>
          <w:bottom w:val="single" w:sz="4" w:space="0" w:color="BEBEBE" w:themeColor="accent5" w:themeTint="67"/>
          <w:right w:val="single" w:sz="4" w:space="0" w:color="BEBEBE" w:themeColor="accent5" w:themeTint="67"/>
        </w:tcBorders>
      </w:tcPr>
    </w:tblStylePr>
  </w:style>
  <w:style w:type="table" w:customStyle="1" w:styleId="Bordered-Accent6">
    <w:name w:val="Bordered - Accent 6"/>
    <w:basedOn w:val="TableNormal"/>
    <w:uiPriority w:val="99"/>
    <w:pPr>
      <w:spacing w:line="240" w:lineRule="auto"/>
    </w:pPr>
    <w:tblPr>
      <w:tblStyleRowBandSize w:val="1"/>
      <w:tblStyleColBandSize w:val="1"/>
      <w:tblBorders>
        <w:top w:val="single" w:sz="4" w:space="0" w:color="B7B7B7" w:themeColor="accent6" w:themeTint="67"/>
        <w:left w:val="single" w:sz="4" w:space="0" w:color="B7B7B7" w:themeColor="accent6" w:themeTint="67"/>
        <w:bottom w:val="single" w:sz="4" w:space="0" w:color="B7B7B7" w:themeColor="accent6" w:themeTint="67"/>
        <w:right w:val="single" w:sz="4" w:space="0" w:color="B7B7B7" w:themeColor="accent6" w:themeTint="67"/>
        <w:insideH w:val="single" w:sz="4" w:space="0" w:color="B7B7B7" w:themeColor="accent6" w:themeTint="67"/>
        <w:insideV w:val="single" w:sz="4" w:space="0" w:color="B7B7B7" w:themeColor="accent6" w:themeTint="67"/>
      </w:tblBorders>
    </w:tblPr>
    <w:tblStylePr w:type="firstRow">
      <w:rPr>
        <w:rFonts w:ascii="Arial" w:hAnsi="Arial"/>
        <w:color w:val="404040"/>
        <w:sz w:val="22"/>
      </w:rPr>
      <w:tblPr/>
      <w:tcPr>
        <w:tcBorders>
          <w:bottom w:val="single" w:sz="12" w:space="0" w:color="949494" w:themeColor="accent6" w:themeTint="98"/>
        </w:tcBorders>
      </w:tcPr>
    </w:tblStylePr>
    <w:tblStylePr w:type="lastRow">
      <w:rPr>
        <w:rFonts w:ascii="Arial" w:hAnsi="Arial"/>
        <w:color w:val="404040"/>
        <w:sz w:val="22"/>
      </w:rPr>
      <w:tblPr/>
      <w:tcPr>
        <w:tcBorders>
          <w:top w:val="single" w:sz="12" w:space="0" w:color="949494"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49494" w:themeColor="accent6" w:themeTint="98"/>
        </w:tcBorders>
      </w:tcPr>
    </w:tblStylePr>
    <w:tblStylePr w:type="band1Horz">
      <w:rPr>
        <w:rFonts w:ascii="Arial" w:hAnsi="Arial"/>
        <w:color w:val="404040"/>
        <w:sz w:val="22"/>
      </w:rPr>
      <w:tblPr/>
      <w:tcPr>
        <w:tcBorders>
          <w:top w:val="single" w:sz="4" w:space="0" w:color="B7B7B7" w:themeColor="accent6" w:themeTint="67"/>
          <w:left w:val="single" w:sz="4" w:space="0" w:color="B7B7B7" w:themeColor="accent6" w:themeTint="67"/>
          <w:bottom w:val="single" w:sz="4" w:space="0" w:color="B7B7B7" w:themeColor="accent6" w:themeTint="67"/>
          <w:right w:val="single" w:sz="4" w:space="0" w:color="B7B7B7" w:themeColor="accent6" w:themeTint="67"/>
        </w:tcBorders>
      </w:tcPr>
    </w:tblStylePr>
  </w:style>
  <w:style w:type="character" w:customStyle="1" w:styleId="FootnoteTextChar">
    <w:name w:val="Footnote Text Char"/>
    <w:uiPriority w:val="99"/>
    <w:rPr>
      <w:sz w:val="18"/>
    </w:rPr>
  </w:style>
  <w:style w:type="paragraph" w:styleId="TOC1">
    <w:name w:val="toc 1"/>
    <w:basedOn w:val="Normal"/>
    <w:next w:val="Normal"/>
    <w:uiPriority w:val="39"/>
    <w:unhideWhenUsed/>
    <w:pPr>
      <w:spacing w:after="57"/>
      <w:ind w:firstLine="0"/>
    </w:pPr>
  </w:style>
  <w:style w:type="paragraph" w:styleId="TOC2">
    <w:name w:val="toc 2"/>
    <w:basedOn w:val="Normal"/>
    <w:next w:val="Normal"/>
    <w:uiPriority w:val="39"/>
    <w:unhideWhenUsed/>
    <w:pPr>
      <w:spacing w:after="57"/>
      <w:ind w:left="283" w:firstLine="0"/>
    </w:pPr>
  </w:style>
  <w:style w:type="paragraph" w:styleId="TOC3">
    <w:name w:val="toc 3"/>
    <w:basedOn w:val="Normal"/>
    <w:next w:val="Normal"/>
    <w:uiPriority w:val="39"/>
    <w:unhideWhenUsed/>
    <w:pPr>
      <w:spacing w:after="57"/>
      <w:ind w:left="567" w:firstLine="0"/>
    </w:pPr>
  </w:style>
  <w:style w:type="paragraph" w:customStyle="1" w:styleId="SectionTitle">
    <w:name w:val="Section Title"/>
    <w:basedOn w:val="Normal"/>
    <w:uiPriority w:val="2"/>
    <w:qFormat/>
    <w:pPr>
      <w:pageBreakBefore/>
      <w:ind w:firstLine="0"/>
      <w:jc w:val="center"/>
      <w:outlineLvl w:val="0"/>
    </w:pPr>
  </w:style>
  <w:style w:type="paragraph" w:styleId="Header">
    <w:name w:val="header"/>
    <w:basedOn w:val="Normal"/>
    <w:link w:val="HeaderChar1"/>
    <w:uiPriority w:val="99"/>
    <w:unhideWhenUsed/>
    <w:qFormat/>
    <w:pPr>
      <w:spacing w:line="240" w:lineRule="auto"/>
      <w:ind w:firstLine="0"/>
    </w:pPr>
  </w:style>
  <w:style w:type="character" w:customStyle="1" w:styleId="HeaderChar1">
    <w:name w:val="Header Char1"/>
    <w:basedOn w:val="DefaultParagraphFont"/>
    <w:link w:val="Header"/>
    <w:uiPriority w:val="99"/>
  </w:style>
  <w:style w:type="character" w:styleId="Strong">
    <w:name w:val="Strong"/>
    <w:basedOn w:val="DefaultParagraphFont"/>
    <w:uiPriority w:val="22"/>
    <w:unhideWhenUsed/>
    <w:qFormat/>
    <w:rPr>
      <w:b w:val="0"/>
      <w:bCs w:val="0"/>
      <w:caps/>
      <w:smallCaps w:val="0"/>
    </w:rPr>
  </w:style>
  <w:style w:type="character" w:styleId="PlaceholderText">
    <w:name w:val="Placeholder Text"/>
    <w:basedOn w:val="DefaultParagraphFont"/>
    <w:uiPriority w:val="99"/>
    <w:semiHidden/>
    <w:rPr>
      <w:color w:val="404040" w:themeColor="text1" w:themeTint="BF"/>
    </w:rPr>
  </w:style>
  <w:style w:type="paragraph" w:styleId="NoSpacing">
    <w:name w:val="No Spacing"/>
    <w:uiPriority w:val="3"/>
    <w:qFormat/>
    <w:pPr>
      <w:ind w:firstLine="0"/>
    </w:pPr>
  </w:style>
  <w:style w:type="paragraph" w:styleId="Title">
    <w:name w:val="Title"/>
    <w:basedOn w:val="Normal"/>
    <w:link w:val="TitleChar1"/>
    <w:qFormat/>
    <w:pPr>
      <w:spacing w:before="2400"/>
      <w:ind w:firstLine="0"/>
      <w:contextualSpacing/>
      <w:jc w:val="center"/>
    </w:pPr>
  </w:style>
  <w:style w:type="character" w:customStyle="1" w:styleId="TitleChar1">
    <w:name w:val="Title Char1"/>
    <w:basedOn w:val="DefaultParagraphFont"/>
    <w:link w:val="Title"/>
    <w:rPr>
      <w:rFonts w:ascii="Times New Roman" w:eastAsia="Times New Roman" w:hAnsi="Times New Roman" w:cs="Times New Roman"/>
    </w:rPr>
  </w:style>
  <w:style w:type="character" w:styleId="Emphasis">
    <w:name w:val="Emphasis"/>
    <w:basedOn w:val="DefaultParagraphFont"/>
    <w:uiPriority w:val="4"/>
    <w:unhideWhenUsed/>
    <w:qFormat/>
    <w:rPr>
      <w:i/>
      <w:iCs/>
    </w:rPr>
  </w:style>
  <w:style w:type="paragraph" w:styleId="BalloonText">
    <w:name w:val="Balloon Text"/>
    <w:basedOn w:val="Normal"/>
    <w:link w:val="BalloonTextChar"/>
    <w:uiPriority w:val="99"/>
    <w:semiHidden/>
    <w:unhideWhenUsed/>
    <w:pPr>
      <w:spacing w:line="240" w:lineRule="auto"/>
      <w:ind w:firstLine="0"/>
    </w:pPr>
    <w:rPr>
      <w:rFonts w:ascii="Segoe UI" w:hAnsi="Segoe UI" w:cs="Segoe UI"/>
      <w:sz w:val="22"/>
      <w:szCs w:val="18"/>
    </w:rPr>
  </w:style>
  <w:style w:type="character" w:customStyle="1" w:styleId="BalloonTextChar">
    <w:name w:val="Balloon Text Char"/>
    <w:basedOn w:val="DefaultParagraphFont"/>
    <w:link w:val="BalloonText"/>
    <w:uiPriority w:val="99"/>
    <w:semiHidden/>
    <w:rPr>
      <w:rFonts w:ascii="Segoe UI" w:hAnsi="Segoe UI" w:cs="Segoe UI"/>
      <w:sz w:val="22"/>
      <w:szCs w:val="18"/>
    </w:rPr>
  </w:style>
  <w:style w:type="paragraph" w:styleId="Bibliography">
    <w:name w:val="Bibliography"/>
    <w:basedOn w:val="Normal"/>
    <w:next w:val="Normal"/>
    <w:link w:val="BibliographyChar"/>
    <w:uiPriority w:val="37"/>
    <w:unhideWhenUsed/>
    <w:qFormat/>
    <w:pPr>
      <w:ind w:left="720" w:hanging="720"/>
    </w:pPr>
  </w:style>
  <w:style w:type="character" w:customStyle="1" w:styleId="BibliographyChar">
    <w:name w:val="Bibliography Char"/>
    <w:basedOn w:val="DefaultParagraphFont"/>
    <w:link w:val="Bibliography"/>
    <w:uiPriority w:val="37"/>
    <w:rsid w:val="00245F82"/>
  </w:style>
  <w:style w:type="paragraph" w:styleId="BlockText">
    <w:name w:val="Block Text"/>
    <w:basedOn w:val="Normal"/>
    <w:uiPriority w:val="99"/>
    <w:semiHidden/>
    <w:unhideWhenUsed/>
    <w:pPr>
      <w:pBdr>
        <w:top w:val="single" w:sz="2" w:space="10" w:color="595959" w:themeColor="text1" w:themeTint="A6"/>
        <w:left w:val="single" w:sz="2" w:space="10" w:color="595959" w:themeColor="text1" w:themeTint="A6"/>
        <w:bottom w:val="single" w:sz="2" w:space="10" w:color="595959" w:themeColor="text1" w:themeTint="A6"/>
        <w:right w:val="single" w:sz="2" w:space="10" w:color="595959" w:themeColor="text1" w:themeTint="A6"/>
      </w:pBdr>
      <w:ind w:left="1152" w:right="1152" w:firstLine="0"/>
    </w:pPr>
    <w:rPr>
      <w:i/>
      <w:iCs/>
      <w:color w:val="595959" w:themeColor="text1" w:themeTint="A6"/>
    </w:rPr>
  </w:style>
  <w:style w:type="paragraph" w:styleId="BodyText">
    <w:name w:val="Body Text"/>
    <w:basedOn w:val="Normal"/>
    <w:link w:val="BodyTextChar"/>
    <w:uiPriority w:val="99"/>
    <w:semiHidden/>
    <w:unhideWhenUsed/>
    <w:pPr>
      <w:spacing w:after="120"/>
      <w:ind w:firstLine="0"/>
    </w:pPr>
  </w:style>
  <w:style w:type="character" w:customStyle="1" w:styleId="BodyTextChar">
    <w:name w:val="Body Text Char"/>
    <w:basedOn w:val="DefaultParagraphFont"/>
    <w:link w:val="BodyText"/>
    <w:uiPriority w:val="99"/>
    <w:semiHidden/>
  </w:style>
  <w:style w:type="paragraph" w:styleId="BodyText2">
    <w:name w:val="Body Text 2"/>
    <w:basedOn w:val="Normal"/>
    <w:link w:val="BodyText2Char"/>
    <w:uiPriority w:val="99"/>
    <w:semiHidden/>
    <w:unhideWhenUsed/>
    <w:pPr>
      <w:spacing w:after="120"/>
      <w:ind w:firstLine="0"/>
    </w:pPr>
  </w:style>
  <w:style w:type="character" w:customStyle="1" w:styleId="BodyText2Char">
    <w:name w:val="Body Text 2 Char"/>
    <w:basedOn w:val="DefaultParagraphFont"/>
    <w:link w:val="BodyText2"/>
    <w:uiPriority w:val="99"/>
    <w:semiHidden/>
  </w:style>
  <w:style w:type="paragraph" w:styleId="BodyText3">
    <w:name w:val="Body Text 3"/>
    <w:basedOn w:val="Normal"/>
    <w:link w:val="BodyText3Char"/>
    <w:uiPriority w:val="99"/>
    <w:semiHidden/>
    <w:unhideWhenUsed/>
    <w:pPr>
      <w:spacing w:after="120"/>
      <w:ind w:firstLine="0"/>
    </w:pPr>
    <w:rPr>
      <w:sz w:val="22"/>
      <w:szCs w:val="16"/>
    </w:rPr>
  </w:style>
  <w:style w:type="character" w:customStyle="1" w:styleId="BodyText3Char">
    <w:name w:val="Body Text 3 Char"/>
    <w:basedOn w:val="DefaultParagraphFont"/>
    <w:link w:val="BodyText3"/>
    <w:uiPriority w:val="99"/>
    <w:semiHidden/>
    <w:rPr>
      <w:sz w:val="22"/>
      <w:szCs w:val="16"/>
    </w:rPr>
  </w:style>
  <w:style w:type="paragraph" w:styleId="BodyTextFirstIndent">
    <w:name w:val="Body Text First Indent"/>
    <w:basedOn w:val="BodyText"/>
    <w:link w:val="BodyTextFirstIndentChar"/>
    <w:uiPriority w:val="99"/>
    <w:semiHidden/>
    <w:unhideWhenUsed/>
    <w:pPr>
      <w:spacing w:after="0"/>
    </w:pPr>
  </w:style>
  <w:style w:type="character" w:customStyle="1" w:styleId="BodyTextFirstIndentChar">
    <w:name w:val="Body Text First Indent Char"/>
    <w:basedOn w:val="BodyTextChar"/>
    <w:link w:val="BodyTextFirstIndent"/>
    <w:uiPriority w:val="99"/>
    <w:semiHidden/>
  </w:style>
  <w:style w:type="paragraph" w:styleId="BodyTextIndent">
    <w:name w:val="Body Text Indent"/>
    <w:basedOn w:val="Normal"/>
    <w:link w:val="BodyTextIndentChar"/>
    <w:uiPriority w:val="99"/>
    <w:semiHidden/>
    <w:unhideWhenUsed/>
    <w:pPr>
      <w:spacing w:after="120"/>
      <w:ind w:left="360" w:firstLine="0"/>
    </w:pPr>
  </w:style>
  <w:style w:type="character" w:customStyle="1" w:styleId="BodyTextIndentChar">
    <w:name w:val="Body Text Indent Char"/>
    <w:basedOn w:val="DefaultParagraphFont"/>
    <w:link w:val="BodyTextIndent"/>
    <w:uiPriority w:val="99"/>
    <w:semiHidden/>
  </w:style>
  <w:style w:type="paragraph" w:styleId="BodyTextFirstIndent2">
    <w:name w:val="Body Text First Indent 2"/>
    <w:basedOn w:val="BodyTextIndent"/>
    <w:link w:val="BodyTextFirstIndent2Char"/>
    <w:uiPriority w:val="99"/>
    <w:semiHidden/>
    <w:unhideWhenUsed/>
    <w:pPr>
      <w:spacing w:after="0"/>
    </w:pPr>
  </w:style>
  <w:style w:type="character" w:customStyle="1" w:styleId="BodyTextFirstIndent2Char">
    <w:name w:val="Body Text First Indent 2 Char"/>
    <w:basedOn w:val="BodyTextIndentChar"/>
    <w:link w:val="BodyTextFirstIndent2"/>
    <w:uiPriority w:val="99"/>
    <w:semiHidden/>
  </w:style>
  <w:style w:type="paragraph" w:styleId="BodyTextIndent2">
    <w:name w:val="Body Text Indent 2"/>
    <w:basedOn w:val="Normal"/>
    <w:link w:val="BodyTextIndent2Char"/>
    <w:uiPriority w:val="99"/>
    <w:semiHidden/>
    <w:unhideWhenUsed/>
    <w:pPr>
      <w:spacing w:after="120"/>
      <w:ind w:left="360" w:firstLine="0"/>
    </w:pPr>
  </w:style>
  <w:style w:type="character" w:customStyle="1" w:styleId="BodyTextIndent2Char">
    <w:name w:val="Body Text Indent 2 Char"/>
    <w:basedOn w:val="DefaultParagraphFont"/>
    <w:link w:val="BodyTextIndent2"/>
    <w:uiPriority w:val="99"/>
    <w:semiHidden/>
  </w:style>
  <w:style w:type="paragraph" w:styleId="BodyTextIndent3">
    <w:name w:val="Body Text Indent 3"/>
    <w:basedOn w:val="Normal"/>
    <w:link w:val="BodyTextIndent3Char"/>
    <w:uiPriority w:val="99"/>
    <w:semiHidden/>
    <w:unhideWhenUsed/>
    <w:pPr>
      <w:spacing w:after="120"/>
      <w:ind w:left="360" w:firstLine="0"/>
    </w:pPr>
    <w:rPr>
      <w:sz w:val="22"/>
      <w:szCs w:val="16"/>
    </w:rPr>
  </w:style>
  <w:style w:type="character" w:customStyle="1" w:styleId="BodyTextIndent3Char">
    <w:name w:val="Body Text Indent 3 Char"/>
    <w:basedOn w:val="DefaultParagraphFont"/>
    <w:link w:val="BodyTextIndent3"/>
    <w:uiPriority w:val="99"/>
    <w:semiHidden/>
    <w:rPr>
      <w:sz w:val="22"/>
      <w:szCs w:val="16"/>
    </w:rPr>
  </w:style>
  <w:style w:type="paragraph" w:styleId="Caption">
    <w:name w:val="caption"/>
    <w:basedOn w:val="Normal"/>
    <w:next w:val="Normal"/>
    <w:uiPriority w:val="35"/>
    <w:semiHidden/>
    <w:unhideWhenUsed/>
    <w:qFormat/>
    <w:pPr>
      <w:spacing w:after="200" w:line="240" w:lineRule="auto"/>
      <w:ind w:firstLine="0"/>
    </w:pPr>
    <w:rPr>
      <w:i/>
      <w:iCs/>
      <w:color w:val="000000" w:themeColor="text2"/>
      <w:sz w:val="22"/>
      <w:szCs w:val="18"/>
    </w:rPr>
  </w:style>
  <w:style w:type="paragraph" w:styleId="Closing">
    <w:name w:val="Closing"/>
    <w:basedOn w:val="Normal"/>
    <w:link w:val="ClosingChar"/>
    <w:uiPriority w:val="99"/>
    <w:semiHidden/>
    <w:unhideWhenUsed/>
    <w:pPr>
      <w:spacing w:line="240" w:lineRule="auto"/>
      <w:ind w:left="4320" w:firstLine="0"/>
    </w:pPr>
  </w:style>
  <w:style w:type="character" w:customStyle="1" w:styleId="ClosingChar">
    <w:name w:val="Closing Char"/>
    <w:basedOn w:val="DefaultParagraphFont"/>
    <w:link w:val="Closing"/>
    <w:uiPriority w:val="99"/>
    <w:semiHidden/>
  </w:style>
  <w:style w:type="paragraph" w:styleId="CommentText">
    <w:name w:val="annotation text"/>
    <w:basedOn w:val="Normal"/>
    <w:link w:val="CommentTextChar"/>
    <w:uiPriority w:val="99"/>
    <w:unhideWhenUsed/>
    <w:pPr>
      <w:spacing w:line="240" w:lineRule="auto"/>
      <w:ind w:firstLine="0"/>
    </w:pPr>
    <w:rPr>
      <w:sz w:val="22"/>
      <w:szCs w:val="20"/>
    </w:rPr>
  </w:style>
  <w:style w:type="character" w:customStyle="1" w:styleId="CommentTextChar">
    <w:name w:val="Comment Text Char"/>
    <w:basedOn w:val="DefaultParagraphFont"/>
    <w:link w:val="CommentText"/>
    <w:uiPriority w:val="99"/>
    <w:rPr>
      <w:sz w:val="22"/>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szCs w:val="20"/>
    </w:rPr>
  </w:style>
  <w:style w:type="paragraph" w:styleId="Date">
    <w:name w:val="Date"/>
    <w:basedOn w:val="Normal"/>
    <w:next w:val="Normal"/>
    <w:link w:val="DateChar"/>
    <w:uiPriority w:val="99"/>
    <w:semiHidden/>
    <w:unhideWhenUsed/>
    <w:pPr>
      <w:ind w:firstLine="0"/>
    </w:pPr>
  </w:style>
  <w:style w:type="character" w:customStyle="1" w:styleId="DateChar">
    <w:name w:val="Date Char"/>
    <w:basedOn w:val="DefaultParagraphFont"/>
    <w:link w:val="Date"/>
    <w:uiPriority w:val="99"/>
    <w:semiHidden/>
  </w:style>
  <w:style w:type="paragraph" w:styleId="DocumentMap">
    <w:name w:val="Document Map"/>
    <w:basedOn w:val="Normal"/>
    <w:link w:val="DocumentMapChar"/>
    <w:uiPriority w:val="99"/>
    <w:semiHidden/>
    <w:unhideWhenUsed/>
    <w:pPr>
      <w:spacing w:line="240" w:lineRule="auto"/>
      <w:ind w:firstLine="0"/>
    </w:pPr>
    <w:rPr>
      <w:rFonts w:ascii="Segoe UI" w:hAnsi="Segoe UI" w:cs="Segoe UI"/>
      <w:sz w:val="22"/>
      <w:szCs w:val="16"/>
    </w:rPr>
  </w:style>
  <w:style w:type="character" w:customStyle="1" w:styleId="DocumentMapChar">
    <w:name w:val="Document Map Char"/>
    <w:basedOn w:val="DefaultParagraphFont"/>
    <w:link w:val="DocumentMap"/>
    <w:uiPriority w:val="99"/>
    <w:semiHidden/>
    <w:rPr>
      <w:rFonts w:ascii="Segoe UI" w:hAnsi="Segoe UI" w:cs="Segoe UI"/>
      <w:sz w:val="22"/>
      <w:szCs w:val="16"/>
    </w:rPr>
  </w:style>
  <w:style w:type="paragraph" w:styleId="E-mailSignature">
    <w:name w:val="E-mail Signature"/>
    <w:basedOn w:val="Normal"/>
    <w:link w:val="E-mailSignatureChar"/>
    <w:uiPriority w:val="99"/>
    <w:semiHidden/>
    <w:unhideWhenUsed/>
    <w:pPr>
      <w:spacing w:line="240" w:lineRule="auto"/>
      <w:ind w:firstLine="0"/>
    </w:pPr>
  </w:style>
  <w:style w:type="character" w:customStyle="1" w:styleId="E-mailSignatureChar">
    <w:name w:val="E-mail Signature Char"/>
    <w:basedOn w:val="DefaultParagraphFont"/>
    <w:link w:val="E-mailSignature"/>
    <w:uiPriority w:val="99"/>
    <w:semiHidden/>
  </w:style>
  <w:style w:type="paragraph" w:styleId="FootnoteText">
    <w:name w:val="footnote text"/>
    <w:basedOn w:val="Normal"/>
    <w:link w:val="FootnoteTextChar1"/>
    <w:uiPriority w:val="99"/>
    <w:semiHidden/>
    <w:unhideWhenUsed/>
    <w:pPr>
      <w:spacing w:line="240" w:lineRule="auto"/>
    </w:pPr>
    <w:rPr>
      <w:sz w:val="22"/>
      <w:szCs w:val="20"/>
    </w:rPr>
  </w:style>
  <w:style w:type="character" w:customStyle="1" w:styleId="FootnoteTextChar1">
    <w:name w:val="Footnote Text Char1"/>
    <w:basedOn w:val="DefaultParagraphFont"/>
    <w:link w:val="FootnoteText"/>
    <w:uiPriority w:val="99"/>
    <w:semiHidden/>
    <w:rPr>
      <w:sz w:val="22"/>
      <w:szCs w:val="20"/>
    </w:rPr>
  </w:style>
  <w:style w:type="paragraph" w:styleId="EnvelopeAddress">
    <w:name w:val="envelope address"/>
    <w:basedOn w:val="Normal"/>
    <w:uiPriority w:val="99"/>
    <w:semiHidden/>
    <w:unhideWhenUsed/>
    <w:pPr>
      <w:framePr w:w="7920" w:h="1980" w:hRule="exact" w:hSpace="180" w:wrap="auto" w:hAnchor="page" w:xAlign="center" w:yAlign="bottom"/>
      <w:spacing w:line="240" w:lineRule="auto"/>
      <w:ind w:left="2880" w:firstLine="0"/>
    </w:pPr>
  </w:style>
  <w:style w:type="paragraph" w:styleId="EnvelopeReturn">
    <w:name w:val="envelope return"/>
    <w:basedOn w:val="Normal"/>
    <w:uiPriority w:val="99"/>
    <w:semiHidden/>
    <w:unhideWhenUsed/>
    <w:pPr>
      <w:spacing w:line="240" w:lineRule="auto"/>
      <w:ind w:firstLine="0"/>
    </w:pPr>
    <w:rPr>
      <w:sz w:val="22"/>
      <w:szCs w:val="20"/>
    </w:rPr>
  </w:style>
  <w:style w:type="paragraph" w:styleId="Footer">
    <w:name w:val="footer"/>
    <w:basedOn w:val="Normal"/>
    <w:link w:val="FooterChar1"/>
    <w:uiPriority w:val="99"/>
    <w:unhideWhenUsed/>
    <w:pPr>
      <w:spacing w:line="240" w:lineRule="auto"/>
      <w:ind w:firstLine="0"/>
    </w:pPr>
  </w:style>
  <w:style w:type="character" w:customStyle="1" w:styleId="FooterChar1">
    <w:name w:val="Footer Char1"/>
    <w:basedOn w:val="DefaultParagraphFont"/>
    <w:link w:val="Footer"/>
    <w:uiPriority w:val="99"/>
  </w:style>
  <w:style w:type="table" w:styleId="TableGrid">
    <w:name w:val="Table Grid"/>
    <w:basedOn w:val="TableNormal"/>
    <w:uiPriority w:val="39"/>
    <w:pPr>
      <w:spacing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eGridLight">
    <w:name w:val="Grid Table Light"/>
    <w:basedOn w:val="TableNormal"/>
    <w:uiPriority w:val="40"/>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HTMLAddress">
    <w:name w:val="HTML Address"/>
    <w:basedOn w:val="Normal"/>
    <w:link w:val="HTMLAddressChar"/>
    <w:uiPriority w:val="99"/>
    <w:semiHidden/>
    <w:unhideWhenUsed/>
    <w:pPr>
      <w:spacing w:line="240" w:lineRule="auto"/>
      <w:ind w:firstLine="0"/>
    </w:pPr>
    <w:rPr>
      <w:i/>
      <w:iCs/>
    </w:rPr>
  </w:style>
  <w:style w:type="character" w:customStyle="1" w:styleId="HTMLAddressChar">
    <w:name w:val="HTML Address Char"/>
    <w:basedOn w:val="DefaultParagraphFont"/>
    <w:link w:val="HTMLAddress"/>
    <w:uiPriority w:val="99"/>
    <w:semiHidden/>
    <w:rPr>
      <w:i/>
      <w:iCs/>
    </w:rPr>
  </w:style>
  <w:style w:type="paragraph" w:styleId="HTMLPreformatted">
    <w:name w:val="HTML Preformatted"/>
    <w:basedOn w:val="Normal"/>
    <w:link w:val="HTMLPreformattedChar"/>
    <w:uiPriority w:val="99"/>
    <w:semiHidden/>
    <w:unhideWhenUsed/>
    <w:pPr>
      <w:spacing w:line="240" w:lineRule="auto"/>
      <w:ind w:firstLine="0"/>
    </w:pPr>
    <w:rPr>
      <w:rFonts w:ascii="Consolas" w:hAnsi="Consolas" w:cs="Consolas"/>
      <w:sz w:val="22"/>
      <w:szCs w:val="20"/>
    </w:rPr>
  </w:style>
  <w:style w:type="character" w:customStyle="1" w:styleId="HTMLPreformattedChar">
    <w:name w:val="HTML Preformatted Char"/>
    <w:basedOn w:val="DefaultParagraphFont"/>
    <w:link w:val="HTMLPreformatted"/>
    <w:uiPriority w:val="99"/>
    <w:semiHidden/>
    <w:rPr>
      <w:rFonts w:ascii="Consolas" w:hAnsi="Consolas" w:cs="Consolas"/>
      <w:sz w:val="22"/>
      <w:szCs w:val="20"/>
    </w:rPr>
  </w:style>
  <w:style w:type="paragraph" w:styleId="Index1">
    <w:name w:val="index 1"/>
    <w:basedOn w:val="Normal"/>
    <w:next w:val="Normal"/>
    <w:uiPriority w:val="99"/>
    <w:semiHidden/>
    <w:unhideWhenUsed/>
    <w:pPr>
      <w:spacing w:line="240" w:lineRule="auto"/>
      <w:ind w:left="240" w:firstLine="0"/>
    </w:pPr>
  </w:style>
  <w:style w:type="paragraph" w:styleId="Index2">
    <w:name w:val="index 2"/>
    <w:basedOn w:val="Normal"/>
    <w:next w:val="Normal"/>
    <w:uiPriority w:val="99"/>
    <w:semiHidden/>
    <w:unhideWhenUsed/>
    <w:pPr>
      <w:spacing w:line="240" w:lineRule="auto"/>
      <w:ind w:left="480" w:firstLine="0"/>
    </w:pPr>
  </w:style>
  <w:style w:type="paragraph" w:styleId="Index3">
    <w:name w:val="index 3"/>
    <w:basedOn w:val="Normal"/>
    <w:next w:val="Normal"/>
    <w:uiPriority w:val="99"/>
    <w:semiHidden/>
    <w:unhideWhenUsed/>
    <w:pPr>
      <w:spacing w:line="240" w:lineRule="auto"/>
      <w:ind w:left="720" w:firstLine="0"/>
    </w:pPr>
  </w:style>
  <w:style w:type="paragraph" w:styleId="Index4">
    <w:name w:val="index 4"/>
    <w:basedOn w:val="Normal"/>
    <w:next w:val="Normal"/>
    <w:uiPriority w:val="99"/>
    <w:semiHidden/>
    <w:unhideWhenUsed/>
    <w:pPr>
      <w:spacing w:line="240" w:lineRule="auto"/>
      <w:ind w:left="960" w:firstLine="0"/>
    </w:pPr>
  </w:style>
  <w:style w:type="paragraph" w:styleId="Index5">
    <w:name w:val="index 5"/>
    <w:basedOn w:val="Normal"/>
    <w:next w:val="Normal"/>
    <w:uiPriority w:val="99"/>
    <w:semiHidden/>
    <w:unhideWhenUsed/>
    <w:pPr>
      <w:spacing w:line="240" w:lineRule="auto"/>
      <w:ind w:left="1200" w:firstLine="0"/>
    </w:pPr>
  </w:style>
  <w:style w:type="paragraph" w:styleId="Index6">
    <w:name w:val="index 6"/>
    <w:basedOn w:val="Normal"/>
    <w:next w:val="Normal"/>
    <w:uiPriority w:val="99"/>
    <w:semiHidden/>
    <w:unhideWhenUsed/>
    <w:pPr>
      <w:spacing w:line="240" w:lineRule="auto"/>
      <w:ind w:left="1440" w:firstLine="0"/>
    </w:pPr>
  </w:style>
  <w:style w:type="paragraph" w:styleId="Index7">
    <w:name w:val="index 7"/>
    <w:basedOn w:val="Normal"/>
    <w:next w:val="Normal"/>
    <w:uiPriority w:val="99"/>
    <w:semiHidden/>
    <w:unhideWhenUsed/>
    <w:pPr>
      <w:spacing w:line="240" w:lineRule="auto"/>
      <w:ind w:left="1680" w:firstLine="0"/>
    </w:pPr>
  </w:style>
  <w:style w:type="paragraph" w:styleId="Index8">
    <w:name w:val="index 8"/>
    <w:basedOn w:val="Normal"/>
    <w:next w:val="Normal"/>
    <w:uiPriority w:val="99"/>
    <w:semiHidden/>
    <w:unhideWhenUsed/>
    <w:pPr>
      <w:spacing w:line="240" w:lineRule="auto"/>
      <w:ind w:left="1920" w:firstLine="0"/>
    </w:pPr>
  </w:style>
  <w:style w:type="paragraph" w:styleId="Index9">
    <w:name w:val="index 9"/>
    <w:basedOn w:val="Normal"/>
    <w:next w:val="Normal"/>
    <w:uiPriority w:val="99"/>
    <w:semiHidden/>
    <w:unhideWhenUsed/>
    <w:pPr>
      <w:spacing w:line="240" w:lineRule="auto"/>
      <w:ind w:left="2160" w:firstLine="0"/>
    </w:pPr>
  </w:style>
  <w:style w:type="paragraph" w:styleId="IndexHeading">
    <w:name w:val="index heading"/>
    <w:basedOn w:val="Normal"/>
    <w:next w:val="Index1"/>
    <w:uiPriority w:val="99"/>
    <w:semiHidden/>
    <w:unhideWhenUsed/>
    <w:pPr>
      <w:ind w:firstLine="0"/>
    </w:pPr>
    <w:rPr>
      <w:b/>
      <w:bCs/>
    </w:rPr>
  </w:style>
  <w:style w:type="paragraph" w:styleId="IntenseQuote">
    <w:name w:val="Intense Quote"/>
    <w:basedOn w:val="Normal"/>
    <w:next w:val="Normal"/>
    <w:link w:val="IntenseQuoteChar1"/>
    <w:uiPriority w:val="30"/>
    <w:semiHidden/>
    <w:unhideWhenUsed/>
    <w:qFormat/>
    <w:pPr>
      <w:pBdr>
        <w:top w:val="single" w:sz="4" w:space="10" w:color="404040" w:themeColor="text1" w:themeTint="BF"/>
        <w:bottom w:val="single" w:sz="4" w:space="10" w:color="404040" w:themeColor="text1" w:themeTint="BF"/>
      </w:pBdr>
      <w:spacing w:before="360" w:after="360"/>
      <w:ind w:left="864" w:right="864" w:firstLine="0"/>
      <w:jc w:val="center"/>
    </w:pPr>
    <w:rPr>
      <w:i/>
      <w:iCs/>
      <w:color w:val="404040" w:themeColor="text1" w:themeTint="BF"/>
    </w:rPr>
  </w:style>
  <w:style w:type="character" w:customStyle="1" w:styleId="IntenseQuoteChar1">
    <w:name w:val="Intense Quote Char1"/>
    <w:basedOn w:val="DefaultParagraphFont"/>
    <w:link w:val="IntenseQuote"/>
    <w:uiPriority w:val="30"/>
    <w:semiHidden/>
    <w:rPr>
      <w:i/>
      <w:iCs/>
      <w:color w:val="404040" w:themeColor="text1" w:themeTint="BF"/>
    </w:rPr>
  </w:style>
  <w:style w:type="paragraph" w:styleId="List">
    <w:name w:val="List"/>
    <w:basedOn w:val="Normal"/>
    <w:uiPriority w:val="99"/>
    <w:semiHidden/>
    <w:unhideWhenUsed/>
    <w:pPr>
      <w:ind w:left="360" w:firstLine="0"/>
      <w:contextualSpacing/>
    </w:pPr>
  </w:style>
  <w:style w:type="paragraph" w:styleId="List2">
    <w:name w:val="List 2"/>
    <w:basedOn w:val="Normal"/>
    <w:uiPriority w:val="99"/>
    <w:semiHidden/>
    <w:unhideWhenUsed/>
    <w:pPr>
      <w:ind w:left="720" w:firstLine="0"/>
      <w:contextualSpacing/>
    </w:pPr>
  </w:style>
  <w:style w:type="paragraph" w:styleId="List3">
    <w:name w:val="List 3"/>
    <w:basedOn w:val="Normal"/>
    <w:uiPriority w:val="99"/>
    <w:semiHidden/>
    <w:unhideWhenUsed/>
    <w:pPr>
      <w:ind w:left="1080" w:firstLine="0"/>
      <w:contextualSpacing/>
    </w:pPr>
  </w:style>
  <w:style w:type="paragraph" w:styleId="List4">
    <w:name w:val="List 4"/>
    <w:basedOn w:val="Normal"/>
    <w:uiPriority w:val="99"/>
    <w:semiHidden/>
    <w:unhideWhenUsed/>
    <w:pPr>
      <w:ind w:left="1440" w:firstLine="0"/>
      <w:contextualSpacing/>
    </w:pPr>
  </w:style>
  <w:style w:type="paragraph" w:styleId="List5">
    <w:name w:val="List 5"/>
    <w:basedOn w:val="Normal"/>
    <w:uiPriority w:val="99"/>
    <w:semiHidden/>
    <w:unhideWhenUsed/>
    <w:pPr>
      <w:ind w:left="1800" w:firstLine="0"/>
      <w:contextualSpacing/>
    </w:pPr>
  </w:style>
  <w:style w:type="paragraph" w:styleId="ListBullet">
    <w:name w:val="List Bullet"/>
    <w:basedOn w:val="Normal"/>
    <w:uiPriority w:val="9"/>
    <w:unhideWhenUsed/>
    <w:qFormat/>
    <w:pPr>
      <w:numPr>
        <w:numId w:val="1"/>
      </w:numPr>
      <w:contextualSpacing/>
    </w:pPr>
  </w:style>
  <w:style w:type="paragraph" w:styleId="ListBullet2">
    <w:name w:val="List Bullet 2"/>
    <w:basedOn w:val="Normal"/>
    <w:uiPriority w:val="99"/>
    <w:semiHidden/>
    <w:unhideWhenUsed/>
    <w:pPr>
      <w:numPr>
        <w:numId w:val="2"/>
      </w:numPr>
      <w:ind w:firstLine="0"/>
      <w:contextualSpacing/>
    </w:pPr>
  </w:style>
  <w:style w:type="paragraph" w:styleId="ListBullet3">
    <w:name w:val="List Bullet 3"/>
    <w:basedOn w:val="Normal"/>
    <w:uiPriority w:val="99"/>
    <w:semiHidden/>
    <w:unhideWhenUsed/>
    <w:pPr>
      <w:numPr>
        <w:numId w:val="3"/>
      </w:numPr>
      <w:ind w:firstLine="0"/>
      <w:contextualSpacing/>
    </w:pPr>
  </w:style>
  <w:style w:type="paragraph" w:styleId="ListBullet4">
    <w:name w:val="List Bullet 4"/>
    <w:basedOn w:val="Normal"/>
    <w:uiPriority w:val="99"/>
    <w:semiHidden/>
    <w:unhideWhenUsed/>
    <w:pPr>
      <w:numPr>
        <w:numId w:val="4"/>
      </w:numPr>
      <w:ind w:firstLine="0"/>
      <w:contextualSpacing/>
    </w:pPr>
  </w:style>
  <w:style w:type="paragraph" w:styleId="ListBullet5">
    <w:name w:val="List Bullet 5"/>
    <w:basedOn w:val="Normal"/>
    <w:uiPriority w:val="99"/>
    <w:semiHidden/>
    <w:unhideWhenUsed/>
    <w:pPr>
      <w:numPr>
        <w:numId w:val="5"/>
      </w:numPr>
      <w:ind w:firstLine="0"/>
      <w:contextualSpacing/>
    </w:pPr>
  </w:style>
  <w:style w:type="paragraph" w:styleId="ListContinue">
    <w:name w:val="List Continue"/>
    <w:basedOn w:val="Normal"/>
    <w:uiPriority w:val="99"/>
    <w:semiHidden/>
    <w:unhideWhenUsed/>
    <w:pPr>
      <w:spacing w:after="120"/>
      <w:ind w:left="360" w:firstLine="0"/>
      <w:contextualSpacing/>
    </w:pPr>
  </w:style>
  <w:style w:type="paragraph" w:styleId="ListContinue2">
    <w:name w:val="List Continue 2"/>
    <w:basedOn w:val="Normal"/>
    <w:uiPriority w:val="99"/>
    <w:semiHidden/>
    <w:unhideWhenUsed/>
    <w:pPr>
      <w:spacing w:after="120"/>
      <w:ind w:left="720" w:firstLine="0"/>
      <w:contextualSpacing/>
    </w:pPr>
  </w:style>
  <w:style w:type="paragraph" w:styleId="ListContinue3">
    <w:name w:val="List Continue 3"/>
    <w:basedOn w:val="Normal"/>
    <w:uiPriority w:val="99"/>
    <w:semiHidden/>
    <w:unhideWhenUsed/>
    <w:pPr>
      <w:spacing w:after="120"/>
      <w:ind w:left="1080" w:firstLine="0"/>
      <w:contextualSpacing/>
    </w:pPr>
  </w:style>
  <w:style w:type="paragraph" w:styleId="ListContinue4">
    <w:name w:val="List Continue 4"/>
    <w:basedOn w:val="Normal"/>
    <w:uiPriority w:val="99"/>
    <w:semiHidden/>
    <w:unhideWhenUsed/>
    <w:pPr>
      <w:spacing w:after="120"/>
      <w:ind w:left="1440" w:firstLine="0"/>
      <w:contextualSpacing/>
    </w:pPr>
  </w:style>
  <w:style w:type="paragraph" w:styleId="ListContinue5">
    <w:name w:val="List Continue 5"/>
    <w:basedOn w:val="Normal"/>
    <w:uiPriority w:val="99"/>
    <w:semiHidden/>
    <w:unhideWhenUsed/>
    <w:pPr>
      <w:spacing w:after="120"/>
      <w:ind w:left="1800" w:firstLine="0"/>
      <w:contextualSpacing/>
    </w:pPr>
  </w:style>
  <w:style w:type="paragraph" w:styleId="ListNumber">
    <w:name w:val="List Number"/>
    <w:basedOn w:val="Normal"/>
    <w:uiPriority w:val="9"/>
    <w:unhideWhenUsed/>
    <w:qFormat/>
    <w:pPr>
      <w:numPr>
        <w:numId w:val="6"/>
      </w:numPr>
      <w:contextualSpacing/>
    </w:pPr>
  </w:style>
  <w:style w:type="paragraph" w:styleId="ListNumber2">
    <w:name w:val="List Number 2"/>
    <w:basedOn w:val="Normal"/>
    <w:uiPriority w:val="99"/>
    <w:semiHidden/>
    <w:unhideWhenUsed/>
    <w:pPr>
      <w:numPr>
        <w:numId w:val="7"/>
      </w:numPr>
      <w:ind w:firstLine="0"/>
      <w:contextualSpacing/>
    </w:pPr>
  </w:style>
  <w:style w:type="paragraph" w:styleId="ListNumber3">
    <w:name w:val="List Number 3"/>
    <w:basedOn w:val="Normal"/>
    <w:uiPriority w:val="99"/>
    <w:semiHidden/>
    <w:unhideWhenUsed/>
    <w:pPr>
      <w:numPr>
        <w:numId w:val="8"/>
      </w:numPr>
      <w:ind w:firstLine="0"/>
      <w:contextualSpacing/>
    </w:pPr>
  </w:style>
  <w:style w:type="paragraph" w:styleId="ListNumber4">
    <w:name w:val="List Number 4"/>
    <w:basedOn w:val="Normal"/>
    <w:uiPriority w:val="99"/>
    <w:semiHidden/>
    <w:unhideWhenUsed/>
    <w:pPr>
      <w:numPr>
        <w:numId w:val="9"/>
      </w:numPr>
      <w:ind w:firstLine="0"/>
      <w:contextualSpacing/>
    </w:pPr>
  </w:style>
  <w:style w:type="paragraph" w:styleId="ListNumber5">
    <w:name w:val="List Number 5"/>
    <w:basedOn w:val="Normal"/>
    <w:uiPriority w:val="99"/>
    <w:semiHidden/>
    <w:unhideWhenUsed/>
    <w:pPr>
      <w:numPr>
        <w:numId w:val="10"/>
      </w:numPr>
      <w:ind w:firstLine="0"/>
      <w:contextualSpacing/>
    </w:pPr>
  </w:style>
  <w:style w:type="paragraph" w:styleId="ListParagraph">
    <w:name w:val="List Paragraph"/>
    <w:basedOn w:val="Normal"/>
    <w:uiPriority w:val="34"/>
    <w:unhideWhenUsed/>
    <w:qFormat/>
    <w:pPr>
      <w:ind w:left="720" w:firstLine="0"/>
      <w:contextualSpacing/>
    </w:p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ind w:firstLine="0"/>
    </w:pPr>
    <w:rPr>
      <w:rFonts w:ascii="Consolas" w:hAnsi="Consolas" w:cs="Consolas"/>
      <w:sz w:val="22"/>
      <w:szCs w:val="20"/>
    </w:rPr>
  </w:style>
  <w:style w:type="character" w:customStyle="1" w:styleId="MacroTextChar">
    <w:name w:val="Macro Text Char"/>
    <w:basedOn w:val="DefaultParagraphFont"/>
    <w:link w:val="MacroText"/>
    <w:uiPriority w:val="99"/>
    <w:semiHidden/>
    <w:rPr>
      <w:rFonts w:ascii="Consolas" w:hAnsi="Consolas" w:cs="Consolas"/>
      <w:sz w:val="22"/>
      <w:szCs w:val="20"/>
    </w:r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line="240" w:lineRule="auto"/>
      <w:ind w:left="1080" w:firstLine="0"/>
    </w:pPr>
  </w:style>
  <w:style w:type="character" w:customStyle="1" w:styleId="MessageHeaderChar">
    <w:name w:val="Message Header Char"/>
    <w:basedOn w:val="DefaultParagraphFont"/>
    <w:link w:val="MessageHeader"/>
    <w:uiPriority w:val="99"/>
    <w:semiHidden/>
    <w:rPr>
      <w:rFonts w:ascii="Times New Roman" w:eastAsia="Times New Roman" w:hAnsi="Times New Roman" w:cs="Times New Roman"/>
      <w:shd w:val="pct20" w:color="auto" w:fill="auto"/>
    </w:rPr>
  </w:style>
  <w:style w:type="paragraph" w:styleId="NormalWeb">
    <w:name w:val="Normal (Web)"/>
    <w:basedOn w:val="Normal"/>
    <w:uiPriority w:val="99"/>
    <w:semiHidden/>
    <w:unhideWhenUsed/>
    <w:pPr>
      <w:ind w:firstLine="0"/>
    </w:pPr>
  </w:style>
  <w:style w:type="paragraph" w:styleId="NormalIndent">
    <w:name w:val="Normal Indent"/>
    <w:basedOn w:val="Normal"/>
    <w:uiPriority w:val="99"/>
    <w:semiHidden/>
    <w:unhideWhenUsed/>
    <w:pPr>
      <w:ind w:left="720" w:firstLine="0"/>
    </w:pPr>
  </w:style>
  <w:style w:type="paragraph" w:styleId="NoteHeading">
    <w:name w:val="Note Heading"/>
    <w:basedOn w:val="Normal"/>
    <w:next w:val="Normal"/>
    <w:link w:val="NoteHeadingChar"/>
    <w:uiPriority w:val="99"/>
    <w:semiHidden/>
    <w:unhideWhenUsed/>
    <w:pPr>
      <w:spacing w:line="240" w:lineRule="auto"/>
      <w:ind w:firstLine="0"/>
    </w:pPr>
  </w:style>
  <w:style w:type="character" w:customStyle="1" w:styleId="NoteHeadingChar">
    <w:name w:val="Note Heading Char"/>
    <w:basedOn w:val="DefaultParagraphFont"/>
    <w:link w:val="NoteHeading"/>
    <w:uiPriority w:val="99"/>
    <w:semiHidden/>
  </w:style>
  <w:style w:type="paragraph" w:styleId="PlainText">
    <w:name w:val="Plain Text"/>
    <w:basedOn w:val="Normal"/>
    <w:link w:val="PlainTextChar"/>
    <w:uiPriority w:val="99"/>
    <w:semiHidden/>
    <w:unhideWhenUsed/>
    <w:pPr>
      <w:spacing w:line="240" w:lineRule="auto"/>
      <w:ind w:firstLine="0"/>
    </w:pPr>
    <w:rPr>
      <w:rFonts w:ascii="Consolas" w:hAnsi="Consolas" w:cs="Consolas"/>
      <w:sz w:val="22"/>
      <w:szCs w:val="21"/>
    </w:rPr>
  </w:style>
  <w:style w:type="character" w:customStyle="1" w:styleId="PlainTextChar">
    <w:name w:val="Plain Text Char"/>
    <w:basedOn w:val="DefaultParagraphFont"/>
    <w:link w:val="PlainText"/>
    <w:uiPriority w:val="99"/>
    <w:semiHidden/>
    <w:rPr>
      <w:rFonts w:ascii="Consolas" w:hAnsi="Consolas" w:cs="Consolas"/>
      <w:sz w:val="22"/>
      <w:szCs w:val="21"/>
    </w:rPr>
  </w:style>
  <w:style w:type="paragraph" w:styleId="Quote">
    <w:name w:val="Quote"/>
    <w:basedOn w:val="Normal"/>
    <w:next w:val="Normal"/>
    <w:link w:val="QuoteChar1"/>
    <w:uiPriority w:val="29"/>
    <w:semiHidden/>
    <w:unhideWhenUsed/>
    <w:qFormat/>
    <w:pPr>
      <w:spacing w:before="200" w:after="160"/>
      <w:ind w:left="864" w:right="864" w:firstLine="0"/>
      <w:jc w:val="center"/>
    </w:pPr>
    <w:rPr>
      <w:i/>
      <w:iCs/>
      <w:color w:val="404040" w:themeColor="text1" w:themeTint="BF"/>
    </w:rPr>
  </w:style>
  <w:style w:type="character" w:customStyle="1" w:styleId="QuoteChar1">
    <w:name w:val="Quote Char1"/>
    <w:basedOn w:val="DefaultParagraphFont"/>
    <w:link w:val="Quote"/>
    <w:uiPriority w:val="29"/>
    <w:semiHidden/>
    <w:rPr>
      <w:i/>
      <w:iCs/>
      <w:color w:val="404040" w:themeColor="text1" w:themeTint="BF"/>
    </w:rPr>
  </w:style>
  <w:style w:type="paragraph" w:styleId="Salutation">
    <w:name w:val="Salutation"/>
    <w:basedOn w:val="Normal"/>
    <w:next w:val="Normal"/>
    <w:link w:val="SalutationChar"/>
    <w:uiPriority w:val="99"/>
    <w:semiHidden/>
    <w:unhideWhenUsed/>
    <w:pPr>
      <w:ind w:firstLine="0"/>
    </w:pPr>
  </w:style>
  <w:style w:type="character" w:customStyle="1" w:styleId="SalutationChar">
    <w:name w:val="Salutation Char"/>
    <w:basedOn w:val="DefaultParagraphFont"/>
    <w:link w:val="Salutation"/>
    <w:uiPriority w:val="99"/>
    <w:semiHidden/>
  </w:style>
  <w:style w:type="paragraph" w:styleId="Signature">
    <w:name w:val="Signature"/>
    <w:basedOn w:val="Normal"/>
    <w:link w:val="SignatureChar"/>
    <w:uiPriority w:val="99"/>
    <w:semiHidden/>
    <w:unhideWhenUsed/>
    <w:pPr>
      <w:spacing w:line="240" w:lineRule="auto"/>
      <w:ind w:left="4320" w:firstLine="0"/>
    </w:pPr>
  </w:style>
  <w:style w:type="character" w:customStyle="1" w:styleId="SignatureChar">
    <w:name w:val="Signature Char"/>
    <w:basedOn w:val="DefaultParagraphFont"/>
    <w:link w:val="Signature"/>
    <w:uiPriority w:val="99"/>
    <w:semiHidden/>
  </w:style>
  <w:style w:type="paragraph" w:styleId="TableofAuthorities">
    <w:name w:val="table of authorities"/>
    <w:basedOn w:val="Normal"/>
    <w:next w:val="Normal"/>
    <w:uiPriority w:val="99"/>
    <w:semiHidden/>
    <w:unhideWhenUsed/>
    <w:pPr>
      <w:ind w:left="240" w:firstLine="0"/>
    </w:pPr>
  </w:style>
  <w:style w:type="paragraph" w:styleId="TableofFigures">
    <w:name w:val="table of figures"/>
    <w:basedOn w:val="Normal"/>
    <w:next w:val="Normal"/>
    <w:uiPriority w:val="99"/>
    <w:semiHidden/>
    <w:unhideWhenUsed/>
    <w:pPr>
      <w:ind w:firstLine="0"/>
    </w:pPr>
  </w:style>
  <w:style w:type="paragraph" w:styleId="TOAHeading">
    <w:name w:val="toa heading"/>
    <w:basedOn w:val="Normal"/>
    <w:next w:val="Normal"/>
    <w:uiPriority w:val="99"/>
    <w:semiHidden/>
    <w:unhideWhenUsed/>
    <w:pPr>
      <w:spacing w:before="120"/>
      <w:ind w:firstLine="0"/>
    </w:pPr>
    <w:rPr>
      <w:b/>
      <w:bCs/>
    </w:rPr>
  </w:style>
  <w:style w:type="paragraph" w:styleId="TOC4">
    <w:name w:val="toc 4"/>
    <w:basedOn w:val="Normal"/>
    <w:next w:val="Normal"/>
    <w:uiPriority w:val="39"/>
    <w:semiHidden/>
    <w:unhideWhenUsed/>
    <w:pPr>
      <w:spacing w:after="100"/>
      <w:ind w:left="720" w:firstLine="0"/>
    </w:pPr>
  </w:style>
  <w:style w:type="paragraph" w:styleId="TOC5">
    <w:name w:val="toc 5"/>
    <w:basedOn w:val="Normal"/>
    <w:next w:val="Normal"/>
    <w:uiPriority w:val="39"/>
    <w:semiHidden/>
    <w:unhideWhenUsed/>
    <w:pPr>
      <w:spacing w:after="100"/>
      <w:ind w:left="960" w:firstLine="0"/>
    </w:pPr>
  </w:style>
  <w:style w:type="paragraph" w:styleId="TOC6">
    <w:name w:val="toc 6"/>
    <w:basedOn w:val="Normal"/>
    <w:next w:val="Normal"/>
    <w:uiPriority w:val="39"/>
    <w:semiHidden/>
    <w:unhideWhenUsed/>
    <w:pPr>
      <w:spacing w:after="100"/>
      <w:ind w:left="1200" w:firstLine="0"/>
    </w:pPr>
  </w:style>
  <w:style w:type="paragraph" w:styleId="TOC7">
    <w:name w:val="toc 7"/>
    <w:basedOn w:val="Normal"/>
    <w:next w:val="Normal"/>
    <w:uiPriority w:val="39"/>
    <w:semiHidden/>
    <w:unhideWhenUsed/>
    <w:pPr>
      <w:spacing w:after="100"/>
      <w:ind w:left="1440" w:firstLine="0"/>
    </w:pPr>
  </w:style>
  <w:style w:type="paragraph" w:styleId="TOC8">
    <w:name w:val="toc 8"/>
    <w:basedOn w:val="Normal"/>
    <w:next w:val="Normal"/>
    <w:uiPriority w:val="39"/>
    <w:semiHidden/>
    <w:unhideWhenUsed/>
    <w:pPr>
      <w:spacing w:after="100"/>
      <w:ind w:left="1680" w:firstLine="0"/>
    </w:pPr>
  </w:style>
  <w:style w:type="paragraph" w:styleId="TOC9">
    <w:name w:val="toc 9"/>
    <w:basedOn w:val="Normal"/>
    <w:next w:val="Normal"/>
    <w:uiPriority w:val="39"/>
    <w:semiHidden/>
    <w:unhideWhenUsed/>
    <w:pPr>
      <w:spacing w:after="100"/>
      <w:ind w:left="1920" w:firstLine="0"/>
    </w:pPr>
  </w:style>
  <w:style w:type="character" w:styleId="EndnoteReference">
    <w:name w:val="endnote reference"/>
    <w:basedOn w:val="DefaultParagraphFont"/>
    <w:uiPriority w:val="99"/>
    <w:semiHidden/>
    <w:unhideWhenUsed/>
    <w:rPr>
      <w:vertAlign w:val="superscript"/>
    </w:rPr>
  </w:style>
  <w:style w:type="character" w:styleId="FootnoteReference">
    <w:name w:val="footnote reference"/>
    <w:basedOn w:val="DefaultParagraphFont"/>
    <w:uiPriority w:val="5"/>
    <w:unhideWhenUsed/>
    <w:qFormat/>
    <w:rPr>
      <w:vertAlign w:val="superscript"/>
    </w:rPr>
  </w:style>
  <w:style w:type="table" w:customStyle="1" w:styleId="APAReport">
    <w:name w:val="APA Report"/>
    <w:basedOn w:val="TableNormal"/>
    <w:uiPriority w:val="99"/>
    <w:pPr>
      <w:spacing w:line="240" w:lineRule="auto"/>
      <w:ind w:firstLine="0"/>
    </w:pPr>
    <w:tblPr>
      <w:tblBorders>
        <w:top w:val="single" w:sz="12" w:space="0" w:color="000000"/>
        <w:bottom w:val="single" w:sz="12" w:space="0" w:color="000000"/>
      </w:tblBorders>
    </w:tblPr>
    <w:tblStylePr w:type="firstRow">
      <w:rPr>
        <w:rFonts w:ascii="Times New Roman" w:hAnsi="Times New Roman"/>
      </w:rPr>
      <w:tblPr/>
      <w:trPr>
        <w:tblHeader/>
      </w:trPr>
      <w:tcPr>
        <w:tcBorders>
          <w:top w:val="single" w:sz="12" w:space="0" w:color="auto"/>
          <w:left w:val="none" w:sz="4" w:space="0" w:color="000000"/>
          <w:bottom w:val="single" w:sz="12" w:space="0" w:color="auto"/>
          <w:right w:val="none" w:sz="4" w:space="0" w:color="000000"/>
          <w:insideH w:val="none" w:sz="4" w:space="0" w:color="000000"/>
          <w:insideV w:val="none" w:sz="4" w:space="0" w:color="000000"/>
        </w:tcBorders>
      </w:tcPr>
    </w:tblStylePr>
  </w:style>
  <w:style w:type="paragraph" w:customStyle="1" w:styleId="TableFigure">
    <w:name w:val="Table/Figure"/>
    <w:basedOn w:val="Normal"/>
    <w:uiPriority w:val="39"/>
    <w:qFormat/>
    <w:pPr>
      <w:spacing w:before="240"/>
      <w:ind w:firstLine="0"/>
      <w:contextualSpacing/>
    </w:pPr>
  </w:style>
  <w:style w:type="table" w:styleId="PlainTable1">
    <w:name w:val="Plain Table 1"/>
    <w:basedOn w:val="TableNormal"/>
    <w:uiPriority w:val="41"/>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sing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unhideWhenUsed/>
    <w:rPr>
      <w:sz w:val="22"/>
      <w:szCs w:val="16"/>
    </w:rPr>
  </w:style>
  <w:style w:type="paragraph" w:styleId="EndnoteText">
    <w:name w:val="endnote text"/>
    <w:basedOn w:val="Normal"/>
    <w:link w:val="EndnoteTextChar"/>
    <w:uiPriority w:val="99"/>
    <w:semiHidden/>
    <w:unhideWhenUsed/>
    <w:qFormat/>
    <w:pPr>
      <w:spacing w:line="240" w:lineRule="auto"/>
    </w:pPr>
    <w:rPr>
      <w:sz w:val="22"/>
      <w:szCs w:val="20"/>
    </w:rPr>
  </w:style>
  <w:style w:type="character" w:customStyle="1" w:styleId="EndnoteTextChar">
    <w:name w:val="Endnote Text Char"/>
    <w:basedOn w:val="DefaultParagraphFont"/>
    <w:link w:val="EndnoteText"/>
    <w:uiPriority w:val="99"/>
    <w:semiHidden/>
    <w:rPr>
      <w:sz w:val="22"/>
      <w:szCs w:val="20"/>
    </w:rPr>
  </w:style>
  <w:style w:type="character" w:styleId="HTMLCode">
    <w:name w:val="HTML Code"/>
    <w:basedOn w:val="DefaultParagraphFont"/>
    <w:uiPriority w:val="99"/>
    <w:semiHidden/>
    <w:unhideWhenUsed/>
    <w:rPr>
      <w:rFonts w:ascii="Consolas" w:hAnsi="Consolas"/>
      <w:sz w:val="22"/>
      <w:szCs w:val="20"/>
    </w:rPr>
  </w:style>
  <w:style w:type="character" w:styleId="HTMLKeyboard">
    <w:name w:val="HTML Keyboard"/>
    <w:basedOn w:val="DefaultParagraphFont"/>
    <w:uiPriority w:val="99"/>
    <w:semiHidden/>
    <w:unhideWhenUsed/>
    <w:rPr>
      <w:rFonts w:ascii="Consolas" w:hAnsi="Consolas"/>
      <w:sz w:val="22"/>
      <w:szCs w:val="20"/>
    </w:rPr>
  </w:style>
  <w:style w:type="character" w:styleId="HTMLTypewriter">
    <w:name w:val="HTML Typewriter"/>
    <w:basedOn w:val="DefaultParagraphFont"/>
    <w:uiPriority w:val="99"/>
    <w:semiHidden/>
    <w:unhideWhenUsed/>
    <w:rPr>
      <w:rFonts w:ascii="Consolas" w:hAnsi="Consolas"/>
      <w:sz w:val="22"/>
      <w:szCs w:val="20"/>
    </w:rPr>
  </w:style>
  <w:style w:type="character" w:styleId="IntenseEmphasis">
    <w:name w:val="Intense Emphasis"/>
    <w:basedOn w:val="DefaultParagraphFont"/>
    <w:uiPriority w:val="21"/>
    <w:semiHidden/>
    <w:unhideWhenUsed/>
    <w:qFormat/>
    <w:rPr>
      <w:i/>
      <w:iCs/>
      <w:color w:val="373737" w:themeColor="accent1" w:themeShade="40"/>
    </w:rPr>
  </w:style>
  <w:style w:type="character" w:styleId="IntenseReference">
    <w:name w:val="Intense Reference"/>
    <w:basedOn w:val="DefaultParagraphFont"/>
    <w:uiPriority w:val="32"/>
    <w:semiHidden/>
    <w:unhideWhenUsed/>
    <w:qFormat/>
    <w:rPr>
      <w:b/>
      <w:bCs/>
      <w:caps w:val="0"/>
      <w:smallCaps/>
      <w:color w:val="595959" w:themeColor="text1" w:themeTint="A6"/>
      <w:spacing w:val="5"/>
    </w:rPr>
  </w:style>
  <w:style w:type="paragraph" w:styleId="TOCHeading">
    <w:name w:val="TOC Heading"/>
    <w:basedOn w:val="Heading1"/>
    <w:next w:val="Normal"/>
    <w:uiPriority w:val="39"/>
    <w:semiHidden/>
    <w:unhideWhenUsed/>
    <w:qFormat/>
    <w:pPr>
      <w:spacing w:before="240"/>
      <w:ind w:firstLine="720"/>
      <w:jc w:val="left"/>
      <w:outlineLvl w:val="9"/>
    </w:pPr>
    <w:rPr>
      <w:bCs w:val="0"/>
      <w:szCs w:val="32"/>
    </w:rPr>
  </w:style>
  <w:style w:type="character" w:styleId="FollowedHyperlink">
    <w:name w:val="FollowedHyperlink"/>
    <w:basedOn w:val="DefaultParagraphFont"/>
    <w:uiPriority w:val="99"/>
    <w:semiHidden/>
    <w:unhideWhenUsed/>
    <w:rPr>
      <w:color w:val="595959" w:themeColor="text1" w:themeTint="A6"/>
      <w:u w:val="single"/>
    </w:rPr>
  </w:style>
  <w:style w:type="paragraph" w:customStyle="1" w:styleId="Title2">
    <w:name w:val="Title 2"/>
    <w:basedOn w:val="Normal"/>
    <w:uiPriority w:val="1"/>
    <w:qFormat/>
    <w:pPr>
      <w:ind w:firstLine="0"/>
      <w:jc w:val="center"/>
    </w:pPr>
  </w:style>
  <w:style w:type="character" w:styleId="Hyperlink">
    <w:name w:val="Hyperlink"/>
    <w:basedOn w:val="DefaultParagraphFont"/>
    <w:uiPriority w:val="99"/>
    <w:unhideWhenUsed/>
    <w:rPr>
      <w:color w:val="5F5F5F" w:themeColor="hyperlink"/>
      <w:u w:val="single"/>
    </w:rPr>
  </w:style>
  <w:style w:type="character" w:customStyle="1" w:styleId="NichtaufgelsteErwhnung1">
    <w:name w:val="Nicht aufgelöste Erwähnung1"/>
    <w:basedOn w:val="DefaultParagraphFont"/>
    <w:uiPriority w:val="99"/>
    <w:semiHidden/>
    <w:unhideWhenUsed/>
    <w:rPr>
      <w:color w:val="605E5C"/>
      <w:shd w:val="clear" w:color="auto" w:fill="E1DFDD"/>
    </w:rPr>
  </w:style>
  <w:style w:type="paragraph" w:customStyle="1" w:styleId="Literaturverzeichnis1">
    <w:name w:val="Literaturverzeichnis1"/>
    <w:basedOn w:val="Normal"/>
    <w:link w:val="BibliographyZchn"/>
    <w:rsid w:val="00245F82"/>
    <w:pPr>
      <w:ind w:left="720" w:hanging="720"/>
    </w:pPr>
  </w:style>
  <w:style w:type="character" w:customStyle="1" w:styleId="BibliographyZchn">
    <w:name w:val="Bibliography Zchn"/>
    <w:basedOn w:val="BibliographyChar"/>
    <w:link w:val="Literaturverzeichnis1"/>
    <w:rsid w:val="00245F82"/>
  </w:style>
  <w:style w:type="character" w:customStyle="1" w:styleId="NichtaufgelsteErwhnung2">
    <w:name w:val="Nicht aufgelöste Erwähnung2"/>
    <w:basedOn w:val="DefaultParagraphFont"/>
    <w:uiPriority w:val="99"/>
    <w:semiHidden/>
    <w:unhideWhenUsed/>
    <w:rsid w:val="005C54A2"/>
    <w:rPr>
      <w:color w:val="605E5C"/>
      <w:shd w:val="clear" w:color="auto" w:fill="E1DFDD"/>
    </w:rPr>
  </w:style>
  <w:style w:type="character" w:customStyle="1" w:styleId="a-size-extra-large">
    <w:name w:val="a-size-extra-large"/>
    <w:basedOn w:val="DefaultParagraphFont"/>
    <w:rsid w:val="00AA159A"/>
  </w:style>
  <w:style w:type="character" w:customStyle="1" w:styleId="identifier">
    <w:name w:val="identifier"/>
    <w:basedOn w:val="DefaultParagraphFont"/>
    <w:rsid w:val="00CB1724"/>
  </w:style>
  <w:style w:type="paragraph" w:styleId="Revision">
    <w:name w:val="Revision"/>
    <w:hidden/>
    <w:uiPriority w:val="99"/>
    <w:semiHidden/>
    <w:rsid w:val="0047206B"/>
    <w:pPr>
      <w:pBdr>
        <w:top w:val="none" w:sz="0" w:space="0" w:color="auto"/>
        <w:left w:val="none" w:sz="0" w:space="0" w:color="auto"/>
        <w:bottom w:val="none" w:sz="0" w:space="0" w:color="auto"/>
        <w:right w:val="none" w:sz="0" w:space="0" w:color="auto"/>
        <w:between w:val="none" w:sz="0" w:space="0" w:color="auto"/>
      </w:pBdr>
      <w:spacing w:line="240" w:lineRule="auto"/>
      <w:ind w:firstLin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470981">
      <w:bodyDiv w:val="1"/>
      <w:marLeft w:val="0"/>
      <w:marRight w:val="0"/>
      <w:marTop w:val="0"/>
      <w:marBottom w:val="0"/>
      <w:divBdr>
        <w:top w:val="none" w:sz="0" w:space="0" w:color="auto"/>
        <w:left w:val="none" w:sz="0" w:space="0" w:color="auto"/>
        <w:bottom w:val="none" w:sz="0" w:space="0" w:color="auto"/>
        <w:right w:val="none" w:sz="0" w:space="0" w:color="auto"/>
      </w:divBdr>
      <w:divsChild>
        <w:div w:id="1914243873">
          <w:marLeft w:val="0"/>
          <w:marRight w:val="0"/>
          <w:marTop w:val="0"/>
          <w:marBottom w:val="0"/>
          <w:divBdr>
            <w:top w:val="none" w:sz="0" w:space="0" w:color="auto"/>
            <w:left w:val="none" w:sz="0" w:space="0" w:color="auto"/>
            <w:bottom w:val="none" w:sz="0" w:space="0" w:color="auto"/>
            <w:right w:val="none" w:sz="0" w:space="0" w:color="auto"/>
          </w:divBdr>
          <w:divsChild>
            <w:div w:id="1408306156">
              <w:marLeft w:val="0"/>
              <w:marRight w:val="0"/>
              <w:marTop w:val="0"/>
              <w:marBottom w:val="0"/>
              <w:divBdr>
                <w:top w:val="none" w:sz="0" w:space="0" w:color="auto"/>
                <w:left w:val="none" w:sz="0" w:space="0" w:color="auto"/>
                <w:bottom w:val="none" w:sz="0" w:space="0" w:color="auto"/>
                <w:right w:val="none" w:sz="0" w:space="0" w:color="auto"/>
              </w:divBdr>
              <w:divsChild>
                <w:div w:id="1822844817">
                  <w:marLeft w:val="0"/>
                  <w:marRight w:val="0"/>
                  <w:marTop w:val="0"/>
                  <w:marBottom w:val="0"/>
                  <w:divBdr>
                    <w:top w:val="none" w:sz="0" w:space="0" w:color="auto"/>
                    <w:left w:val="none" w:sz="0" w:space="0" w:color="auto"/>
                    <w:bottom w:val="none" w:sz="0" w:space="0" w:color="auto"/>
                    <w:right w:val="none" w:sz="0" w:space="0" w:color="auto"/>
                  </w:divBdr>
                </w:div>
                <w:div w:id="104505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51467">
      <w:bodyDiv w:val="1"/>
      <w:marLeft w:val="0"/>
      <w:marRight w:val="0"/>
      <w:marTop w:val="0"/>
      <w:marBottom w:val="0"/>
      <w:divBdr>
        <w:top w:val="none" w:sz="0" w:space="0" w:color="auto"/>
        <w:left w:val="none" w:sz="0" w:space="0" w:color="auto"/>
        <w:bottom w:val="none" w:sz="0" w:space="0" w:color="auto"/>
        <w:right w:val="none" w:sz="0" w:space="0" w:color="auto"/>
      </w:divBdr>
    </w:div>
    <w:div w:id="94138459">
      <w:bodyDiv w:val="1"/>
      <w:marLeft w:val="0"/>
      <w:marRight w:val="0"/>
      <w:marTop w:val="0"/>
      <w:marBottom w:val="0"/>
      <w:divBdr>
        <w:top w:val="none" w:sz="0" w:space="0" w:color="auto"/>
        <w:left w:val="none" w:sz="0" w:space="0" w:color="auto"/>
        <w:bottom w:val="none" w:sz="0" w:space="0" w:color="auto"/>
        <w:right w:val="none" w:sz="0" w:space="0" w:color="auto"/>
      </w:divBdr>
    </w:div>
    <w:div w:id="139422494">
      <w:bodyDiv w:val="1"/>
      <w:marLeft w:val="0"/>
      <w:marRight w:val="0"/>
      <w:marTop w:val="0"/>
      <w:marBottom w:val="0"/>
      <w:divBdr>
        <w:top w:val="none" w:sz="0" w:space="0" w:color="auto"/>
        <w:left w:val="none" w:sz="0" w:space="0" w:color="auto"/>
        <w:bottom w:val="none" w:sz="0" w:space="0" w:color="auto"/>
        <w:right w:val="none" w:sz="0" w:space="0" w:color="auto"/>
      </w:divBdr>
      <w:divsChild>
        <w:div w:id="2144417946">
          <w:marLeft w:val="0"/>
          <w:marRight w:val="0"/>
          <w:marTop w:val="0"/>
          <w:marBottom w:val="0"/>
          <w:divBdr>
            <w:top w:val="none" w:sz="0" w:space="0" w:color="auto"/>
            <w:left w:val="none" w:sz="0" w:space="0" w:color="auto"/>
            <w:bottom w:val="none" w:sz="0" w:space="0" w:color="auto"/>
            <w:right w:val="none" w:sz="0" w:space="0" w:color="auto"/>
          </w:divBdr>
          <w:divsChild>
            <w:div w:id="1503205554">
              <w:marLeft w:val="0"/>
              <w:marRight w:val="0"/>
              <w:marTop w:val="0"/>
              <w:marBottom w:val="0"/>
              <w:divBdr>
                <w:top w:val="none" w:sz="0" w:space="0" w:color="auto"/>
                <w:left w:val="none" w:sz="0" w:space="0" w:color="auto"/>
                <w:bottom w:val="none" w:sz="0" w:space="0" w:color="auto"/>
                <w:right w:val="none" w:sz="0" w:space="0" w:color="auto"/>
              </w:divBdr>
              <w:divsChild>
                <w:div w:id="589655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17486">
      <w:bodyDiv w:val="1"/>
      <w:marLeft w:val="0"/>
      <w:marRight w:val="0"/>
      <w:marTop w:val="0"/>
      <w:marBottom w:val="0"/>
      <w:divBdr>
        <w:top w:val="none" w:sz="0" w:space="0" w:color="auto"/>
        <w:left w:val="none" w:sz="0" w:space="0" w:color="auto"/>
        <w:bottom w:val="none" w:sz="0" w:space="0" w:color="auto"/>
        <w:right w:val="none" w:sz="0" w:space="0" w:color="auto"/>
      </w:divBdr>
    </w:div>
    <w:div w:id="159393607">
      <w:bodyDiv w:val="1"/>
      <w:marLeft w:val="0"/>
      <w:marRight w:val="0"/>
      <w:marTop w:val="0"/>
      <w:marBottom w:val="0"/>
      <w:divBdr>
        <w:top w:val="none" w:sz="0" w:space="0" w:color="auto"/>
        <w:left w:val="none" w:sz="0" w:space="0" w:color="auto"/>
        <w:bottom w:val="none" w:sz="0" w:space="0" w:color="auto"/>
        <w:right w:val="none" w:sz="0" w:space="0" w:color="auto"/>
      </w:divBdr>
    </w:div>
    <w:div w:id="178088256">
      <w:bodyDiv w:val="1"/>
      <w:marLeft w:val="0"/>
      <w:marRight w:val="0"/>
      <w:marTop w:val="0"/>
      <w:marBottom w:val="0"/>
      <w:divBdr>
        <w:top w:val="none" w:sz="0" w:space="0" w:color="auto"/>
        <w:left w:val="none" w:sz="0" w:space="0" w:color="auto"/>
        <w:bottom w:val="none" w:sz="0" w:space="0" w:color="auto"/>
        <w:right w:val="none" w:sz="0" w:space="0" w:color="auto"/>
      </w:divBdr>
    </w:div>
    <w:div w:id="184288419">
      <w:bodyDiv w:val="1"/>
      <w:marLeft w:val="0"/>
      <w:marRight w:val="0"/>
      <w:marTop w:val="0"/>
      <w:marBottom w:val="0"/>
      <w:divBdr>
        <w:top w:val="none" w:sz="0" w:space="0" w:color="auto"/>
        <w:left w:val="none" w:sz="0" w:space="0" w:color="auto"/>
        <w:bottom w:val="none" w:sz="0" w:space="0" w:color="auto"/>
        <w:right w:val="none" w:sz="0" w:space="0" w:color="auto"/>
      </w:divBdr>
    </w:div>
    <w:div w:id="220601515">
      <w:bodyDiv w:val="1"/>
      <w:marLeft w:val="0"/>
      <w:marRight w:val="0"/>
      <w:marTop w:val="0"/>
      <w:marBottom w:val="0"/>
      <w:divBdr>
        <w:top w:val="none" w:sz="0" w:space="0" w:color="auto"/>
        <w:left w:val="none" w:sz="0" w:space="0" w:color="auto"/>
        <w:bottom w:val="none" w:sz="0" w:space="0" w:color="auto"/>
        <w:right w:val="none" w:sz="0" w:space="0" w:color="auto"/>
      </w:divBdr>
    </w:div>
    <w:div w:id="253100950">
      <w:bodyDiv w:val="1"/>
      <w:marLeft w:val="0"/>
      <w:marRight w:val="0"/>
      <w:marTop w:val="0"/>
      <w:marBottom w:val="0"/>
      <w:divBdr>
        <w:top w:val="none" w:sz="0" w:space="0" w:color="auto"/>
        <w:left w:val="none" w:sz="0" w:space="0" w:color="auto"/>
        <w:bottom w:val="none" w:sz="0" w:space="0" w:color="auto"/>
        <w:right w:val="none" w:sz="0" w:space="0" w:color="auto"/>
      </w:divBdr>
    </w:div>
    <w:div w:id="289635606">
      <w:bodyDiv w:val="1"/>
      <w:marLeft w:val="0"/>
      <w:marRight w:val="0"/>
      <w:marTop w:val="0"/>
      <w:marBottom w:val="0"/>
      <w:divBdr>
        <w:top w:val="none" w:sz="0" w:space="0" w:color="auto"/>
        <w:left w:val="none" w:sz="0" w:space="0" w:color="auto"/>
        <w:bottom w:val="none" w:sz="0" w:space="0" w:color="auto"/>
        <w:right w:val="none" w:sz="0" w:space="0" w:color="auto"/>
      </w:divBdr>
      <w:divsChild>
        <w:div w:id="1293831370">
          <w:marLeft w:val="0"/>
          <w:marRight w:val="0"/>
          <w:marTop w:val="0"/>
          <w:marBottom w:val="0"/>
          <w:divBdr>
            <w:top w:val="none" w:sz="0" w:space="0" w:color="auto"/>
            <w:left w:val="none" w:sz="0" w:space="0" w:color="auto"/>
            <w:bottom w:val="none" w:sz="0" w:space="0" w:color="auto"/>
            <w:right w:val="none" w:sz="0" w:space="0" w:color="auto"/>
          </w:divBdr>
        </w:div>
      </w:divsChild>
    </w:div>
    <w:div w:id="346294388">
      <w:bodyDiv w:val="1"/>
      <w:marLeft w:val="0"/>
      <w:marRight w:val="0"/>
      <w:marTop w:val="0"/>
      <w:marBottom w:val="0"/>
      <w:divBdr>
        <w:top w:val="none" w:sz="0" w:space="0" w:color="auto"/>
        <w:left w:val="none" w:sz="0" w:space="0" w:color="auto"/>
        <w:bottom w:val="none" w:sz="0" w:space="0" w:color="auto"/>
        <w:right w:val="none" w:sz="0" w:space="0" w:color="auto"/>
      </w:divBdr>
      <w:divsChild>
        <w:div w:id="1874994873">
          <w:marLeft w:val="0"/>
          <w:marRight w:val="0"/>
          <w:marTop w:val="0"/>
          <w:marBottom w:val="0"/>
          <w:divBdr>
            <w:top w:val="none" w:sz="0" w:space="0" w:color="auto"/>
            <w:left w:val="none" w:sz="0" w:space="0" w:color="auto"/>
            <w:bottom w:val="none" w:sz="0" w:space="0" w:color="auto"/>
            <w:right w:val="none" w:sz="0" w:space="0" w:color="auto"/>
          </w:divBdr>
          <w:divsChild>
            <w:div w:id="1900749742">
              <w:marLeft w:val="0"/>
              <w:marRight w:val="0"/>
              <w:marTop w:val="0"/>
              <w:marBottom w:val="0"/>
              <w:divBdr>
                <w:top w:val="none" w:sz="0" w:space="0" w:color="auto"/>
                <w:left w:val="none" w:sz="0" w:space="0" w:color="auto"/>
                <w:bottom w:val="none" w:sz="0" w:space="0" w:color="auto"/>
                <w:right w:val="none" w:sz="0" w:space="0" w:color="auto"/>
              </w:divBdr>
              <w:divsChild>
                <w:div w:id="22121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3925774">
      <w:bodyDiv w:val="1"/>
      <w:marLeft w:val="0"/>
      <w:marRight w:val="0"/>
      <w:marTop w:val="0"/>
      <w:marBottom w:val="0"/>
      <w:divBdr>
        <w:top w:val="none" w:sz="0" w:space="0" w:color="auto"/>
        <w:left w:val="none" w:sz="0" w:space="0" w:color="auto"/>
        <w:bottom w:val="none" w:sz="0" w:space="0" w:color="auto"/>
        <w:right w:val="none" w:sz="0" w:space="0" w:color="auto"/>
      </w:divBdr>
      <w:divsChild>
        <w:div w:id="264728060">
          <w:marLeft w:val="0"/>
          <w:marRight w:val="0"/>
          <w:marTop w:val="0"/>
          <w:marBottom w:val="0"/>
          <w:divBdr>
            <w:top w:val="none" w:sz="0" w:space="0" w:color="auto"/>
            <w:left w:val="none" w:sz="0" w:space="0" w:color="auto"/>
            <w:bottom w:val="none" w:sz="0" w:space="0" w:color="auto"/>
            <w:right w:val="none" w:sz="0" w:space="0" w:color="auto"/>
          </w:divBdr>
          <w:divsChild>
            <w:div w:id="198780087">
              <w:marLeft w:val="0"/>
              <w:marRight w:val="0"/>
              <w:marTop w:val="0"/>
              <w:marBottom w:val="0"/>
              <w:divBdr>
                <w:top w:val="none" w:sz="0" w:space="0" w:color="auto"/>
                <w:left w:val="none" w:sz="0" w:space="0" w:color="auto"/>
                <w:bottom w:val="none" w:sz="0" w:space="0" w:color="auto"/>
                <w:right w:val="none" w:sz="0" w:space="0" w:color="auto"/>
              </w:divBdr>
              <w:divsChild>
                <w:div w:id="1902862009">
                  <w:marLeft w:val="0"/>
                  <w:marRight w:val="0"/>
                  <w:marTop w:val="0"/>
                  <w:marBottom w:val="0"/>
                  <w:divBdr>
                    <w:top w:val="none" w:sz="0" w:space="0" w:color="auto"/>
                    <w:left w:val="none" w:sz="0" w:space="0" w:color="auto"/>
                    <w:bottom w:val="none" w:sz="0" w:space="0" w:color="auto"/>
                    <w:right w:val="none" w:sz="0" w:space="0" w:color="auto"/>
                  </w:divBdr>
                  <w:divsChild>
                    <w:div w:id="751512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6994545">
      <w:bodyDiv w:val="1"/>
      <w:marLeft w:val="0"/>
      <w:marRight w:val="0"/>
      <w:marTop w:val="0"/>
      <w:marBottom w:val="0"/>
      <w:divBdr>
        <w:top w:val="none" w:sz="0" w:space="0" w:color="auto"/>
        <w:left w:val="none" w:sz="0" w:space="0" w:color="auto"/>
        <w:bottom w:val="none" w:sz="0" w:space="0" w:color="auto"/>
        <w:right w:val="none" w:sz="0" w:space="0" w:color="auto"/>
      </w:divBdr>
    </w:div>
    <w:div w:id="468397686">
      <w:bodyDiv w:val="1"/>
      <w:marLeft w:val="0"/>
      <w:marRight w:val="0"/>
      <w:marTop w:val="0"/>
      <w:marBottom w:val="0"/>
      <w:divBdr>
        <w:top w:val="none" w:sz="0" w:space="0" w:color="auto"/>
        <w:left w:val="none" w:sz="0" w:space="0" w:color="auto"/>
        <w:bottom w:val="none" w:sz="0" w:space="0" w:color="auto"/>
        <w:right w:val="none" w:sz="0" w:space="0" w:color="auto"/>
      </w:divBdr>
    </w:div>
    <w:div w:id="473446103">
      <w:bodyDiv w:val="1"/>
      <w:marLeft w:val="0"/>
      <w:marRight w:val="0"/>
      <w:marTop w:val="0"/>
      <w:marBottom w:val="0"/>
      <w:divBdr>
        <w:top w:val="none" w:sz="0" w:space="0" w:color="auto"/>
        <w:left w:val="none" w:sz="0" w:space="0" w:color="auto"/>
        <w:bottom w:val="none" w:sz="0" w:space="0" w:color="auto"/>
        <w:right w:val="none" w:sz="0" w:space="0" w:color="auto"/>
      </w:divBdr>
    </w:div>
    <w:div w:id="487476084">
      <w:bodyDiv w:val="1"/>
      <w:marLeft w:val="0"/>
      <w:marRight w:val="0"/>
      <w:marTop w:val="0"/>
      <w:marBottom w:val="0"/>
      <w:divBdr>
        <w:top w:val="none" w:sz="0" w:space="0" w:color="auto"/>
        <w:left w:val="none" w:sz="0" w:space="0" w:color="auto"/>
        <w:bottom w:val="none" w:sz="0" w:space="0" w:color="auto"/>
        <w:right w:val="none" w:sz="0" w:space="0" w:color="auto"/>
      </w:divBdr>
    </w:div>
    <w:div w:id="553200500">
      <w:bodyDiv w:val="1"/>
      <w:marLeft w:val="0"/>
      <w:marRight w:val="0"/>
      <w:marTop w:val="0"/>
      <w:marBottom w:val="0"/>
      <w:divBdr>
        <w:top w:val="none" w:sz="0" w:space="0" w:color="auto"/>
        <w:left w:val="none" w:sz="0" w:space="0" w:color="auto"/>
        <w:bottom w:val="none" w:sz="0" w:space="0" w:color="auto"/>
        <w:right w:val="none" w:sz="0" w:space="0" w:color="auto"/>
      </w:divBdr>
    </w:div>
    <w:div w:id="559905746">
      <w:bodyDiv w:val="1"/>
      <w:marLeft w:val="0"/>
      <w:marRight w:val="0"/>
      <w:marTop w:val="0"/>
      <w:marBottom w:val="0"/>
      <w:divBdr>
        <w:top w:val="none" w:sz="0" w:space="0" w:color="auto"/>
        <w:left w:val="none" w:sz="0" w:space="0" w:color="auto"/>
        <w:bottom w:val="none" w:sz="0" w:space="0" w:color="auto"/>
        <w:right w:val="none" w:sz="0" w:space="0" w:color="auto"/>
      </w:divBdr>
      <w:divsChild>
        <w:div w:id="1670795287">
          <w:marLeft w:val="0"/>
          <w:marRight w:val="0"/>
          <w:marTop w:val="0"/>
          <w:marBottom w:val="0"/>
          <w:divBdr>
            <w:top w:val="none" w:sz="0" w:space="0" w:color="auto"/>
            <w:left w:val="none" w:sz="0" w:space="0" w:color="auto"/>
            <w:bottom w:val="none" w:sz="0" w:space="0" w:color="auto"/>
            <w:right w:val="none" w:sz="0" w:space="0" w:color="auto"/>
          </w:divBdr>
          <w:divsChild>
            <w:div w:id="1205366858">
              <w:marLeft w:val="0"/>
              <w:marRight w:val="0"/>
              <w:marTop w:val="0"/>
              <w:marBottom w:val="0"/>
              <w:divBdr>
                <w:top w:val="none" w:sz="0" w:space="0" w:color="auto"/>
                <w:left w:val="none" w:sz="0" w:space="0" w:color="auto"/>
                <w:bottom w:val="none" w:sz="0" w:space="0" w:color="auto"/>
                <w:right w:val="none" w:sz="0" w:space="0" w:color="auto"/>
              </w:divBdr>
              <w:divsChild>
                <w:div w:id="118555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7636359">
      <w:bodyDiv w:val="1"/>
      <w:marLeft w:val="0"/>
      <w:marRight w:val="0"/>
      <w:marTop w:val="0"/>
      <w:marBottom w:val="0"/>
      <w:divBdr>
        <w:top w:val="none" w:sz="0" w:space="0" w:color="auto"/>
        <w:left w:val="none" w:sz="0" w:space="0" w:color="auto"/>
        <w:bottom w:val="none" w:sz="0" w:space="0" w:color="auto"/>
        <w:right w:val="none" w:sz="0" w:space="0" w:color="auto"/>
      </w:divBdr>
    </w:div>
    <w:div w:id="617839209">
      <w:bodyDiv w:val="1"/>
      <w:marLeft w:val="0"/>
      <w:marRight w:val="0"/>
      <w:marTop w:val="0"/>
      <w:marBottom w:val="0"/>
      <w:divBdr>
        <w:top w:val="none" w:sz="0" w:space="0" w:color="auto"/>
        <w:left w:val="none" w:sz="0" w:space="0" w:color="auto"/>
        <w:bottom w:val="none" w:sz="0" w:space="0" w:color="auto"/>
        <w:right w:val="none" w:sz="0" w:space="0" w:color="auto"/>
      </w:divBdr>
      <w:divsChild>
        <w:div w:id="2111007839">
          <w:marLeft w:val="0"/>
          <w:marRight w:val="0"/>
          <w:marTop w:val="0"/>
          <w:marBottom w:val="0"/>
          <w:divBdr>
            <w:top w:val="none" w:sz="0" w:space="0" w:color="auto"/>
            <w:left w:val="none" w:sz="0" w:space="0" w:color="auto"/>
            <w:bottom w:val="none" w:sz="0" w:space="0" w:color="auto"/>
            <w:right w:val="none" w:sz="0" w:space="0" w:color="auto"/>
          </w:divBdr>
          <w:divsChild>
            <w:div w:id="1962804761">
              <w:marLeft w:val="0"/>
              <w:marRight w:val="0"/>
              <w:marTop w:val="0"/>
              <w:marBottom w:val="0"/>
              <w:divBdr>
                <w:top w:val="none" w:sz="0" w:space="0" w:color="auto"/>
                <w:left w:val="none" w:sz="0" w:space="0" w:color="auto"/>
                <w:bottom w:val="none" w:sz="0" w:space="0" w:color="auto"/>
                <w:right w:val="none" w:sz="0" w:space="0" w:color="auto"/>
              </w:divBdr>
              <w:divsChild>
                <w:div w:id="76199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281926">
      <w:bodyDiv w:val="1"/>
      <w:marLeft w:val="0"/>
      <w:marRight w:val="0"/>
      <w:marTop w:val="0"/>
      <w:marBottom w:val="0"/>
      <w:divBdr>
        <w:top w:val="none" w:sz="0" w:space="0" w:color="auto"/>
        <w:left w:val="none" w:sz="0" w:space="0" w:color="auto"/>
        <w:bottom w:val="none" w:sz="0" w:space="0" w:color="auto"/>
        <w:right w:val="none" w:sz="0" w:space="0" w:color="auto"/>
      </w:divBdr>
    </w:div>
    <w:div w:id="658771523">
      <w:bodyDiv w:val="1"/>
      <w:marLeft w:val="0"/>
      <w:marRight w:val="0"/>
      <w:marTop w:val="0"/>
      <w:marBottom w:val="0"/>
      <w:divBdr>
        <w:top w:val="none" w:sz="0" w:space="0" w:color="auto"/>
        <w:left w:val="none" w:sz="0" w:space="0" w:color="auto"/>
        <w:bottom w:val="none" w:sz="0" w:space="0" w:color="auto"/>
        <w:right w:val="none" w:sz="0" w:space="0" w:color="auto"/>
      </w:divBdr>
    </w:div>
    <w:div w:id="721488894">
      <w:bodyDiv w:val="1"/>
      <w:marLeft w:val="0"/>
      <w:marRight w:val="0"/>
      <w:marTop w:val="0"/>
      <w:marBottom w:val="0"/>
      <w:divBdr>
        <w:top w:val="none" w:sz="0" w:space="0" w:color="auto"/>
        <w:left w:val="none" w:sz="0" w:space="0" w:color="auto"/>
        <w:bottom w:val="none" w:sz="0" w:space="0" w:color="auto"/>
        <w:right w:val="none" w:sz="0" w:space="0" w:color="auto"/>
      </w:divBdr>
    </w:div>
    <w:div w:id="770852627">
      <w:bodyDiv w:val="1"/>
      <w:marLeft w:val="0"/>
      <w:marRight w:val="0"/>
      <w:marTop w:val="0"/>
      <w:marBottom w:val="0"/>
      <w:divBdr>
        <w:top w:val="none" w:sz="0" w:space="0" w:color="auto"/>
        <w:left w:val="none" w:sz="0" w:space="0" w:color="auto"/>
        <w:bottom w:val="none" w:sz="0" w:space="0" w:color="auto"/>
        <w:right w:val="none" w:sz="0" w:space="0" w:color="auto"/>
      </w:divBdr>
      <w:divsChild>
        <w:div w:id="223763000">
          <w:marLeft w:val="0"/>
          <w:marRight w:val="0"/>
          <w:marTop w:val="0"/>
          <w:marBottom w:val="0"/>
          <w:divBdr>
            <w:top w:val="none" w:sz="0" w:space="0" w:color="auto"/>
            <w:left w:val="none" w:sz="0" w:space="0" w:color="auto"/>
            <w:bottom w:val="none" w:sz="0" w:space="0" w:color="auto"/>
            <w:right w:val="none" w:sz="0" w:space="0" w:color="auto"/>
          </w:divBdr>
          <w:divsChild>
            <w:div w:id="1632443514">
              <w:marLeft w:val="0"/>
              <w:marRight w:val="0"/>
              <w:marTop w:val="0"/>
              <w:marBottom w:val="0"/>
              <w:divBdr>
                <w:top w:val="none" w:sz="0" w:space="0" w:color="auto"/>
                <w:left w:val="none" w:sz="0" w:space="0" w:color="auto"/>
                <w:bottom w:val="none" w:sz="0" w:space="0" w:color="auto"/>
                <w:right w:val="none" w:sz="0" w:space="0" w:color="auto"/>
              </w:divBdr>
              <w:divsChild>
                <w:div w:id="151676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041941">
      <w:bodyDiv w:val="1"/>
      <w:marLeft w:val="0"/>
      <w:marRight w:val="0"/>
      <w:marTop w:val="0"/>
      <w:marBottom w:val="0"/>
      <w:divBdr>
        <w:top w:val="none" w:sz="0" w:space="0" w:color="auto"/>
        <w:left w:val="none" w:sz="0" w:space="0" w:color="auto"/>
        <w:bottom w:val="none" w:sz="0" w:space="0" w:color="auto"/>
        <w:right w:val="none" w:sz="0" w:space="0" w:color="auto"/>
      </w:divBdr>
    </w:div>
    <w:div w:id="824974004">
      <w:bodyDiv w:val="1"/>
      <w:marLeft w:val="0"/>
      <w:marRight w:val="0"/>
      <w:marTop w:val="0"/>
      <w:marBottom w:val="0"/>
      <w:divBdr>
        <w:top w:val="none" w:sz="0" w:space="0" w:color="auto"/>
        <w:left w:val="none" w:sz="0" w:space="0" w:color="auto"/>
        <w:bottom w:val="none" w:sz="0" w:space="0" w:color="auto"/>
        <w:right w:val="none" w:sz="0" w:space="0" w:color="auto"/>
      </w:divBdr>
    </w:div>
    <w:div w:id="844519512">
      <w:bodyDiv w:val="1"/>
      <w:marLeft w:val="0"/>
      <w:marRight w:val="0"/>
      <w:marTop w:val="0"/>
      <w:marBottom w:val="0"/>
      <w:divBdr>
        <w:top w:val="none" w:sz="0" w:space="0" w:color="auto"/>
        <w:left w:val="none" w:sz="0" w:space="0" w:color="auto"/>
        <w:bottom w:val="none" w:sz="0" w:space="0" w:color="auto"/>
        <w:right w:val="none" w:sz="0" w:space="0" w:color="auto"/>
      </w:divBdr>
    </w:div>
    <w:div w:id="875120047">
      <w:bodyDiv w:val="1"/>
      <w:marLeft w:val="0"/>
      <w:marRight w:val="0"/>
      <w:marTop w:val="0"/>
      <w:marBottom w:val="0"/>
      <w:divBdr>
        <w:top w:val="none" w:sz="0" w:space="0" w:color="auto"/>
        <w:left w:val="none" w:sz="0" w:space="0" w:color="auto"/>
        <w:bottom w:val="none" w:sz="0" w:space="0" w:color="auto"/>
        <w:right w:val="none" w:sz="0" w:space="0" w:color="auto"/>
      </w:divBdr>
    </w:div>
    <w:div w:id="994332154">
      <w:bodyDiv w:val="1"/>
      <w:marLeft w:val="0"/>
      <w:marRight w:val="0"/>
      <w:marTop w:val="0"/>
      <w:marBottom w:val="0"/>
      <w:divBdr>
        <w:top w:val="none" w:sz="0" w:space="0" w:color="auto"/>
        <w:left w:val="none" w:sz="0" w:space="0" w:color="auto"/>
        <w:bottom w:val="none" w:sz="0" w:space="0" w:color="auto"/>
        <w:right w:val="none" w:sz="0" w:space="0" w:color="auto"/>
      </w:divBdr>
    </w:div>
    <w:div w:id="1005783693">
      <w:bodyDiv w:val="1"/>
      <w:marLeft w:val="0"/>
      <w:marRight w:val="0"/>
      <w:marTop w:val="0"/>
      <w:marBottom w:val="0"/>
      <w:divBdr>
        <w:top w:val="none" w:sz="0" w:space="0" w:color="auto"/>
        <w:left w:val="none" w:sz="0" w:space="0" w:color="auto"/>
        <w:bottom w:val="none" w:sz="0" w:space="0" w:color="auto"/>
        <w:right w:val="none" w:sz="0" w:space="0" w:color="auto"/>
      </w:divBdr>
    </w:div>
    <w:div w:id="1019742090">
      <w:bodyDiv w:val="1"/>
      <w:marLeft w:val="0"/>
      <w:marRight w:val="0"/>
      <w:marTop w:val="0"/>
      <w:marBottom w:val="0"/>
      <w:divBdr>
        <w:top w:val="none" w:sz="0" w:space="0" w:color="auto"/>
        <w:left w:val="none" w:sz="0" w:space="0" w:color="auto"/>
        <w:bottom w:val="none" w:sz="0" w:space="0" w:color="auto"/>
        <w:right w:val="none" w:sz="0" w:space="0" w:color="auto"/>
      </w:divBdr>
    </w:div>
    <w:div w:id="1039429414">
      <w:bodyDiv w:val="1"/>
      <w:marLeft w:val="0"/>
      <w:marRight w:val="0"/>
      <w:marTop w:val="0"/>
      <w:marBottom w:val="0"/>
      <w:divBdr>
        <w:top w:val="none" w:sz="0" w:space="0" w:color="auto"/>
        <w:left w:val="none" w:sz="0" w:space="0" w:color="auto"/>
        <w:bottom w:val="none" w:sz="0" w:space="0" w:color="auto"/>
        <w:right w:val="none" w:sz="0" w:space="0" w:color="auto"/>
      </w:divBdr>
    </w:div>
    <w:div w:id="1052117047">
      <w:bodyDiv w:val="1"/>
      <w:marLeft w:val="0"/>
      <w:marRight w:val="0"/>
      <w:marTop w:val="0"/>
      <w:marBottom w:val="0"/>
      <w:divBdr>
        <w:top w:val="none" w:sz="0" w:space="0" w:color="auto"/>
        <w:left w:val="none" w:sz="0" w:space="0" w:color="auto"/>
        <w:bottom w:val="none" w:sz="0" w:space="0" w:color="auto"/>
        <w:right w:val="none" w:sz="0" w:space="0" w:color="auto"/>
      </w:divBdr>
    </w:div>
    <w:div w:id="1062023736">
      <w:bodyDiv w:val="1"/>
      <w:marLeft w:val="0"/>
      <w:marRight w:val="0"/>
      <w:marTop w:val="0"/>
      <w:marBottom w:val="0"/>
      <w:divBdr>
        <w:top w:val="none" w:sz="0" w:space="0" w:color="auto"/>
        <w:left w:val="none" w:sz="0" w:space="0" w:color="auto"/>
        <w:bottom w:val="none" w:sz="0" w:space="0" w:color="auto"/>
        <w:right w:val="none" w:sz="0" w:space="0" w:color="auto"/>
      </w:divBdr>
    </w:div>
    <w:div w:id="1109205354">
      <w:bodyDiv w:val="1"/>
      <w:marLeft w:val="0"/>
      <w:marRight w:val="0"/>
      <w:marTop w:val="0"/>
      <w:marBottom w:val="0"/>
      <w:divBdr>
        <w:top w:val="none" w:sz="0" w:space="0" w:color="auto"/>
        <w:left w:val="none" w:sz="0" w:space="0" w:color="auto"/>
        <w:bottom w:val="none" w:sz="0" w:space="0" w:color="auto"/>
        <w:right w:val="none" w:sz="0" w:space="0" w:color="auto"/>
      </w:divBdr>
    </w:div>
    <w:div w:id="1117716964">
      <w:bodyDiv w:val="1"/>
      <w:marLeft w:val="0"/>
      <w:marRight w:val="0"/>
      <w:marTop w:val="0"/>
      <w:marBottom w:val="0"/>
      <w:divBdr>
        <w:top w:val="none" w:sz="0" w:space="0" w:color="auto"/>
        <w:left w:val="none" w:sz="0" w:space="0" w:color="auto"/>
        <w:bottom w:val="none" w:sz="0" w:space="0" w:color="auto"/>
        <w:right w:val="none" w:sz="0" w:space="0" w:color="auto"/>
      </w:divBdr>
    </w:div>
    <w:div w:id="1138229638">
      <w:bodyDiv w:val="1"/>
      <w:marLeft w:val="0"/>
      <w:marRight w:val="0"/>
      <w:marTop w:val="0"/>
      <w:marBottom w:val="0"/>
      <w:divBdr>
        <w:top w:val="none" w:sz="0" w:space="0" w:color="auto"/>
        <w:left w:val="none" w:sz="0" w:space="0" w:color="auto"/>
        <w:bottom w:val="none" w:sz="0" w:space="0" w:color="auto"/>
        <w:right w:val="none" w:sz="0" w:space="0" w:color="auto"/>
      </w:divBdr>
    </w:div>
    <w:div w:id="1188180914">
      <w:bodyDiv w:val="1"/>
      <w:marLeft w:val="0"/>
      <w:marRight w:val="0"/>
      <w:marTop w:val="0"/>
      <w:marBottom w:val="0"/>
      <w:divBdr>
        <w:top w:val="none" w:sz="0" w:space="0" w:color="auto"/>
        <w:left w:val="none" w:sz="0" w:space="0" w:color="auto"/>
        <w:bottom w:val="none" w:sz="0" w:space="0" w:color="auto"/>
        <w:right w:val="none" w:sz="0" w:space="0" w:color="auto"/>
      </w:divBdr>
    </w:div>
    <w:div w:id="1216816380">
      <w:bodyDiv w:val="1"/>
      <w:marLeft w:val="0"/>
      <w:marRight w:val="0"/>
      <w:marTop w:val="0"/>
      <w:marBottom w:val="0"/>
      <w:divBdr>
        <w:top w:val="none" w:sz="0" w:space="0" w:color="auto"/>
        <w:left w:val="none" w:sz="0" w:space="0" w:color="auto"/>
        <w:bottom w:val="none" w:sz="0" w:space="0" w:color="auto"/>
        <w:right w:val="none" w:sz="0" w:space="0" w:color="auto"/>
      </w:divBdr>
    </w:div>
    <w:div w:id="1223296141">
      <w:bodyDiv w:val="1"/>
      <w:marLeft w:val="0"/>
      <w:marRight w:val="0"/>
      <w:marTop w:val="0"/>
      <w:marBottom w:val="0"/>
      <w:divBdr>
        <w:top w:val="none" w:sz="0" w:space="0" w:color="auto"/>
        <w:left w:val="none" w:sz="0" w:space="0" w:color="auto"/>
        <w:bottom w:val="none" w:sz="0" w:space="0" w:color="auto"/>
        <w:right w:val="none" w:sz="0" w:space="0" w:color="auto"/>
      </w:divBdr>
    </w:div>
    <w:div w:id="1257400366">
      <w:bodyDiv w:val="1"/>
      <w:marLeft w:val="0"/>
      <w:marRight w:val="0"/>
      <w:marTop w:val="0"/>
      <w:marBottom w:val="0"/>
      <w:divBdr>
        <w:top w:val="none" w:sz="0" w:space="0" w:color="auto"/>
        <w:left w:val="none" w:sz="0" w:space="0" w:color="auto"/>
        <w:bottom w:val="none" w:sz="0" w:space="0" w:color="auto"/>
        <w:right w:val="none" w:sz="0" w:space="0" w:color="auto"/>
      </w:divBdr>
      <w:divsChild>
        <w:div w:id="1139766249">
          <w:marLeft w:val="480"/>
          <w:marRight w:val="0"/>
          <w:marTop w:val="0"/>
          <w:marBottom w:val="0"/>
          <w:divBdr>
            <w:top w:val="none" w:sz="0" w:space="0" w:color="auto"/>
            <w:left w:val="none" w:sz="0" w:space="0" w:color="auto"/>
            <w:bottom w:val="none" w:sz="0" w:space="0" w:color="auto"/>
            <w:right w:val="none" w:sz="0" w:space="0" w:color="auto"/>
          </w:divBdr>
          <w:divsChild>
            <w:div w:id="2138181874">
              <w:marLeft w:val="0"/>
              <w:marRight w:val="0"/>
              <w:marTop w:val="0"/>
              <w:marBottom w:val="0"/>
              <w:divBdr>
                <w:top w:val="none" w:sz="0" w:space="0" w:color="auto"/>
                <w:left w:val="none" w:sz="0" w:space="0" w:color="auto"/>
                <w:bottom w:val="none" w:sz="0" w:space="0" w:color="auto"/>
                <w:right w:val="none" w:sz="0" w:space="0" w:color="auto"/>
              </w:divBdr>
            </w:div>
            <w:div w:id="696856527">
              <w:marLeft w:val="0"/>
              <w:marRight w:val="0"/>
              <w:marTop w:val="0"/>
              <w:marBottom w:val="0"/>
              <w:divBdr>
                <w:top w:val="none" w:sz="0" w:space="0" w:color="auto"/>
                <w:left w:val="none" w:sz="0" w:space="0" w:color="auto"/>
                <w:bottom w:val="none" w:sz="0" w:space="0" w:color="auto"/>
                <w:right w:val="none" w:sz="0" w:space="0" w:color="auto"/>
              </w:divBdr>
            </w:div>
            <w:div w:id="504129384">
              <w:marLeft w:val="0"/>
              <w:marRight w:val="0"/>
              <w:marTop w:val="0"/>
              <w:marBottom w:val="0"/>
              <w:divBdr>
                <w:top w:val="none" w:sz="0" w:space="0" w:color="auto"/>
                <w:left w:val="none" w:sz="0" w:space="0" w:color="auto"/>
                <w:bottom w:val="none" w:sz="0" w:space="0" w:color="auto"/>
                <w:right w:val="none" w:sz="0" w:space="0" w:color="auto"/>
              </w:divBdr>
            </w:div>
            <w:div w:id="721641277">
              <w:marLeft w:val="0"/>
              <w:marRight w:val="0"/>
              <w:marTop w:val="0"/>
              <w:marBottom w:val="0"/>
              <w:divBdr>
                <w:top w:val="none" w:sz="0" w:space="0" w:color="auto"/>
                <w:left w:val="none" w:sz="0" w:space="0" w:color="auto"/>
                <w:bottom w:val="none" w:sz="0" w:space="0" w:color="auto"/>
                <w:right w:val="none" w:sz="0" w:space="0" w:color="auto"/>
              </w:divBdr>
            </w:div>
            <w:div w:id="1201628206">
              <w:marLeft w:val="0"/>
              <w:marRight w:val="0"/>
              <w:marTop w:val="0"/>
              <w:marBottom w:val="0"/>
              <w:divBdr>
                <w:top w:val="none" w:sz="0" w:space="0" w:color="auto"/>
                <w:left w:val="none" w:sz="0" w:space="0" w:color="auto"/>
                <w:bottom w:val="none" w:sz="0" w:space="0" w:color="auto"/>
                <w:right w:val="none" w:sz="0" w:space="0" w:color="auto"/>
              </w:divBdr>
            </w:div>
            <w:div w:id="1375153973">
              <w:marLeft w:val="0"/>
              <w:marRight w:val="0"/>
              <w:marTop w:val="0"/>
              <w:marBottom w:val="0"/>
              <w:divBdr>
                <w:top w:val="none" w:sz="0" w:space="0" w:color="auto"/>
                <w:left w:val="none" w:sz="0" w:space="0" w:color="auto"/>
                <w:bottom w:val="none" w:sz="0" w:space="0" w:color="auto"/>
                <w:right w:val="none" w:sz="0" w:space="0" w:color="auto"/>
              </w:divBdr>
            </w:div>
            <w:div w:id="188568783">
              <w:marLeft w:val="0"/>
              <w:marRight w:val="0"/>
              <w:marTop w:val="0"/>
              <w:marBottom w:val="0"/>
              <w:divBdr>
                <w:top w:val="none" w:sz="0" w:space="0" w:color="auto"/>
                <w:left w:val="none" w:sz="0" w:space="0" w:color="auto"/>
                <w:bottom w:val="none" w:sz="0" w:space="0" w:color="auto"/>
                <w:right w:val="none" w:sz="0" w:space="0" w:color="auto"/>
              </w:divBdr>
            </w:div>
            <w:div w:id="790979649">
              <w:marLeft w:val="0"/>
              <w:marRight w:val="0"/>
              <w:marTop w:val="0"/>
              <w:marBottom w:val="0"/>
              <w:divBdr>
                <w:top w:val="none" w:sz="0" w:space="0" w:color="auto"/>
                <w:left w:val="none" w:sz="0" w:space="0" w:color="auto"/>
                <w:bottom w:val="none" w:sz="0" w:space="0" w:color="auto"/>
                <w:right w:val="none" w:sz="0" w:space="0" w:color="auto"/>
              </w:divBdr>
            </w:div>
            <w:div w:id="677273098">
              <w:marLeft w:val="0"/>
              <w:marRight w:val="0"/>
              <w:marTop w:val="0"/>
              <w:marBottom w:val="0"/>
              <w:divBdr>
                <w:top w:val="none" w:sz="0" w:space="0" w:color="auto"/>
                <w:left w:val="none" w:sz="0" w:space="0" w:color="auto"/>
                <w:bottom w:val="none" w:sz="0" w:space="0" w:color="auto"/>
                <w:right w:val="none" w:sz="0" w:space="0" w:color="auto"/>
              </w:divBdr>
            </w:div>
            <w:div w:id="1278440165">
              <w:marLeft w:val="0"/>
              <w:marRight w:val="0"/>
              <w:marTop w:val="0"/>
              <w:marBottom w:val="0"/>
              <w:divBdr>
                <w:top w:val="none" w:sz="0" w:space="0" w:color="auto"/>
                <w:left w:val="none" w:sz="0" w:space="0" w:color="auto"/>
                <w:bottom w:val="none" w:sz="0" w:space="0" w:color="auto"/>
                <w:right w:val="none" w:sz="0" w:space="0" w:color="auto"/>
              </w:divBdr>
            </w:div>
            <w:div w:id="1980727063">
              <w:marLeft w:val="0"/>
              <w:marRight w:val="0"/>
              <w:marTop w:val="0"/>
              <w:marBottom w:val="0"/>
              <w:divBdr>
                <w:top w:val="none" w:sz="0" w:space="0" w:color="auto"/>
                <w:left w:val="none" w:sz="0" w:space="0" w:color="auto"/>
                <w:bottom w:val="none" w:sz="0" w:space="0" w:color="auto"/>
                <w:right w:val="none" w:sz="0" w:space="0" w:color="auto"/>
              </w:divBdr>
            </w:div>
            <w:div w:id="1105153503">
              <w:marLeft w:val="0"/>
              <w:marRight w:val="0"/>
              <w:marTop w:val="0"/>
              <w:marBottom w:val="0"/>
              <w:divBdr>
                <w:top w:val="none" w:sz="0" w:space="0" w:color="auto"/>
                <w:left w:val="none" w:sz="0" w:space="0" w:color="auto"/>
                <w:bottom w:val="none" w:sz="0" w:space="0" w:color="auto"/>
                <w:right w:val="none" w:sz="0" w:space="0" w:color="auto"/>
              </w:divBdr>
            </w:div>
            <w:div w:id="2139520820">
              <w:marLeft w:val="0"/>
              <w:marRight w:val="0"/>
              <w:marTop w:val="0"/>
              <w:marBottom w:val="0"/>
              <w:divBdr>
                <w:top w:val="none" w:sz="0" w:space="0" w:color="auto"/>
                <w:left w:val="none" w:sz="0" w:space="0" w:color="auto"/>
                <w:bottom w:val="none" w:sz="0" w:space="0" w:color="auto"/>
                <w:right w:val="none" w:sz="0" w:space="0" w:color="auto"/>
              </w:divBdr>
            </w:div>
            <w:div w:id="355624091">
              <w:marLeft w:val="0"/>
              <w:marRight w:val="0"/>
              <w:marTop w:val="0"/>
              <w:marBottom w:val="0"/>
              <w:divBdr>
                <w:top w:val="none" w:sz="0" w:space="0" w:color="auto"/>
                <w:left w:val="none" w:sz="0" w:space="0" w:color="auto"/>
                <w:bottom w:val="none" w:sz="0" w:space="0" w:color="auto"/>
                <w:right w:val="none" w:sz="0" w:space="0" w:color="auto"/>
              </w:divBdr>
            </w:div>
            <w:div w:id="860320396">
              <w:marLeft w:val="0"/>
              <w:marRight w:val="0"/>
              <w:marTop w:val="0"/>
              <w:marBottom w:val="0"/>
              <w:divBdr>
                <w:top w:val="none" w:sz="0" w:space="0" w:color="auto"/>
                <w:left w:val="none" w:sz="0" w:space="0" w:color="auto"/>
                <w:bottom w:val="none" w:sz="0" w:space="0" w:color="auto"/>
                <w:right w:val="none" w:sz="0" w:space="0" w:color="auto"/>
              </w:divBdr>
            </w:div>
            <w:div w:id="271672082">
              <w:marLeft w:val="0"/>
              <w:marRight w:val="0"/>
              <w:marTop w:val="0"/>
              <w:marBottom w:val="0"/>
              <w:divBdr>
                <w:top w:val="none" w:sz="0" w:space="0" w:color="auto"/>
                <w:left w:val="none" w:sz="0" w:space="0" w:color="auto"/>
                <w:bottom w:val="none" w:sz="0" w:space="0" w:color="auto"/>
                <w:right w:val="none" w:sz="0" w:space="0" w:color="auto"/>
              </w:divBdr>
            </w:div>
            <w:div w:id="1208495494">
              <w:marLeft w:val="0"/>
              <w:marRight w:val="0"/>
              <w:marTop w:val="0"/>
              <w:marBottom w:val="0"/>
              <w:divBdr>
                <w:top w:val="none" w:sz="0" w:space="0" w:color="auto"/>
                <w:left w:val="none" w:sz="0" w:space="0" w:color="auto"/>
                <w:bottom w:val="none" w:sz="0" w:space="0" w:color="auto"/>
                <w:right w:val="none" w:sz="0" w:space="0" w:color="auto"/>
              </w:divBdr>
            </w:div>
            <w:div w:id="233977951">
              <w:marLeft w:val="0"/>
              <w:marRight w:val="0"/>
              <w:marTop w:val="0"/>
              <w:marBottom w:val="0"/>
              <w:divBdr>
                <w:top w:val="none" w:sz="0" w:space="0" w:color="auto"/>
                <w:left w:val="none" w:sz="0" w:space="0" w:color="auto"/>
                <w:bottom w:val="none" w:sz="0" w:space="0" w:color="auto"/>
                <w:right w:val="none" w:sz="0" w:space="0" w:color="auto"/>
              </w:divBdr>
            </w:div>
            <w:div w:id="1007825964">
              <w:marLeft w:val="0"/>
              <w:marRight w:val="0"/>
              <w:marTop w:val="0"/>
              <w:marBottom w:val="0"/>
              <w:divBdr>
                <w:top w:val="none" w:sz="0" w:space="0" w:color="auto"/>
                <w:left w:val="none" w:sz="0" w:space="0" w:color="auto"/>
                <w:bottom w:val="none" w:sz="0" w:space="0" w:color="auto"/>
                <w:right w:val="none" w:sz="0" w:space="0" w:color="auto"/>
              </w:divBdr>
            </w:div>
            <w:div w:id="325283875">
              <w:marLeft w:val="0"/>
              <w:marRight w:val="0"/>
              <w:marTop w:val="0"/>
              <w:marBottom w:val="0"/>
              <w:divBdr>
                <w:top w:val="none" w:sz="0" w:space="0" w:color="auto"/>
                <w:left w:val="none" w:sz="0" w:space="0" w:color="auto"/>
                <w:bottom w:val="none" w:sz="0" w:space="0" w:color="auto"/>
                <w:right w:val="none" w:sz="0" w:space="0" w:color="auto"/>
              </w:divBdr>
            </w:div>
            <w:div w:id="474181255">
              <w:marLeft w:val="0"/>
              <w:marRight w:val="0"/>
              <w:marTop w:val="0"/>
              <w:marBottom w:val="0"/>
              <w:divBdr>
                <w:top w:val="none" w:sz="0" w:space="0" w:color="auto"/>
                <w:left w:val="none" w:sz="0" w:space="0" w:color="auto"/>
                <w:bottom w:val="none" w:sz="0" w:space="0" w:color="auto"/>
                <w:right w:val="none" w:sz="0" w:space="0" w:color="auto"/>
              </w:divBdr>
            </w:div>
            <w:div w:id="1495222333">
              <w:marLeft w:val="0"/>
              <w:marRight w:val="0"/>
              <w:marTop w:val="0"/>
              <w:marBottom w:val="0"/>
              <w:divBdr>
                <w:top w:val="none" w:sz="0" w:space="0" w:color="auto"/>
                <w:left w:val="none" w:sz="0" w:space="0" w:color="auto"/>
                <w:bottom w:val="none" w:sz="0" w:space="0" w:color="auto"/>
                <w:right w:val="none" w:sz="0" w:space="0" w:color="auto"/>
              </w:divBdr>
            </w:div>
            <w:div w:id="1894269978">
              <w:marLeft w:val="0"/>
              <w:marRight w:val="0"/>
              <w:marTop w:val="0"/>
              <w:marBottom w:val="0"/>
              <w:divBdr>
                <w:top w:val="none" w:sz="0" w:space="0" w:color="auto"/>
                <w:left w:val="none" w:sz="0" w:space="0" w:color="auto"/>
                <w:bottom w:val="none" w:sz="0" w:space="0" w:color="auto"/>
                <w:right w:val="none" w:sz="0" w:space="0" w:color="auto"/>
              </w:divBdr>
            </w:div>
            <w:div w:id="844248276">
              <w:marLeft w:val="0"/>
              <w:marRight w:val="0"/>
              <w:marTop w:val="0"/>
              <w:marBottom w:val="0"/>
              <w:divBdr>
                <w:top w:val="none" w:sz="0" w:space="0" w:color="auto"/>
                <w:left w:val="none" w:sz="0" w:space="0" w:color="auto"/>
                <w:bottom w:val="none" w:sz="0" w:space="0" w:color="auto"/>
                <w:right w:val="none" w:sz="0" w:space="0" w:color="auto"/>
              </w:divBdr>
            </w:div>
            <w:div w:id="841509254">
              <w:marLeft w:val="0"/>
              <w:marRight w:val="0"/>
              <w:marTop w:val="0"/>
              <w:marBottom w:val="0"/>
              <w:divBdr>
                <w:top w:val="none" w:sz="0" w:space="0" w:color="auto"/>
                <w:left w:val="none" w:sz="0" w:space="0" w:color="auto"/>
                <w:bottom w:val="none" w:sz="0" w:space="0" w:color="auto"/>
                <w:right w:val="none" w:sz="0" w:space="0" w:color="auto"/>
              </w:divBdr>
            </w:div>
            <w:div w:id="1803963613">
              <w:marLeft w:val="0"/>
              <w:marRight w:val="0"/>
              <w:marTop w:val="0"/>
              <w:marBottom w:val="0"/>
              <w:divBdr>
                <w:top w:val="none" w:sz="0" w:space="0" w:color="auto"/>
                <w:left w:val="none" w:sz="0" w:space="0" w:color="auto"/>
                <w:bottom w:val="none" w:sz="0" w:space="0" w:color="auto"/>
                <w:right w:val="none" w:sz="0" w:space="0" w:color="auto"/>
              </w:divBdr>
            </w:div>
            <w:div w:id="1679237225">
              <w:marLeft w:val="0"/>
              <w:marRight w:val="0"/>
              <w:marTop w:val="0"/>
              <w:marBottom w:val="0"/>
              <w:divBdr>
                <w:top w:val="none" w:sz="0" w:space="0" w:color="auto"/>
                <w:left w:val="none" w:sz="0" w:space="0" w:color="auto"/>
                <w:bottom w:val="none" w:sz="0" w:space="0" w:color="auto"/>
                <w:right w:val="none" w:sz="0" w:space="0" w:color="auto"/>
              </w:divBdr>
            </w:div>
            <w:div w:id="2124498826">
              <w:marLeft w:val="0"/>
              <w:marRight w:val="0"/>
              <w:marTop w:val="0"/>
              <w:marBottom w:val="0"/>
              <w:divBdr>
                <w:top w:val="none" w:sz="0" w:space="0" w:color="auto"/>
                <w:left w:val="none" w:sz="0" w:space="0" w:color="auto"/>
                <w:bottom w:val="none" w:sz="0" w:space="0" w:color="auto"/>
                <w:right w:val="none" w:sz="0" w:space="0" w:color="auto"/>
              </w:divBdr>
            </w:div>
            <w:div w:id="431585459">
              <w:marLeft w:val="0"/>
              <w:marRight w:val="0"/>
              <w:marTop w:val="0"/>
              <w:marBottom w:val="0"/>
              <w:divBdr>
                <w:top w:val="none" w:sz="0" w:space="0" w:color="auto"/>
                <w:left w:val="none" w:sz="0" w:space="0" w:color="auto"/>
                <w:bottom w:val="none" w:sz="0" w:space="0" w:color="auto"/>
                <w:right w:val="none" w:sz="0" w:space="0" w:color="auto"/>
              </w:divBdr>
            </w:div>
            <w:div w:id="395934277">
              <w:marLeft w:val="0"/>
              <w:marRight w:val="0"/>
              <w:marTop w:val="0"/>
              <w:marBottom w:val="0"/>
              <w:divBdr>
                <w:top w:val="none" w:sz="0" w:space="0" w:color="auto"/>
                <w:left w:val="none" w:sz="0" w:space="0" w:color="auto"/>
                <w:bottom w:val="none" w:sz="0" w:space="0" w:color="auto"/>
                <w:right w:val="none" w:sz="0" w:space="0" w:color="auto"/>
              </w:divBdr>
            </w:div>
            <w:div w:id="1307321047">
              <w:marLeft w:val="0"/>
              <w:marRight w:val="0"/>
              <w:marTop w:val="0"/>
              <w:marBottom w:val="0"/>
              <w:divBdr>
                <w:top w:val="none" w:sz="0" w:space="0" w:color="auto"/>
                <w:left w:val="none" w:sz="0" w:space="0" w:color="auto"/>
                <w:bottom w:val="none" w:sz="0" w:space="0" w:color="auto"/>
                <w:right w:val="none" w:sz="0" w:space="0" w:color="auto"/>
              </w:divBdr>
            </w:div>
            <w:div w:id="778598988">
              <w:marLeft w:val="0"/>
              <w:marRight w:val="0"/>
              <w:marTop w:val="0"/>
              <w:marBottom w:val="0"/>
              <w:divBdr>
                <w:top w:val="none" w:sz="0" w:space="0" w:color="auto"/>
                <w:left w:val="none" w:sz="0" w:space="0" w:color="auto"/>
                <w:bottom w:val="none" w:sz="0" w:space="0" w:color="auto"/>
                <w:right w:val="none" w:sz="0" w:space="0" w:color="auto"/>
              </w:divBdr>
            </w:div>
            <w:div w:id="1381317370">
              <w:marLeft w:val="0"/>
              <w:marRight w:val="0"/>
              <w:marTop w:val="0"/>
              <w:marBottom w:val="0"/>
              <w:divBdr>
                <w:top w:val="none" w:sz="0" w:space="0" w:color="auto"/>
                <w:left w:val="none" w:sz="0" w:space="0" w:color="auto"/>
                <w:bottom w:val="none" w:sz="0" w:space="0" w:color="auto"/>
                <w:right w:val="none" w:sz="0" w:space="0" w:color="auto"/>
              </w:divBdr>
            </w:div>
            <w:div w:id="688679685">
              <w:marLeft w:val="0"/>
              <w:marRight w:val="0"/>
              <w:marTop w:val="0"/>
              <w:marBottom w:val="0"/>
              <w:divBdr>
                <w:top w:val="none" w:sz="0" w:space="0" w:color="auto"/>
                <w:left w:val="none" w:sz="0" w:space="0" w:color="auto"/>
                <w:bottom w:val="none" w:sz="0" w:space="0" w:color="auto"/>
                <w:right w:val="none" w:sz="0" w:space="0" w:color="auto"/>
              </w:divBdr>
            </w:div>
            <w:div w:id="1239097686">
              <w:marLeft w:val="0"/>
              <w:marRight w:val="0"/>
              <w:marTop w:val="0"/>
              <w:marBottom w:val="0"/>
              <w:divBdr>
                <w:top w:val="none" w:sz="0" w:space="0" w:color="auto"/>
                <w:left w:val="none" w:sz="0" w:space="0" w:color="auto"/>
                <w:bottom w:val="none" w:sz="0" w:space="0" w:color="auto"/>
                <w:right w:val="none" w:sz="0" w:space="0" w:color="auto"/>
              </w:divBdr>
            </w:div>
            <w:div w:id="1966620840">
              <w:marLeft w:val="0"/>
              <w:marRight w:val="0"/>
              <w:marTop w:val="0"/>
              <w:marBottom w:val="0"/>
              <w:divBdr>
                <w:top w:val="none" w:sz="0" w:space="0" w:color="auto"/>
                <w:left w:val="none" w:sz="0" w:space="0" w:color="auto"/>
                <w:bottom w:val="none" w:sz="0" w:space="0" w:color="auto"/>
                <w:right w:val="none" w:sz="0" w:space="0" w:color="auto"/>
              </w:divBdr>
            </w:div>
            <w:div w:id="308944034">
              <w:marLeft w:val="0"/>
              <w:marRight w:val="0"/>
              <w:marTop w:val="0"/>
              <w:marBottom w:val="0"/>
              <w:divBdr>
                <w:top w:val="none" w:sz="0" w:space="0" w:color="auto"/>
                <w:left w:val="none" w:sz="0" w:space="0" w:color="auto"/>
                <w:bottom w:val="none" w:sz="0" w:space="0" w:color="auto"/>
                <w:right w:val="none" w:sz="0" w:space="0" w:color="auto"/>
              </w:divBdr>
            </w:div>
            <w:div w:id="12610981">
              <w:marLeft w:val="0"/>
              <w:marRight w:val="0"/>
              <w:marTop w:val="0"/>
              <w:marBottom w:val="0"/>
              <w:divBdr>
                <w:top w:val="none" w:sz="0" w:space="0" w:color="auto"/>
                <w:left w:val="none" w:sz="0" w:space="0" w:color="auto"/>
                <w:bottom w:val="none" w:sz="0" w:space="0" w:color="auto"/>
                <w:right w:val="none" w:sz="0" w:space="0" w:color="auto"/>
              </w:divBdr>
            </w:div>
            <w:div w:id="2142111179">
              <w:marLeft w:val="0"/>
              <w:marRight w:val="0"/>
              <w:marTop w:val="0"/>
              <w:marBottom w:val="0"/>
              <w:divBdr>
                <w:top w:val="none" w:sz="0" w:space="0" w:color="auto"/>
                <w:left w:val="none" w:sz="0" w:space="0" w:color="auto"/>
                <w:bottom w:val="none" w:sz="0" w:space="0" w:color="auto"/>
                <w:right w:val="none" w:sz="0" w:space="0" w:color="auto"/>
              </w:divBdr>
            </w:div>
            <w:div w:id="1304384820">
              <w:marLeft w:val="0"/>
              <w:marRight w:val="0"/>
              <w:marTop w:val="0"/>
              <w:marBottom w:val="0"/>
              <w:divBdr>
                <w:top w:val="none" w:sz="0" w:space="0" w:color="auto"/>
                <w:left w:val="none" w:sz="0" w:space="0" w:color="auto"/>
                <w:bottom w:val="none" w:sz="0" w:space="0" w:color="auto"/>
                <w:right w:val="none" w:sz="0" w:space="0" w:color="auto"/>
              </w:divBdr>
            </w:div>
            <w:div w:id="1563175776">
              <w:marLeft w:val="0"/>
              <w:marRight w:val="0"/>
              <w:marTop w:val="0"/>
              <w:marBottom w:val="0"/>
              <w:divBdr>
                <w:top w:val="none" w:sz="0" w:space="0" w:color="auto"/>
                <w:left w:val="none" w:sz="0" w:space="0" w:color="auto"/>
                <w:bottom w:val="none" w:sz="0" w:space="0" w:color="auto"/>
                <w:right w:val="none" w:sz="0" w:space="0" w:color="auto"/>
              </w:divBdr>
            </w:div>
            <w:div w:id="545532146">
              <w:marLeft w:val="0"/>
              <w:marRight w:val="0"/>
              <w:marTop w:val="0"/>
              <w:marBottom w:val="0"/>
              <w:divBdr>
                <w:top w:val="none" w:sz="0" w:space="0" w:color="auto"/>
                <w:left w:val="none" w:sz="0" w:space="0" w:color="auto"/>
                <w:bottom w:val="none" w:sz="0" w:space="0" w:color="auto"/>
                <w:right w:val="none" w:sz="0" w:space="0" w:color="auto"/>
              </w:divBdr>
            </w:div>
            <w:div w:id="1544752001">
              <w:marLeft w:val="0"/>
              <w:marRight w:val="0"/>
              <w:marTop w:val="0"/>
              <w:marBottom w:val="0"/>
              <w:divBdr>
                <w:top w:val="none" w:sz="0" w:space="0" w:color="auto"/>
                <w:left w:val="none" w:sz="0" w:space="0" w:color="auto"/>
                <w:bottom w:val="none" w:sz="0" w:space="0" w:color="auto"/>
                <w:right w:val="none" w:sz="0" w:space="0" w:color="auto"/>
              </w:divBdr>
            </w:div>
            <w:div w:id="1525165753">
              <w:marLeft w:val="0"/>
              <w:marRight w:val="0"/>
              <w:marTop w:val="0"/>
              <w:marBottom w:val="0"/>
              <w:divBdr>
                <w:top w:val="none" w:sz="0" w:space="0" w:color="auto"/>
                <w:left w:val="none" w:sz="0" w:space="0" w:color="auto"/>
                <w:bottom w:val="none" w:sz="0" w:space="0" w:color="auto"/>
                <w:right w:val="none" w:sz="0" w:space="0" w:color="auto"/>
              </w:divBdr>
            </w:div>
            <w:div w:id="389963242">
              <w:marLeft w:val="0"/>
              <w:marRight w:val="0"/>
              <w:marTop w:val="0"/>
              <w:marBottom w:val="0"/>
              <w:divBdr>
                <w:top w:val="none" w:sz="0" w:space="0" w:color="auto"/>
                <w:left w:val="none" w:sz="0" w:space="0" w:color="auto"/>
                <w:bottom w:val="none" w:sz="0" w:space="0" w:color="auto"/>
                <w:right w:val="none" w:sz="0" w:space="0" w:color="auto"/>
              </w:divBdr>
            </w:div>
            <w:div w:id="31619834">
              <w:marLeft w:val="0"/>
              <w:marRight w:val="0"/>
              <w:marTop w:val="0"/>
              <w:marBottom w:val="0"/>
              <w:divBdr>
                <w:top w:val="none" w:sz="0" w:space="0" w:color="auto"/>
                <w:left w:val="none" w:sz="0" w:space="0" w:color="auto"/>
                <w:bottom w:val="none" w:sz="0" w:space="0" w:color="auto"/>
                <w:right w:val="none" w:sz="0" w:space="0" w:color="auto"/>
              </w:divBdr>
            </w:div>
            <w:div w:id="2005934039">
              <w:marLeft w:val="0"/>
              <w:marRight w:val="0"/>
              <w:marTop w:val="0"/>
              <w:marBottom w:val="0"/>
              <w:divBdr>
                <w:top w:val="none" w:sz="0" w:space="0" w:color="auto"/>
                <w:left w:val="none" w:sz="0" w:space="0" w:color="auto"/>
                <w:bottom w:val="none" w:sz="0" w:space="0" w:color="auto"/>
                <w:right w:val="none" w:sz="0" w:space="0" w:color="auto"/>
              </w:divBdr>
            </w:div>
            <w:div w:id="2071465979">
              <w:marLeft w:val="0"/>
              <w:marRight w:val="0"/>
              <w:marTop w:val="0"/>
              <w:marBottom w:val="0"/>
              <w:divBdr>
                <w:top w:val="none" w:sz="0" w:space="0" w:color="auto"/>
                <w:left w:val="none" w:sz="0" w:space="0" w:color="auto"/>
                <w:bottom w:val="none" w:sz="0" w:space="0" w:color="auto"/>
                <w:right w:val="none" w:sz="0" w:space="0" w:color="auto"/>
              </w:divBdr>
            </w:div>
            <w:div w:id="576324327">
              <w:marLeft w:val="0"/>
              <w:marRight w:val="0"/>
              <w:marTop w:val="0"/>
              <w:marBottom w:val="0"/>
              <w:divBdr>
                <w:top w:val="none" w:sz="0" w:space="0" w:color="auto"/>
                <w:left w:val="none" w:sz="0" w:space="0" w:color="auto"/>
                <w:bottom w:val="none" w:sz="0" w:space="0" w:color="auto"/>
                <w:right w:val="none" w:sz="0" w:space="0" w:color="auto"/>
              </w:divBdr>
            </w:div>
            <w:div w:id="1770733152">
              <w:marLeft w:val="0"/>
              <w:marRight w:val="0"/>
              <w:marTop w:val="0"/>
              <w:marBottom w:val="0"/>
              <w:divBdr>
                <w:top w:val="none" w:sz="0" w:space="0" w:color="auto"/>
                <w:left w:val="none" w:sz="0" w:space="0" w:color="auto"/>
                <w:bottom w:val="none" w:sz="0" w:space="0" w:color="auto"/>
                <w:right w:val="none" w:sz="0" w:space="0" w:color="auto"/>
              </w:divBdr>
            </w:div>
            <w:div w:id="263849015">
              <w:marLeft w:val="0"/>
              <w:marRight w:val="0"/>
              <w:marTop w:val="0"/>
              <w:marBottom w:val="0"/>
              <w:divBdr>
                <w:top w:val="none" w:sz="0" w:space="0" w:color="auto"/>
                <w:left w:val="none" w:sz="0" w:space="0" w:color="auto"/>
                <w:bottom w:val="none" w:sz="0" w:space="0" w:color="auto"/>
                <w:right w:val="none" w:sz="0" w:space="0" w:color="auto"/>
              </w:divBdr>
            </w:div>
            <w:div w:id="963846744">
              <w:marLeft w:val="0"/>
              <w:marRight w:val="0"/>
              <w:marTop w:val="0"/>
              <w:marBottom w:val="0"/>
              <w:divBdr>
                <w:top w:val="none" w:sz="0" w:space="0" w:color="auto"/>
                <w:left w:val="none" w:sz="0" w:space="0" w:color="auto"/>
                <w:bottom w:val="none" w:sz="0" w:space="0" w:color="auto"/>
                <w:right w:val="none" w:sz="0" w:space="0" w:color="auto"/>
              </w:divBdr>
            </w:div>
            <w:div w:id="549852094">
              <w:marLeft w:val="0"/>
              <w:marRight w:val="0"/>
              <w:marTop w:val="0"/>
              <w:marBottom w:val="0"/>
              <w:divBdr>
                <w:top w:val="none" w:sz="0" w:space="0" w:color="auto"/>
                <w:left w:val="none" w:sz="0" w:space="0" w:color="auto"/>
                <w:bottom w:val="none" w:sz="0" w:space="0" w:color="auto"/>
                <w:right w:val="none" w:sz="0" w:space="0" w:color="auto"/>
              </w:divBdr>
            </w:div>
            <w:div w:id="1666396721">
              <w:marLeft w:val="0"/>
              <w:marRight w:val="0"/>
              <w:marTop w:val="0"/>
              <w:marBottom w:val="0"/>
              <w:divBdr>
                <w:top w:val="none" w:sz="0" w:space="0" w:color="auto"/>
                <w:left w:val="none" w:sz="0" w:space="0" w:color="auto"/>
                <w:bottom w:val="none" w:sz="0" w:space="0" w:color="auto"/>
                <w:right w:val="none" w:sz="0" w:space="0" w:color="auto"/>
              </w:divBdr>
            </w:div>
            <w:div w:id="407072589">
              <w:marLeft w:val="0"/>
              <w:marRight w:val="0"/>
              <w:marTop w:val="0"/>
              <w:marBottom w:val="0"/>
              <w:divBdr>
                <w:top w:val="none" w:sz="0" w:space="0" w:color="auto"/>
                <w:left w:val="none" w:sz="0" w:space="0" w:color="auto"/>
                <w:bottom w:val="none" w:sz="0" w:space="0" w:color="auto"/>
                <w:right w:val="none" w:sz="0" w:space="0" w:color="auto"/>
              </w:divBdr>
            </w:div>
            <w:div w:id="1998531050">
              <w:marLeft w:val="0"/>
              <w:marRight w:val="0"/>
              <w:marTop w:val="0"/>
              <w:marBottom w:val="0"/>
              <w:divBdr>
                <w:top w:val="none" w:sz="0" w:space="0" w:color="auto"/>
                <w:left w:val="none" w:sz="0" w:space="0" w:color="auto"/>
                <w:bottom w:val="none" w:sz="0" w:space="0" w:color="auto"/>
                <w:right w:val="none" w:sz="0" w:space="0" w:color="auto"/>
              </w:divBdr>
            </w:div>
            <w:div w:id="348064470">
              <w:marLeft w:val="0"/>
              <w:marRight w:val="0"/>
              <w:marTop w:val="0"/>
              <w:marBottom w:val="0"/>
              <w:divBdr>
                <w:top w:val="none" w:sz="0" w:space="0" w:color="auto"/>
                <w:left w:val="none" w:sz="0" w:space="0" w:color="auto"/>
                <w:bottom w:val="none" w:sz="0" w:space="0" w:color="auto"/>
                <w:right w:val="none" w:sz="0" w:space="0" w:color="auto"/>
              </w:divBdr>
            </w:div>
            <w:div w:id="817069081">
              <w:marLeft w:val="0"/>
              <w:marRight w:val="0"/>
              <w:marTop w:val="0"/>
              <w:marBottom w:val="0"/>
              <w:divBdr>
                <w:top w:val="none" w:sz="0" w:space="0" w:color="auto"/>
                <w:left w:val="none" w:sz="0" w:space="0" w:color="auto"/>
                <w:bottom w:val="none" w:sz="0" w:space="0" w:color="auto"/>
                <w:right w:val="none" w:sz="0" w:space="0" w:color="auto"/>
              </w:divBdr>
            </w:div>
            <w:div w:id="2086798637">
              <w:marLeft w:val="0"/>
              <w:marRight w:val="0"/>
              <w:marTop w:val="0"/>
              <w:marBottom w:val="0"/>
              <w:divBdr>
                <w:top w:val="none" w:sz="0" w:space="0" w:color="auto"/>
                <w:left w:val="none" w:sz="0" w:space="0" w:color="auto"/>
                <w:bottom w:val="none" w:sz="0" w:space="0" w:color="auto"/>
                <w:right w:val="none" w:sz="0" w:space="0" w:color="auto"/>
              </w:divBdr>
            </w:div>
            <w:div w:id="229122009">
              <w:marLeft w:val="0"/>
              <w:marRight w:val="0"/>
              <w:marTop w:val="0"/>
              <w:marBottom w:val="0"/>
              <w:divBdr>
                <w:top w:val="none" w:sz="0" w:space="0" w:color="auto"/>
                <w:left w:val="none" w:sz="0" w:space="0" w:color="auto"/>
                <w:bottom w:val="none" w:sz="0" w:space="0" w:color="auto"/>
                <w:right w:val="none" w:sz="0" w:space="0" w:color="auto"/>
              </w:divBdr>
            </w:div>
            <w:div w:id="1724714133">
              <w:marLeft w:val="0"/>
              <w:marRight w:val="0"/>
              <w:marTop w:val="0"/>
              <w:marBottom w:val="0"/>
              <w:divBdr>
                <w:top w:val="none" w:sz="0" w:space="0" w:color="auto"/>
                <w:left w:val="none" w:sz="0" w:space="0" w:color="auto"/>
                <w:bottom w:val="none" w:sz="0" w:space="0" w:color="auto"/>
                <w:right w:val="none" w:sz="0" w:space="0" w:color="auto"/>
              </w:divBdr>
            </w:div>
            <w:div w:id="780146634">
              <w:marLeft w:val="0"/>
              <w:marRight w:val="0"/>
              <w:marTop w:val="0"/>
              <w:marBottom w:val="0"/>
              <w:divBdr>
                <w:top w:val="none" w:sz="0" w:space="0" w:color="auto"/>
                <w:left w:val="none" w:sz="0" w:space="0" w:color="auto"/>
                <w:bottom w:val="none" w:sz="0" w:space="0" w:color="auto"/>
                <w:right w:val="none" w:sz="0" w:space="0" w:color="auto"/>
              </w:divBdr>
            </w:div>
            <w:div w:id="533739228">
              <w:marLeft w:val="0"/>
              <w:marRight w:val="0"/>
              <w:marTop w:val="0"/>
              <w:marBottom w:val="0"/>
              <w:divBdr>
                <w:top w:val="none" w:sz="0" w:space="0" w:color="auto"/>
                <w:left w:val="none" w:sz="0" w:space="0" w:color="auto"/>
                <w:bottom w:val="none" w:sz="0" w:space="0" w:color="auto"/>
                <w:right w:val="none" w:sz="0" w:space="0" w:color="auto"/>
              </w:divBdr>
            </w:div>
            <w:div w:id="1040471360">
              <w:marLeft w:val="0"/>
              <w:marRight w:val="0"/>
              <w:marTop w:val="0"/>
              <w:marBottom w:val="0"/>
              <w:divBdr>
                <w:top w:val="none" w:sz="0" w:space="0" w:color="auto"/>
                <w:left w:val="none" w:sz="0" w:space="0" w:color="auto"/>
                <w:bottom w:val="none" w:sz="0" w:space="0" w:color="auto"/>
                <w:right w:val="none" w:sz="0" w:space="0" w:color="auto"/>
              </w:divBdr>
            </w:div>
            <w:div w:id="524057333">
              <w:marLeft w:val="0"/>
              <w:marRight w:val="0"/>
              <w:marTop w:val="0"/>
              <w:marBottom w:val="0"/>
              <w:divBdr>
                <w:top w:val="none" w:sz="0" w:space="0" w:color="auto"/>
                <w:left w:val="none" w:sz="0" w:space="0" w:color="auto"/>
                <w:bottom w:val="none" w:sz="0" w:space="0" w:color="auto"/>
                <w:right w:val="none" w:sz="0" w:space="0" w:color="auto"/>
              </w:divBdr>
            </w:div>
            <w:div w:id="635455187">
              <w:marLeft w:val="0"/>
              <w:marRight w:val="0"/>
              <w:marTop w:val="0"/>
              <w:marBottom w:val="0"/>
              <w:divBdr>
                <w:top w:val="none" w:sz="0" w:space="0" w:color="auto"/>
                <w:left w:val="none" w:sz="0" w:space="0" w:color="auto"/>
                <w:bottom w:val="none" w:sz="0" w:space="0" w:color="auto"/>
                <w:right w:val="none" w:sz="0" w:space="0" w:color="auto"/>
              </w:divBdr>
            </w:div>
            <w:div w:id="625428420">
              <w:marLeft w:val="0"/>
              <w:marRight w:val="0"/>
              <w:marTop w:val="0"/>
              <w:marBottom w:val="0"/>
              <w:divBdr>
                <w:top w:val="none" w:sz="0" w:space="0" w:color="auto"/>
                <w:left w:val="none" w:sz="0" w:space="0" w:color="auto"/>
                <w:bottom w:val="none" w:sz="0" w:space="0" w:color="auto"/>
                <w:right w:val="none" w:sz="0" w:space="0" w:color="auto"/>
              </w:divBdr>
            </w:div>
            <w:div w:id="1164860458">
              <w:marLeft w:val="0"/>
              <w:marRight w:val="0"/>
              <w:marTop w:val="0"/>
              <w:marBottom w:val="0"/>
              <w:divBdr>
                <w:top w:val="none" w:sz="0" w:space="0" w:color="auto"/>
                <w:left w:val="none" w:sz="0" w:space="0" w:color="auto"/>
                <w:bottom w:val="none" w:sz="0" w:space="0" w:color="auto"/>
                <w:right w:val="none" w:sz="0" w:space="0" w:color="auto"/>
              </w:divBdr>
            </w:div>
            <w:div w:id="1362633225">
              <w:marLeft w:val="0"/>
              <w:marRight w:val="0"/>
              <w:marTop w:val="0"/>
              <w:marBottom w:val="0"/>
              <w:divBdr>
                <w:top w:val="none" w:sz="0" w:space="0" w:color="auto"/>
                <w:left w:val="none" w:sz="0" w:space="0" w:color="auto"/>
                <w:bottom w:val="none" w:sz="0" w:space="0" w:color="auto"/>
                <w:right w:val="none" w:sz="0" w:space="0" w:color="auto"/>
              </w:divBdr>
            </w:div>
            <w:div w:id="1234967513">
              <w:marLeft w:val="0"/>
              <w:marRight w:val="0"/>
              <w:marTop w:val="0"/>
              <w:marBottom w:val="0"/>
              <w:divBdr>
                <w:top w:val="none" w:sz="0" w:space="0" w:color="auto"/>
                <w:left w:val="none" w:sz="0" w:space="0" w:color="auto"/>
                <w:bottom w:val="none" w:sz="0" w:space="0" w:color="auto"/>
                <w:right w:val="none" w:sz="0" w:space="0" w:color="auto"/>
              </w:divBdr>
            </w:div>
            <w:div w:id="1743023837">
              <w:marLeft w:val="0"/>
              <w:marRight w:val="0"/>
              <w:marTop w:val="0"/>
              <w:marBottom w:val="0"/>
              <w:divBdr>
                <w:top w:val="none" w:sz="0" w:space="0" w:color="auto"/>
                <w:left w:val="none" w:sz="0" w:space="0" w:color="auto"/>
                <w:bottom w:val="none" w:sz="0" w:space="0" w:color="auto"/>
                <w:right w:val="none" w:sz="0" w:space="0" w:color="auto"/>
              </w:divBdr>
            </w:div>
            <w:div w:id="781732412">
              <w:marLeft w:val="0"/>
              <w:marRight w:val="0"/>
              <w:marTop w:val="0"/>
              <w:marBottom w:val="0"/>
              <w:divBdr>
                <w:top w:val="none" w:sz="0" w:space="0" w:color="auto"/>
                <w:left w:val="none" w:sz="0" w:space="0" w:color="auto"/>
                <w:bottom w:val="none" w:sz="0" w:space="0" w:color="auto"/>
                <w:right w:val="none" w:sz="0" w:space="0" w:color="auto"/>
              </w:divBdr>
            </w:div>
            <w:div w:id="1854417534">
              <w:marLeft w:val="0"/>
              <w:marRight w:val="0"/>
              <w:marTop w:val="0"/>
              <w:marBottom w:val="0"/>
              <w:divBdr>
                <w:top w:val="none" w:sz="0" w:space="0" w:color="auto"/>
                <w:left w:val="none" w:sz="0" w:space="0" w:color="auto"/>
                <w:bottom w:val="none" w:sz="0" w:space="0" w:color="auto"/>
                <w:right w:val="none" w:sz="0" w:space="0" w:color="auto"/>
              </w:divBdr>
            </w:div>
            <w:div w:id="1234196953">
              <w:marLeft w:val="0"/>
              <w:marRight w:val="0"/>
              <w:marTop w:val="0"/>
              <w:marBottom w:val="0"/>
              <w:divBdr>
                <w:top w:val="none" w:sz="0" w:space="0" w:color="auto"/>
                <w:left w:val="none" w:sz="0" w:space="0" w:color="auto"/>
                <w:bottom w:val="none" w:sz="0" w:space="0" w:color="auto"/>
                <w:right w:val="none" w:sz="0" w:space="0" w:color="auto"/>
              </w:divBdr>
            </w:div>
            <w:div w:id="1906377071">
              <w:marLeft w:val="0"/>
              <w:marRight w:val="0"/>
              <w:marTop w:val="0"/>
              <w:marBottom w:val="0"/>
              <w:divBdr>
                <w:top w:val="none" w:sz="0" w:space="0" w:color="auto"/>
                <w:left w:val="none" w:sz="0" w:space="0" w:color="auto"/>
                <w:bottom w:val="none" w:sz="0" w:space="0" w:color="auto"/>
                <w:right w:val="none" w:sz="0" w:space="0" w:color="auto"/>
              </w:divBdr>
            </w:div>
            <w:div w:id="2144081326">
              <w:marLeft w:val="0"/>
              <w:marRight w:val="0"/>
              <w:marTop w:val="0"/>
              <w:marBottom w:val="0"/>
              <w:divBdr>
                <w:top w:val="none" w:sz="0" w:space="0" w:color="auto"/>
                <w:left w:val="none" w:sz="0" w:space="0" w:color="auto"/>
                <w:bottom w:val="none" w:sz="0" w:space="0" w:color="auto"/>
                <w:right w:val="none" w:sz="0" w:space="0" w:color="auto"/>
              </w:divBdr>
            </w:div>
            <w:div w:id="1430932336">
              <w:marLeft w:val="0"/>
              <w:marRight w:val="0"/>
              <w:marTop w:val="0"/>
              <w:marBottom w:val="0"/>
              <w:divBdr>
                <w:top w:val="none" w:sz="0" w:space="0" w:color="auto"/>
                <w:left w:val="none" w:sz="0" w:space="0" w:color="auto"/>
                <w:bottom w:val="none" w:sz="0" w:space="0" w:color="auto"/>
                <w:right w:val="none" w:sz="0" w:space="0" w:color="auto"/>
              </w:divBdr>
            </w:div>
            <w:div w:id="814446170">
              <w:marLeft w:val="0"/>
              <w:marRight w:val="0"/>
              <w:marTop w:val="0"/>
              <w:marBottom w:val="0"/>
              <w:divBdr>
                <w:top w:val="none" w:sz="0" w:space="0" w:color="auto"/>
                <w:left w:val="none" w:sz="0" w:space="0" w:color="auto"/>
                <w:bottom w:val="none" w:sz="0" w:space="0" w:color="auto"/>
                <w:right w:val="none" w:sz="0" w:space="0" w:color="auto"/>
              </w:divBdr>
            </w:div>
            <w:div w:id="2084376986">
              <w:marLeft w:val="0"/>
              <w:marRight w:val="0"/>
              <w:marTop w:val="0"/>
              <w:marBottom w:val="0"/>
              <w:divBdr>
                <w:top w:val="none" w:sz="0" w:space="0" w:color="auto"/>
                <w:left w:val="none" w:sz="0" w:space="0" w:color="auto"/>
                <w:bottom w:val="none" w:sz="0" w:space="0" w:color="auto"/>
                <w:right w:val="none" w:sz="0" w:space="0" w:color="auto"/>
              </w:divBdr>
            </w:div>
            <w:div w:id="1441755475">
              <w:marLeft w:val="0"/>
              <w:marRight w:val="0"/>
              <w:marTop w:val="0"/>
              <w:marBottom w:val="0"/>
              <w:divBdr>
                <w:top w:val="none" w:sz="0" w:space="0" w:color="auto"/>
                <w:left w:val="none" w:sz="0" w:space="0" w:color="auto"/>
                <w:bottom w:val="none" w:sz="0" w:space="0" w:color="auto"/>
                <w:right w:val="none" w:sz="0" w:space="0" w:color="auto"/>
              </w:divBdr>
            </w:div>
            <w:div w:id="867910722">
              <w:marLeft w:val="0"/>
              <w:marRight w:val="0"/>
              <w:marTop w:val="0"/>
              <w:marBottom w:val="0"/>
              <w:divBdr>
                <w:top w:val="none" w:sz="0" w:space="0" w:color="auto"/>
                <w:left w:val="none" w:sz="0" w:space="0" w:color="auto"/>
                <w:bottom w:val="none" w:sz="0" w:space="0" w:color="auto"/>
                <w:right w:val="none" w:sz="0" w:space="0" w:color="auto"/>
              </w:divBdr>
            </w:div>
            <w:div w:id="857430081">
              <w:marLeft w:val="0"/>
              <w:marRight w:val="0"/>
              <w:marTop w:val="0"/>
              <w:marBottom w:val="0"/>
              <w:divBdr>
                <w:top w:val="none" w:sz="0" w:space="0" w:color="auto"/>
                <w:left w:val="none" w:sz="0" w:space="0" w:color="auto"/>
                <w:bottom w:val="none" w:sz="0" w:space="0" w:color="auto"/>
                <w:right w:val="none" w:sz="0" w:space="0" w:color="auto"/>
              </w:divBdr>
            </w:div>
            <w:div w:id="1392269759">
              <w:marLeft w:val="0"/>
              <w:marRight w:val="0"/>
              <w:marTop w:val="0"/>
              <w:marBottom w:val="0"/>
              <w:divBdr>
                <w:top w:val="none" w:sz="0" w:space="0" w:color="auto"/>
                <w:left w:val="none" w:sz="0" w:space="0" w:color="auto"/>
                <w:bottom w:val="none" w:sz="0" w:space="0" w:color="auto"/>
                <w:right w:val="none" w:sz="0" w:space="0" w:color="auto"/>
              </w:divBdr>
            </w:div>
            <w:div w:id="120922440">
              <w:marLeft w:val="0"/>
              <w:marRight w:val="0"/>
              <w:marTop w:val="0"/>
              <w:marBottom w:val="0"/>
              <w:divBdr>
                <w:top w:val="none" w:sz="0" w:space="0" w:color="auto"/>
                <w:left w:val="none" w:sz="0" w:space="0" w:color="auto"/>
                <w:bottom w:val="none" w:sz="0" w:space="0" w:color="auto"/>
                <w:right w:val="none" w:sz="0" w:space="0" w:color="auto"/>
              </w:divBdr>
            </w:div>
            <w:div w:id="1783456444">
              <w:marLeft w:val="0"/>
              <w:marRight w:val="0"/>
              <w:marTop w:val="0"/>
              <w:marBottom w:val="0"/>
              <w:divBdr>
                <w:top w:val="none" w:sz="0" w:space="0" w:color="auto"/>
                <w:left w:val="none" w:sz="0" w:space="0" w:color="auto"/>
                <w:bottom w:val="none" w:sz="0" w:space="0" w:color="auto"/>
                <w:right w:val="none" w:sz="0" w:space="0" w:color="auto"/>
              </w:divBdr>
            </w:div>
            <w:div w:id="1497460080">
              <w:marLeft w:val="0"/>
              <w:marRight w:val="0"/>
              <w:marTop w:val="0"/>
              <w:marBottom w:val="0"/>
              <w:divBdr>
                <w:top w:val="none" w:sz="0" w:space="0" w:color="auto"/>
                <w:left w:val="none" w:sz="0" w:space="0" w:color="auto"/>
                <w:bottom w:val="none" w:sz="0" w:space="0" w:color="auto"/>
                <w:right w:val="none" w:sz="0" w:space="0" w:color="auto"/>
              </w:divBdr>
            </w:div>
            <w:div w:id="2016105325">
              <w:marLeft w:val="0"/>
              <w:marRight w:val="0"/>
              <w:marTop w:val="0"/>
              <w:marBottom w:val="0"/>
              <w:divBdr>
                <w:top w:val="none" w:sz="0" w:space="0" w:color="auto"/>
                <w:left w:val="none" w:sz="0" w:space="0" w:color="auto"/>
                <w:bottom w:val="none" w:sz="0" w:space="0" w:color="auto"/>
                <w:right w:val="none" w:sz="0" w:space="0" w:color="auto"/>
              </w:divBdr>
            </w:div>
            <w:div w:id="750349349">
              <w:marLeft w:val="0"/>
              <w:marRight w:val="0"/>
              <w:marTop w:val="0"/>
              <w:marBottom w:val="0"/>
              <w:divBdr>
                <w:top w:val="none" w:sz="0" w:space="0" w:color="auto"/>
                <w:left w:val="none" w:sz="0" w:space="0" w:color="auto"/>
                <w:bottom w:val="none" w:sz="0" w:space="0" w:color="auto"/>
                <w:right w:val="none" w:sz="0" w:space="0" w:color="auto"/>
              </w:divBdr>
            </w:div>
            <w:div w:id="2047172271">
              <w:marLeft w:val="0"/>
              <w:marRight w:val="0"/>
              <w:marTop w:val="0"/>
              <w:marBottom w:val="0"/>
              <w:divBdr>
                <w:top w:val="none" w:sz="0" w:space="0" w:color="auto"/>
                <w:left w:val="none" w:sz="0" w:space="0" w:color="auto"/>
                <w:bottom w:val="none" w:sz="0" w:space="0" w:color="auto"/>
                <w:right w:val="none" w:sz="0" w:space="0" w:color="auto"/>
              </w:divBdr>
            </w:div>
            <w:div w:id="200748956">
              <w:marLeft w:val="0"/>
              <w:marRight w:val="0"/>
              <w:marTop w:val="0"/>
              <w:marBottom w:val="0"/>
              <w:divBdr>
                <w:top w:val="none" w:sz="0" w:space="0" w:color="auto"/>
                <w:left w:val="none" w:sz="0" w:space="0" w:color="auto"/>
                <w:bottom w:val="none" w:sz="0" w:space="0" w:color="auto"/>
                <w:right w:val="none" w:sz="0" w:space="0" w:color="auto"/>
              </w:divBdr>
            </w:div>
            <w:div w:id="161747281">
              <w:marLeft w:val="0"/>
              <w:marRight w:val="0"/>
              <w:marTop w:val="0"/>
              <w:marBottom w:val="0"/>
              <w:divBdr>
                <w:top w:val="none" w:sz="0" w:space="0" w:color="auto"/>
                <w:left w:val="none" w:sz="0" w:space="0" w:color="auto"/>
                <w:bottom w:val="none" w:sz="0" w:space="0" w:color="auto"/>
                <w:right w:val="none" w:sz="0" w:space="0" w:color="auto"/>
              </w:divBdr>
            </w:div>
            <w:div w:id="1350762965">
              <w:marLeft w:val="0"/>
              <w:marRight w:val="0"/>
              <w:marTop w:val="0"/>
              <w:marBottom w:val="0"/>
              <w:divBdr>
                <w:top w:val="none" w:sz="0" w:space="0" w:color="auto"/>
                <w:left w:val="none" w:sz="0" w:space="0" w:color="auto"/>
                <w:bottom w:val="none" w:sz="0" w:space="0" w:color="auto"/>
                <w:right w:val="none" w:sz="0" w:space="0" w:color="auto"/>
              </w:divBdr>
            </w:div>
            <w:div w:id="1034504615">
              <w:marLeft w:val="0"/>
              <w:marRight w:val="0"/>
              <w:marTop w:val="0"/>
              <w:marBottom w:val="0"/>
              <w:divBdr>
                <w:top w:val="none" w:sz="0" w:space="0" w:color="auto"/>
                <w:left w:val="none" w:sz="0" w:space="0" w:color="auto"/>
                <w:bottom w:val="none" w:sz="0" w:space="0" w:color="auto"/>
                <w:right w:val="none" w:sz="0" w:space="0" w:color="auto"/>
              </w:divBdr>
            </w:div>
            <w:div w:id="651299774">
              <w:marLeft w:val="0"/>
              <w:marRight w:val="0"/>
              <w:marTop w:val="0"/>
              <w:marBottom w:val="0"/>
              <w:divBdr>
                <w:top w:val="none" w:sz="0" w:space="0" w:color="auto"/>
                <w:left w:val="none" w:sz="0" w:space="0" w:color="auto"/>
                <w:bottom w:val="none" w:sz="0" w:space="0" w:color="auto"/>
                <w:right w:val="none" w:sz="0" w:space="0" w:color="auto"/>
              </w:divBdr>
            </w:div>
            <w:div w:id="1955364666">
              <w:marLeft w:val="0"/>
              <w:marRight w:val="0"/>
              <w:marTop w:val="0"/>
              <w:marBottom w:val="0"/>
              <w:divBdr>
                <w:top w:val="none" w:sz="0" w:space="0" w:color="auto"/>
                <w:left w:val="none" w:sz="0" w:space="0" w:color="auto"/>
                <w:bottom w:val="none" w:sz="0" w:space="0" w:color="auto"/>
                <w:right w:val="none" w:sz="0" w:space="0" w:color="auto"/>
              </w:divBdr>
            </w:div>
            <w:div w:id="2039698702">
              <w:marLeft w:val="0"/>
              <w:marRight w:val="0"/>
              <w:marTop w:val="0"/>
              <w:marBottom w:val="0"/>
              <w:divBdr>
                <w:top w:val="none" w:sz="0" w:space="0" w:color="auto"/>
                <w:left w:val="none" w:sz="0" w:space="0" w:color="auto"/>
                <w:bottom w:val="none" w:sz="0" w:space="0" w:color="auto"/>
                <w:right w:val="none" w:sz="0" w:space="0" w:color="auto"/>
              </w:divBdr>
            </w:div>
            <w:div w:id="244069402">
              <w:marLeft w:val="0"/>
              <w:marRight w:val="0"/>
              <w:marTop w:val="0"/>
              <w:marBottom w:val="0"/>
              <w:divBdr>
                <w:top w:val="none" w:sz="0" w:space="0" w:color="auto"/>
                <w:left w:val="none" w:sz="0" w:space="0" w:color="auto"/>
                <w:bottom w:val="none" w:sz="0" w:space="0" w:color="auto"/>
                <w:right w:val="none" w:sz="0" w:space="0" w:color="auto"/>
              </w:divBdr>
            </w:div>
            <w:div w:id="1524126274">
              <w:marLeft w:val="0"/>
              <w:marRight w:val="0"/>
              <w:marTop w:val="0"/>
              <w:marBottom w:val="0"/>
              <w:divBdr>
                <w:top w:val="none" w:sz="0" w:space="0" w:color="auto"/>
                <w:left w:val="none" w:sz="0" w:space="0" w:color="auto"/>
                <w:bottom w:val="none" w:sz="0" w:space="0" w:color="auto"/>
                <w:right w:val="none" w:sz="0" w:space="0" w:color="auto"/>
              </w:divBdr>
            </w:div>
            <w:div w:id="1421028422">
              <w:marLeft w:val="0"/>
              <w:marRight w:val="0"/>
              <w:marTop w:val="0"/>
              <w:marBottom w:val="0"/>
              <w:divBdr>
                <w:top w:val="none" w:sz="0" w:space="0" w:color="auto"/>
                <w:left w:val="none" w:sz="0" w:space="0" w:color="auto"/>
                <w:bottom w:val="none" w:sz="0" w:space="0" w:color="auto"/>
                <w:right w:val="none" w:sz="0" w:space="0" w:color="auto"/>
              </w:divBdr>
            </w:div>
            <w:div w:id="324671509">
              <w:marLeft w:val="0"/>
              <w:marRight w:val="0"/>
              <w:marTop w:val="0"/>
              <w:marBottom w:val="0"/>
              <w:divBdr>
                <w:top w:val="none" w:sz="0" w:space="0" w:color="auto"/>
                <w:left w:val="none" w:sz="0" w:space="0" w:color="auto"/>
                <w:bottom w:val="none" w:sz="0" w:space="0" w:color="auto"/>
                <w:right w:val="none" w:sz="0" w:space="0" w:color="auto"/>
              </w:divBdr>
            </w:div>
            <w:div w:id="1564877147">
              <w:marLeft w:val="0"/>
              <w:marRight w:val="0"/>
              <w:marTop w:val="0"/>
              <w:marBottom w:val="0"/>
              <w:divBdr>
                <w:top w:val="none" w:sz="0" w:space="0" w:color="auto"/>
                <w:left w:val="none" w:sz="0" w:space="0" w:color="auto"/>
                <w:bottom w:val="none" w:sz="0" w:space="0" w:color="auto"/>
                <w:right w:val="none" w:sz="0" w:space="0" w:color="auto"/>
              </w:divBdr>
            </w:div>
            <w:div w:id="1038092971">
              <w:marLeft w:val="0"/>
              <w:marRight w:val="0"/>
              <w:marTop w:val="0"/>
              <w:marBottom w:val="0"/>
              <w:divBdr>
                <w:top w:val="none" w:sz="0" w:space="0" w:color="auto"/>
                <w:left w:val="none" w:sz="0" w:space="0" w:color="auto"/>
                <w:bottom w:val="none" w:sz="0" w:space="0" w:color="auto"/>
                <w:right w:val="none" w:sz="0" w:space="0" w:color="auto"/>
              </w:divBdr>
            </w:div>
            <w:div w:id="1378312297">
              <w:marLeft w:val="0"/>
              <w:marRight w:val="0"/>
              <w:marTop w:val="0"/>
              <w:marBottom w:val="0"/>
              <w:divBdr>
                <w:top w:val="none" w:sz="0" w:space="0" w:color="auto"/>
                <w:left w:val="none" w:sz="0" w:space="0" w:color="auto"/>
                <w:bottom w:val="none" w:sz="0" w:space="0" w:color="auto"/>
                <w:right w:val="none" w:sz="0" w:space="0" w:color="auto"/>
              </w:divBdr>
            </w:div>
            <w:div w:id="1126973934">
              <w:marLeft w:val="0"/>
              <w:marRight w:val="0"/>
              <w:marTop w:val="0"/>
              <w:marBottom w:val="0"/>
              <w:divBdr>
                <w:top w:val="none" w:sz="0" w:space="0" w:color="auto"/>
                <w:left w:val="none" w:sz="0" w:space="0" w:color="auto"/>
                <w:bottom w:val="none" w:sz="0" w:space="0" w:color="auto"/>
                <w:right w:val="none" w:sz="0" w:space="0" w:color="auto"/>
              </w:divBdr>
            </w:div>
            <w:div w:id="1779106214">
              <w:marLeft w:val="0"/>
              <w:marRight w:val="0"/>
              <w:marTop w:val="0"/>
              <w:marBottom w:val="0"/>
              <w:divBdr>
                <w:top w:val="none" w:sz="0" w:space="0" w:color="auto"/>
                <w:left w:val="none" w:sz="0" w:space="0" w:color="auto"/>
                <w:bottom w:val="none" w:sz="0" w:space="0" w:color="auto"/>
                <w:right w:val="none" w:sz="0" w:space="0" w:color="auto"/>
              </w:divBdr>
            </w:div>
            <w:div w:id="1371227890">
              <w:marLeft w:val="0"/>
              <w:marRight w:val="0"/>
              <w:marTop w:val="0"/>
              <w:marBottom w:val="0"/>
              <w:divBdr>
                <w:top w:val="none" w:sz="0" w:space="0" w:color="auto"/>
                <w:left w:val="none" w:sz="0" w:space="0" w:color="auto"/>
                <w:bottom w:val="none" w:sz="0" w:space="0" w:color="auto"/>
                <w:right w:val="none" w:sz="0" w:space="0" w:color="auto"/>
              </w:divBdr>
            </w:div>
            <w:div w:id="1187132025">
              <w:marLeft w:val="0"/>
              <w:marRight w:val="0"/>
              <w:marTop w:val="0"/>
              <w:marBottom w:val="0"/>
              <w:divBdr>
                <w:top w:val="none" w:sz="0" w:space="0" w:color="auto"/>
                <w:left w:val="none" w:sz="0" w:space="0" w:color="auto"/>
                <w:bottom w:val="none" w:sz="0" w:space="0" w:color="auto"/>
                <w:right w:val="none" w:sz="0" w:space="0" w:color="auto"/>
              </w:divBdr>
            </w:div>
            <w:div w:id="1928928161">
              <w:marLeft w:val="0"/>
              <w:marRight w:val="0"/>
              <w:marTop w:val="0"/>
              <w:marBottom w:val="0"/>
              <w:divBdr>
                <w:top w:val="none" w:sz="0" w:space="0" w:color="auto"/>
                <w:left w:val="none" w:sz="0" w:space="0" w:color="auto"/>
                <w:bottom w:val="none" w:sz="0" w:space="0" w:color="auto"/>
                <w:right w:val="none" w:sz="0" w:space="0" w:color="auto"/>
              </w:divBdr>
            </w:div>
            <w:div w:id="2072851942">
              <w:marLeft w:val="0"/>
              <w:marRight w:val="0"/>
              <w:marTop w:val="0"/>
              <w:marBottom w:val="0"/>
              <w:divBdr>
                <w:top w:val="none" w:sz="0" w:space="0" w:color="auto"/>
                <w:left w:val="none" w:sz="0" w:space="0" w:color="auto"/>
                <w:bottom w:val="none" w:sz="0" w:space="0" w:color="auto"/>
                <w:right w:val="none" w:sz="0" w:space="0" w:color="auto"/>
              </w:divBdr>
            </w:div>
            <w:div w:id="1659654526">
              <w:marLeft w:val="0"/>
              <w:marRight w:val="0"/>
              <w:marTop w:val="0"/>
              <w:marBottom w:val="0"/>
              <w:divBdr>
                <w:top w:val="none" w:sz="0" w:space="0" w:color="auto"/>
                <w:left w:val="none" w:sz="0" w:space="0" w:color="auto"/>
                <w:bottom w:val="none" w:sz="0" w:space="0" w:color="auto"/>
                <w:right w:val="none" w:sz="0" w:space="0" w:color="auto"/>
              </w:divBdr>
            </w:div>
            <w:div w:id="1880897732">
              <w:marLeft w:val="0"/>
              <w:marRight w:val="0"/>
              <w:marTop w:val="0"/>
              <w:marBottom w:val="0"/>
              <w:divBdr>
                <w:top w:val="none" w:sz="0" w:space="0" w:color="auto"/>
                <w:left w:val="none" w:sz="0" w:space="0" w:color="auto"/>
                <w:bottom w:val="none" w:sz="0" w:space="0" w:color="auto"/>
                <w:right w:val="none" w:sz="0" w:space="0" w:color="auto"/>
              </w:divBdr>
            </w:div>
            <w:div w:id="1095176637">
              <w:marLeft w:val="0"/>
              <w:marRight w:val="0"/>
              <w:marTop w:val="0"/>
              <w:marBottom w:val="0"/>
              <w:divBdr>
                <w:top w:val="none" w:sz="0" w:space="0" w:color="auto"/>
                <w:left w:val="none" w:sz="0" w:space="0" w:color="auto"/>
                <w:bottom w:val="none" w:sz="0" w:space="0" w:color="auto"/>
                <w:right w:val="none" w:sz="0" w:space="0" w:color="auto"/>
              </w:divBdr>
            </w:div>
            <w:div w:id="360472842">
              <w:marLeft w:val="0"/>
              <w:marRight w:val="0"/>
              <w:marTop w:val="0"/>
              <w:marBottom w:val="0"/>
              <w:divBdr>
                <w:top w:val="none" w:sz="0" w:space="0" w:color="auto"/>
                <w:left w:val="none" w:sz="0" w:space="0" w:color="auto"/>
                <w:bottom w:val="none" w:sz="0" w:space="0" w:color="auto"/>
                <w:right w:val="none" w:sz="0" w:space="0" w:color="auto"/>
              </w:divBdr>
            </w:div>
            <w:div w:id="1810367242">
              <w:marLeft w:val="0"/>
              <w:marRight w:val="0"/>
              <w:marTop w:val="0"/>
              <w:marBottom w:val="0"/>
              <w:divBdr>
                <w:top w:val="none" w:sz="0" w:space="0" w:color="auto"/>
                <w:left w:val="none" w:sz="0" w:space="0" w:color="auto"/>
                <w:bottom w:val="none" w:sz="0" w:space="0" w:color="auto"/>
                <w:right w:val="none" w:sz="0" w:space="0" w:color="auto"/>
              </w:divBdr>
            </w:div>
            <w:div w:id="218322131">
              <w:marLeft w:val="0"/>
              <w:marRight w:val="0"/>
              <w:marTop w:val="0"/>
              <w:marBottom w:val="0"/>
              <w:divBdr>
                <w:top w:val="none" w:sz="0" w:space="0" w:color="auto"/>
                <w:left w:val="none" w:sz="0" w:space="0" w:color="auto"/>
                <w:bottom w:val="none" w:sz="0" w:space="0" w:color="auto"/>
                <w:right w:val="none" w:sz="0" w:space="0" w:color="auto"/>
              </w:divBdr>
            </w:div>
            <w:div w:id="1126049668">
              <w:marLeft w:val="0"/>
              <w:marRight w:val="0"/>
              <w:marTop w:val="0"/>
              <w:marBottom w:val="0"/>
              <w:divBdr>
                <w:top w:val="none" w:sz="0" w:space="0" w:color="auto"/>
                <w:left w:val="none" w:sz="0" w:space="0" w:color="auto"/>
                <w:bottom w:val="none" w:sz="0" w:space="0" w:color="auto"/>
                <w:right w:val="none" w:sz="0" w:space="0" w:color="auto"/>
              </w:divBdr>
            </w:div>
            <w:div w:id="2024477246">
              <w:marLeft w:val="0"/>
              <w:marRight w:val="0"/>
              <w:marTop w:val="0"/>
              <w:marBottom w:val="0"/>
              <w:divBdr>
                <w:top w:val="none" w:sz="0" w:space="0" w:color="auto"/>
                <w:left w:val="none" w:sz="0" w:space="0" w:color="auto"/>
                <w:bottom w:val="none" w:sz="0" w:space="0" w:color="auto"/>
                <w:right w:val="none" w:sz="0" w:space="0" w:color="auto"/>
              </w:divBdr>
            </w:div>
            <w:div w:id="1412850610">
              <w:marLeft w:val="0"/>
              <w:marRight w:val="0"/>
              <w:marTop w:val="0"/>
              <w:marBottom w:val="0"/>
              <w:divBdr>
                <w:top w:val="none" w:sz="0" w:space="0" w:color="auto"/>
                <w:left w:val="none" w:sz="0" w:space="0" w:color="auto"/>
                <w:bottom w:val="none" w:sz="0" w:space="0" w:color="auto"/>
                <w:right w:val="none" w:sz="0" w:space="0" w:color="auto"/>
              </w:divBdr>
            </w:div>
            <w:div w:id="1009865748">
              <w:marLeft w:val="0"/>
              <w:marRight w:val="0"/>
              <w:marTop w:val="0"/>
              <w:marBottom w:val="0"/>
              <w:divBdr>
                <w:top w:val="none" w:sz="0" w:space="0" w:color="auto"/>
                <w:left w:val="none" w:sz="0" w:space="0" w:color="auto"/>
                <w:bottom w:val="none" w:sz="0" w:space="0" w:color="auto"/>
                <w:right w:val="none" w:sz="0" w:space="0" w:color="auto"/>
              </w:divBdr>
            </w:div>
            <w:div w:id="605693074">
              <w:marLeft w:val="0"/>
              <w:marRight w:val="0"/>
              <w:marTop w:val="0"/>
              <w:marBottom w:val="0"/>
              <w:divBdr>
                <w:top w:val="none" w:sz="0" w:space="0" w:color="auto"/>
                <w:left w:val="none" w:sz="0" w:space="0" w:color="auto"/>
                <w:bottom w:val="none" w:sz="0" w:space="0" w:color="auto"/>
                <w:right w:val="none" w:sz="0" w:space="0" w:color="auto"/>
              </w:divBdr>
            </w:div>
            <w:div w:id="231736372">
              <w:marLeft w:val="0"/>
              <w:marRight w:val="0"/>
              <w:marTop w:val="0"/>
              <w:marBottom w:val="0"/>
              <w:divBdr>
                <w:top w:val="none" w:sz="0" w:space="0" w:color="auto"/>
                <w:left w:val="none" w:sz="0" w:space="0" w:color="auto"/>
                <w:bottom w:val="none" w:sz="0" w:space="0" w:color="auto"/>
                <w:right w:val="none" w:sz="0" w:space="0" w:color="auto"/>
              </w:divBdr>
            </w:div>
            <w:div w:id="1291203133">
              <w:marLeft w:val="0"/>
              <w:marRight w:val="0"/>
              <w:marTop w:val="0"/>
              <w:marBottom w:val="0"/>
              <w:divBdr>
                <w:top w:val="none" w:sz="0" w:space="0" w:color="auto"/>
                <w:left w:val="none" w:sz="0" w:space="0" w:color="auto"/>
                <w:bottom w:val="none" w:sz="0" w:space="0" w:color="auto"/>
                <w:right w:val="none" w:sz="0" w:space="0" w:color="auto"/>
              </w:divBdr>
            </w:div>
            <w:div w:id="1445660648">
              <w:marLeft w:val="0"/>
              <w:marRight w:val="0"/>
              <w:marTop w:val="0"/>
              <w:marBottom w:val="0"/>
              <w:divBdr>
                <w:top w:val="none" w:sz="0" w:space="0" w:color="auto"/>
                <w:left w:val="none" w:sz="0" w:space="0" w:color="auto"/>
                <w:bottom w:val="none" w:sz="0" w:space="0" w:color="auto"/>
                <w:right w:val="none" w:sz="0" w:space="0" w:color="auto"/>
              </w:divBdr>
            </w:div>
            <w:div w:id="1516915810">
              <w:marLeft w:val="0"/>
              <w:marRight w:val="0"/>
              <w:marTop w:val="0"/>
              <w:marBottom w:val="0"/>
              <w:divBdr>
                <w:top w:val="none" w:sz="0" w:space="0" w:color="auto"/>
                <w:left w:val="none" w:sz="0" w:space="0" w:color="auto"/>
                <w:bottom w:val="none" w:sz="0" w:space="0" w:color="auto"/>
                <w:right w:val="none" w:sz="0" w:space="0" w:color="auto"/>
              </w:divBdr>
            </w:div>
            <w:div w:id="1720205096">
              <w:marLeft w:val="0"/>
              <w:marRight w:val="0"/>
              <w:marTop w:val="0"/>
              <w:marBottom w:val="0"/>
              <w:divBdr>
                <w:top w:val="none" w:sz="0" w:space="0" w:color="auto"/>
                <w:left w:val="none" w:sz="0" w:space="0" w:color="auto"/>
                <w:bottom w:val="none" w:sz="0" w:space="0" w:color="auto"/>
                <w:right w:val="none" w:sz="0" w:space="0" w:color="auto"/>
              </w:divBdr>
            </w:div>
            <w:div w:id="1927762868">
              <w:marLeft w:val="0"/>
              <w:marRight w:val="0"/>
              <w:marTop w:val="0"/>
              <w:marBottom w:val="0"/>
              <w:divBdr>
                <w:top w:val="none" w:sz="0" w:space="0" w:color="auto"/>
                <w:left w:val="none" w:sz="0" w:space="0" w:color="auto"/>
                <w:bottom w:val="none" w:sz="0" w:space="0" w:color="auto"/>
                <w:right w:val="none" w:sz="0" w:space="0" w:color="auto"/>
              </w:divBdr>
            </w:div>
            <w:div w:id="1117335214">
              <w:marLeft w:val="0"/>
              <w:marRight w:val="0"/>
              <w:marTop w:val="0"/>
              <w:marBottom w:val="0"/>
              <w:divBdr>
                <w:top w:val="none" w:sz="0" w:space="0" w:color="auto"/>
                <w:left w:val="none" w:sz="0" w:space="0" w:color="auto"/>
                <w:bottom w:val="none" w:sz="0" w:space="0" w:color="auto"/>
                <w:right w:val="none" w:sz="0" w:space="0" w:color="auto"/>
              </w:divBdr>
            </w:div>
            <w:div w:id="1751387781">
              <w:marLeft w:val="0"/>
              <w:marRight w:val="0"/>
              <w:marTop w:val="0"/>
              <w:marBottom w:val="0"/>
              <w:divBdr>
                <w:top w:val="none" w:sz="0" w:space="0" w:color="auto"/>
                <w:left w:val="none" w:sz="0" w:space="0" w:color="auto"/>
                <w:bottom w:val="none" w:sz="0" w:space="0" w:color="auto"/>
                <w:right w:val="none" w:sz="0" w:space="0" w:color="auto"/>
              </w:divBdr>
            </w:div>
            <w:div w:id="117603641">
              <w:marLeft w:val="0"/>
              <w:marRight w:val="0"/>
              <w:marTop w:val="0"/>
              <w:marBottom w:val="0"/>
              <w:divBdr>
                <w:top w:val="none" w:sz="0" w:space="0" w:color="auto"/>
                <w:left w:val="none" w:sz="0" w:space="0" w:color="auto"/>
                <w:bottom w:val="none" w:sz="0" w:space="0" w:color="auto"/>
                <w:right w:val="none" w:sz="0" w:space="0" w:color="auto"/>
              </w:divBdr>
            </w:div>
            <w:div w:id="536939916">
              <w:marLeft w:val="0"/>
              <w:marRight w:val="0"/>
              <w:marTop w:val="0"/>
              <w:marBottom w:val="0"/>
              <w:divBdr>
                <w:top w:val="none" w:sz="0" w:space="0" w:color="auto"/>
                <w:left w:val="none" w:sz="0" w:space="0" w:color="auto"/>
                <w:bottom w:val="none" w:sz="0" w:space="0" w:color="auto"/>
                <w:right w:val="none" w:sz="0" w:space="0" w:color="auto"/>
              </w:divBdr>
            </w:div>
            <w:div w:id="750009061">
              <w:marLeft w:val="0"/>
              <w:marRight w:val="0"/>
              <w:marTop w:val="0"/>
              <w:marBottom w:val="0"/>
              <w:divBdr>
                <w:top w:val="none" w:sz="0" w:space="0" w:color="auto"/>
                <w:left w:val="none" w:sz="0" w:space="0" w:color="auto"/>
                <w:bottom w:val="none" w:sz="0" w:space="0" w:color="auto"/>
                <w:right w:val="none" w:sz="0" w:space="0" w:color="auto"/>
              </w:divBdr>
            </w:div>
            <w:div w:id="46995629">
              <w:marLeft w:val="0"/>
              <w:marRight w:val="0"/>
              <w:marTop w:val="0"/>
              <w:marBottom w:val="0"/>
              <w:divBdr>
                <w:top w:val="none" w:sz="0" w:space="0" w:color="auto"/>
                <w:left w:val="none" w:sz="0" w:space="0" w:color="auto"/>
                <w:bottom w:val="none" w:sz="0" w:space="0" w:color="auto"/>
                <w:right w:val="none" w:sz="0" w:space="0" w:color="auto"/>
              </w:divBdr>
            </w:div>
            <w:div w:id="750003200">
              <w:marLeft w:val="0"/>
              <w:marRight w:val="0"/>
              <w:marTop w:val="0"/>
              <w:marBottom w:val="0"/>
              <w:divBdr>
                <w:top w:val="none" w:sz="0" w:space="0" w:color="auto"/>
                <w:left w:val="none" w:sz="0" w:space="0" w:color="auto"/>
                <w:bottom w:val="none" w:sz="0" w:space="0" w:color="auto"/>
                <w:right w:val="none" w:sz="0" w:space="0" w:color="auto"/>
              </w:divBdr>
            </w:div>
            <w:div w:id="621233139">
              <w:marLeft w:val="0"/>
              <w:marRight w:val="0"/>
              <w:marTop w:val="0"/>
              <w:marBottom w:val="0"/>
              <w:divBdr>
                <w:top w:val="none" w:sz="0" w:space="0" w:color="auto"/>
                <w:left w:val="none" w:sz="0" w:space="0" w:color="auto"/>
                <w:bottom w:val="none" w:sz="0" w:space="0" w:color="auto"/>
                <w:right w:val="none" w:sz="0" w:space="0" w:color="auto"/>
              </w:divBdr>
            </w:div>
            <w:div w:id="1430734221">
              <w:marLeft w:val="0"/>
              <w:marRight w:val="0"/>
              <w:marTop w:val="0"/>
              <w:marBottom w:val="0"/>
              <w:divBdr>
                <w:top w:val="none" w:sz="0" w:space="0" w:color="auto"/>
                <w:left w:val="none" w:sz="0" w:space="0" w:color="auto"/>
                <w:bottom w:val="none" w:sz="0" w:space="0" w:color="auto"/>
                <w:right w:val="none" w:sz="0" w:space="0" w:color="auto"/>
              </w:divBdr>
            </w:div>
            <w:div w:id="1513841332">
              <w:marLeft w:val="0"/>
              <w:marRight w:val="0"/>
              <w:marTop w:val="0"/>
              <w:marBottom w:val="0"/>
              <w:divBdr>
                <w:top w:val="none" w:sz="0" w:space="0" w:color="auto"/>
                <w:left w:val="none" w:sz="0" w:space="0" w:color="auto"/>
                <w:bottom w:val="none" w:sz="0" w:space="0" w:color="auto"/>
                <w:right w:val="none" w:sz="0" w:space="0" w:color="auto"/>
              </w:divBdr>
            </w:div>
            <w:div w:id="1060439440">
              <w:marLeft w:val="0"/>
              <w:marRight w:val="0"/>
              <w:marTop w:val="0"/>
              <w:marBottom w:val="0"/>
              <w:divBdr>
                <w:top w:val="none" w:sz="0" w:space="0" w:color="auto"/>
                <w:left w:val="none" w:sz="0" w:space="0" w:color="auto"/>
                <w:bottom w:val="none" w:sz="0" w:space="0" w:color="auto"/>
                <w:right w:val="none" w:sz="0" w:space="0" w:color="auto"/>
              </w:divBdr>
            </w:div>
            <w:div w:id="1599830708">
              <w:marLeft w:val="0"/>
              <w:marRight w:val="0"/>
              <w:marTop w:val="0"/>
              <w:marBottom w:val="0"/>
              <w:divBdr>
                <w:top w:val="none" w:sz="0" w:space="0" w:color="auto"/>
                <w:left w:val="none" w:sz="0" w:space="0" w:color="auto"/>
                <w:bottom w:val="none" w:sz="0" w:space="0" w:color="auto"/>
                <w:right w:val="none" w:sz="0" w:space="0" w:color="auto"/>
              </w:divBdr>
            </w:div>
            <w:div w:id="170996662">
              <w:marLeft w:val="0"/>
              <w:marRight w:val="0"/>
              <w:marTop w:val="0"/>
              <w:marBottom w:val="0"/>
              <w:divBdr>
                <w:top w:val="none" w:sz="0" w:space="0" w:color="auto"/>
                <w:left w:val="none" w:sz="0" w:space="0" w:color="auto"/>
                <w:bottom w:val="none" w:sz="0" w:space="0" w:color="auto"/>
                <w:right w:val="none" w:sz="0" w:space="0" w:color="auto"/>
              </w:divBdr>
            </w:div>
            <w:div w:id="1693334493">
              <w:marLeft w:val="0"/>
              <w:marRight w:val="0"/>
              <w:marTop w:val="0"/>
              <w:marBottom w:val="0"/>
              <w:divBdr>
                <w:top w:val="none" w:sz="0" w:space="0" w:color="auto"/>
                <w:left w:val="none" w:sz="0" w:space="0" w:color="auto"/>
                <w:bottom w:val="none" w:sz="0" w:space="0" w:color="auto"/>
                <w:right w:val="none" w:sz="0" w:space="0" w:color="auto"/>
              </w:divBdr>
            </w:div>
            <w:div w:id="704058014">
              <w:marLeft w:val="0"/>
              <w:marRight w:val="0"/>
              <w:marTop w:val="0"/>
              <w:marBottom w:val="0"/>
              <w:divBdr>
                <w:top w:val="none" w:sz="0" w:space="0" w:color="auto"/>
                <w:left w:val="none" w:sz="0" w:space="0" w:color="auto"/>
                <w:bottom w:val="none" w:sz="0" w:space="0" w:color="auto"/>
                <w:right w:val="none" w:sz="0" w:space="0" w:color="auto"/>
              </w:divBdr>
            </w:div>
            <w:div w:id="1434936059">
              <w:marLeft w:val="0"/>
              <w:marRight w:val="0"/>
              <w:marTop w:val="0"/>
              <w:marBottom w:val="0"/>
              <w:divBdr>
                <w:top w:val="none" w:sz="0" w:space="0" w:color="auto"/>
                <w:left w:val="none" w:sz="0" w:space="0" w:color="auto"/>
                <w:bottom w:val="none" w:sz="0" w:space="0" w:color="auto"/>
                <w:right w:val="none" w:sz="0" w:space="0" w:color="auto"/>
              </w:divBdr>
            </w:div>
            <w:div w:id="1494837387">
              <w:marLeft w:val="0"/>
              <w:marRight w:val="0"/>
              <w:marTop w:val="0"/>
              <w:marBottom w:val="0"/>
              <w:divBdr>
                <w:top w:val="none" w:sz="0" w:space="0" w:color="auto"/>
                <w:left w:val="none" w:sz="0" w:space="0" w:color="auto"/>
                <w:bottom w:val="none" w:sz="0" w:space="0" w:color="auto"/>
                <w:right w:val="none" w:sz="0" w:space="0" w:color="auto"/>
              </w:divBdr>
            </w:div>
            <w:div w:id="823274469">
              <w:marLeft w:val="0"/>
              <w:marRight w:val="0"/>
              <w:marTop w:val="0"/>
              <w:marBottom w:val="0"/>
              <w:divBdr>
                <w:top w:val="none" w:sz="0" w:space="0" w:color="auto"/>
                <w:left w:val="none" w:sz="0" w:space="0" w:color="auto"/>
                <w:bottom w:val="none" w:sz="0" w:space="0" w:color="auto"/>
                <w:right w:val="none" w:sz="0" w:space="0" w:color="auto"/>
              </w:divBdr>
            </w:div>
            <w:div w:id="2116974411">
              <w:marLeft w:val="0"/>
              <w:marRight w:val="0"/>
              <w:marTop w:val="0"/>
              <w:marBottom w:val="0"/>
              <w:divBdr>
                <w:top w:val="none" w:sz="0" w:space="0" w:color="auto"/>
                <w:left w:val="none" w:sz="0" w:space="0" w:color="auto"/>
                <w:bottom w:val="none" w:sz="0" w:space="0" w:color="auto"/>
                <w:right w:val="none" w:sz="0" w:space="0" w:color="auto"/>
              </w:divBdr>
            </w:div>
            <w:div w:id="315845271">
              <w:marLeft w:val="0"/>
              <w:marRight w:val="0"/>
              <w:marTop w:val="0"/>
              <w:marBottom w:val="0"/>
              <w:divBdr>
                <w:top w:val="none" w:sz="0" w:space="0" w:color="auto"/>
                <w:left w:val="none" w:sz="0" w:space="0" w:color="auto"/>
                <w:bottom w:val="none" w:sz="0" w:space="0" w:color="auto"/>
                <w:right w:val="none" w:sz="0" w:space="0" w:color="auto"/>
              </w:divBdr>
            </w:div>
            <w:div w:id="1173106419">
              <w:marLeft w:val="0"/>
              <w:marRight w:val="0"/>
              <w:marTop w:val="0"/>
              <w:marBottom w:val="0"/>
              <w:divBdr>
                <w:top w:val="none" w:sz="0" w:space="0" w:color="auto"/>
                <w:left w:val="none" w:sz="0" w:space="0" w:color="auto"/>
                <w:bottom w:val="none" w:sz="0" w:space="0" w:color="auto"/>
                <w:right w:val="none" w:sz="0" w:space="0" w:color="auto"/>
              </w:divBdr>
            </w:div>
            <w:div w:id="881744810">
              <w:marLeft w:val="0"/>
              <w:marRight w:val="0"/>
              <w:marTop w:val="0"/>
              <w:marBottom w:val="0"/>
              <w:divBdr>
                <w:top w:val="none" w:sz="0" w:space="0" w:color="auto"/>
                <w:left w:val="none" w:sz="0" w:space="0" w:color="auto"/>
                <w:bottom w:val="none" w:sz="0" w:space="0" w:color="auto"/>
                <w:right w:val="none" w:sz="0" w:space="0" w:color="auto"/>
              </w:divBdr>
            </w:div>
            <w:div w:id="547768893">
              <w:marLeft w:val="0"/>
              <w:marRight w:val="0"/>
              <w:marTop w:val="0"/>
              <w:marBottom w:val="0"/>
              <w:divBdr>
                <w:top w:val="none" w:sz="0" w:space="0" w:color="auto"/>
                <w:left w:val="none" w:sz="0" w:space="0" w:color="auto"/>
                <w:bottom w:val="none" w:sz="0" w:space="0" w:color="auto"/>
                <w:right w:val="none" w:sz="0" w:space="0" w:color="auto"/>
              </w:divBdr>
            </w:div>
            <w:div w:id="530649904">
              <w:marLeft w:val="0"/>
              <w:marRight w:val="0"/>
              <w:marTop w:val="0"/>
              <w:marBottom w:val="0"/>
              <w:divBdr>
                <w:top w:val="none" w:sz="0" w:space="0" w:color="auto"/>
                <w:left w:val="none" w:sz="0" w:space="0" w:color="auto"/>
                <w:bottom w:val="none" w:sz="0" w:space="0" w:color="auto"/>
                <w:right w:val="none" w:sz="0" w:space="0" w:color="auto"/>
              </w:divBdr>
            </w:div>
            <w:div w:id="598026086">
              <w:marLeft w:val="0"/>
              <w:marRight w:val="0"/>
              <w:marTop w:val="0"/>
              <w:marBottom w:val="0"/>
              <w:divBdr>
                <w:top w:val="none" w:sz="0" w:space="0" w:color="auto"/>
                <w:left w:val="none" w:sz="0" w:space="0" w:color="auto"/>
                <w:bottom w:val="none" w:sz="0" w:space="0" w:color="auto"/>
                <w:right w:val="none" w:sz="0" w:space="0" w:color="auto"/>
              </w:divBdr>
            </w:div>
            <w:div w:id="22945142">
              <w:marLeft w:val="0"/>
              <w:marRight w:val="0"/>
              <w:marTop w:val="0"/>
              <w:marBottom w:val="0"/>
              <w:divBdr>
                <w:top w:val="none" w:sz="0" w:space="0" w:color="auto"/>
                <w:left w:val="none" w:sz="0" w:space="0" w:color="auto"/>
                <w:bottom w:val="none" w:sz="0" w:space="0" w:color="auto"/>
                <w:right w:val="none" w:sz="0" w:space="0" w:color="auto"/>
              </w:divBdr>
            </w:div>
            <w:div w:id="1150905919">
              <w:marLeft w:val="0"/>
              <w:marRight w:val="0"/>
              <w:marTop w:val="0"/>
              <w:marBottom w:val="0"/>
              <w:divBdr>
                <w:top w:val="none" w:sz="0" w:space="0" w:color="auto"/>
                <w:left w:val="none" w:sz="0" w:space="0" w:color="auto"/>
                <w:bottom w:val="none" w:sz="0" w:space="0" w:color="auto"/>
                <w:right w:val="none" w:sz="0" w:space="0" w:color="auto"/>
              </w:divBdr>
            </w:div>
            <w:div w:id="64375903">
              <w:marLeft w:val="0"/>
              <w:marRight w:val="0"/>
              <w:marTop w:val="0"/>
              <w:marBottom w:val="0"/>
              <w:divBdr>
                <w:top w:val="none" w:sz="0" w:space="0" w:color="auto"/>
                <w:left w:val="none" w:sz="0" w:space="0" w:color="auto"/>
                <w:bottom w:val="none" w:sz="0" w:space="0" w:color="auto"/>
                <w:right w:val="none" w:sz="0" w:space="0" w:color="auto"/>
              </w:divBdr>
            </w:div>
            <w:div w:id="1789619263">
              <w:marLeft w:val="0"/>
              <w:marRight w:val="0"/>
              <w:marTop w:val="0"/>
              <w:marBottom w:val="0"/>
              <w:divBdr>
                <w:top w:val="none" w:sz="0" w:space="0" w:color="auto"/>
                <w:left w:val="none" w:sz="0" w:space="0" w:color="auto"/>
                <w:bottom w:val="none" w:sz="0" w:space="0" w:color="auto"/>
                <w:right w:val="none" w:sz="0" w:space="0" w:color="auto"/>
              </w:divBdr>
            </w:div>
            <w:div w:id="1664552944">
              <w:marLeft w:val="0"/>
              <w:marRight w:val="0"/>
              <w:marTop w:val="0"/>
              <w:marBottom w:val="0"/>
              <w:divBdr>
                <w:top w:val="none" w:sz="0" w:space="0" w:color="auto"/>
                <w:left w:val="none" w:sz="0" w:space="0" w:color="auto"/>
                <w:bottom w:val="none" w:sz="0" w:space="0" w:color="auto"/>
                <w:right w:val="none" w:sz="0" w:space="0" w:color="auto"/>
              </w:divBdr>
            </w:div>
            <w:div w:id="79759524">
              <w:marLeft w:val="0"/>
              <w:marRight w:val="0"/>
              <w:marTop w:val="0"/>
              <w:marBottom w:val="0"/>
              <w:divBdr>
                <w:top w:val="none" w:sz="0" w:space="0" w:color="auto"/>
                <w:left w:val="none" w:sz="0" w:space="0" w:color="auto"/>
                <w:bottom w:val="none" w:sz="0" w:space="0" w:color="auto"/>
                <w:right w:val="none" w:sz="0" w:space="0" w:color="auto"/>
              </w:divBdr>
            </w:div>
            <w:div w:id="157617478">
              <w:marLeft w:val="0"/>
              <w:marRight w:val="0"/>
              <w:marTop w:val="0"/>
              <w:marBottom w:val="0"/>
              <w:divBdr>
                <w:top w:val="none" w:sz="0" w:space="0" w:color="auto"/>
                <w:left w:val="none" w:sz="0" w:space="0" w:color="auto"/>
                <w:bottom w:val="none" w:sz="0" w:space="0" w:color="auto"/>
                <w:right w:val="none" w:sz="0" w:space="0" w:color="auto"/>
              </w:divBdr>
            </w:div>
            <w:div w:id="843284153">
              <w:marLeft w:val="0"/>
              <w:marRight w:val="0"/>
              <w:marTop w:val="0"/>
              <w:marBottom w:val="0"/>
              <w:divBdr>
                <w:top w:val="none" w:sz="0" w:space="0" w:color="auto"/>
                <w:left w:val="none" w:sz="0" w:space="0" w:color="auto"/>
                <w:bottom w:val="none" w:sz="0" w:space="0" w:color="auto"/>
                <w:right w:val="none" w:sz="0" w:space="0" w:color="auto"/>
              </w:divBdr>
            </w:div>
            <w:div w:id="931470778">
              <w:marLeft w:val="0"/>
              <w:marRight w:val="0"/>
              <w:marTop w:val="0"/>
              <w:marBottom w:val="0"/>
              <w:divBdr>
                <w:top w:val="none" w:sz="0" w:space="0" w:color="auto"/>
                <w:left w:val="none" w:sz="0" w:space="0" w:color="auto"/>
                <w:bottom w:val="none" w:sz="0" w:space="0" w:color="auto"/>
                <w:right w:val="none" w:sz="0" w:space="0" w:color="auto"/>
              </w:divBdr>
            </w:div>
            <w:div w:id="6716154">
              <w:marLeft w:val="0"/>
              <w:marRight w:val="0"/>
              <w:marTop w:val="0"/>
              <w:marBottom w:val="0"/>
              <w:divBdr>
                <w:top w:val="none" w:sz="0" w:space="0" w:color="auto"/>
                <w:left w:val="none" w:sz="0" w:space="0" w:color="auto"/>
                <w:bottom w:val="none" w:sz="0" w:space="0" w:color="auto"/>
                <w:right w:val="none" w:sz="0" w:space="0" w:color="auto"/>
              </w:divBdr>
            </w:div>
            <w:div w:id="1775247628">
              <w:marLeft w:val="0"/>
              <w:marRight w:val="0"/>
              <w:marTop w:val="0"/>
              <w:marBottom w:val="0"/>
              <w:divBdr>
                <w:top w:val="none" w:sz="0" w:space="0" w:color="auto"/>
                <w:left w:val="none" w:sz="0" w:space="0" w:color="auto"/>
                <w:bottom w:val="none" w:sz="0" w:space="0" w:color="auto"/>
                <w:right w:val="none" w:sz="0" w:space="0" w:color="auto"/>
              </w:divBdr>
            </w:div>
            <w:div w:id="1299188976">
              <w:marLeft w:val="0"/>
              <w:marRight w:val="0"/>
              <w:marTop w:val="0"/>
              <w:marBottom w:val="0"/>
              <w:divBdr>
                <w:top w:val="none" w:sz="0" w:space="0" w:color="auto"/>
                <w:left w:val="none" w:sz="0" w:space="0" w:color="auto"/>
                <w:bottom w:val="none" w:sz="0" w:space="0" w:color="auto"/>
                <w:right w:val="none" w:sz="0" w:space="0" w:color="auto"/>
              </w:divBdr>
            </w:div>
            <w:div w:id="1301037033">
              <w:marLeft w:val="0"/>
              <w:marRight w:val="0"/>
              <w:marTop w:val="0"/>
              <w:marBottom w:val="0"/>
              <w:divBdr>
                <w:top w:val="none" w:sz="0" w:space="0" w:color="auto"/>
                <w:left w:val="none" w:sz="0" w:space="0" w:color="auto"/>
                <w:bottom w:val="none" w:sz="0" w:space="0" w:color="auto"/>
                <w:right w:val="none" w:sz="0" w:space="0" w:color="auto"/>
              </w:divBdr>
            </w:div>
            <w:div w:id="1845319448">
              <w:marLeft w:val="0"/>
              <w:marRight w:val="0"/>
              <w:marTop w:val="0"/>
              <w:marBottom w:val="0"/>
              <w:divBdr>
                <w:top w:val="none" w:sz="0" w:space="0" w:color="auto"/>
                <w:left w:val="none" w:sz="0" w:space="0" w:color="auto"/>
                <w:bottom w:val="none" w:sz="0" w:space="0" w:color="auto"/>
                <w:right w:val="none" w:sz="0" w:space="0" w:color="auto"/>
              </w:divBdr>
            </w:div>
            <w:div w:id="1285308444">
              <w:marLeft w:val="0"/>
              <w:marRight w:val="0"/>
              <w:marTop w:val="0"/>
              <w:marBottom w:val="0"/>
              <w:divBdr>
                <w:top w:val="none" w:sz="0" w:space="0" w:color="auto"/>
                <w:left w:val="none" w:sz="0" w:space="0" w:color="auto"/>
                <w:bottom w:val="none" w:sz="0" w:space="0" w:color="auto"/>
                <w:right w:val="none" w:sz="0" w:space="0" w:color="auto"/>
              </w:divBdr>
            </w:div>
            <w:div w:id="2061201025">
              <w:marLeft w:val="0"/>
              <w:marRight w:val="0"/>
              <w:marTop w:val="0"/>
              <w:marBottom w:val="0"/>
              <w:divBdr>
                <w:top w:val="none" w:sz="0" w:space="0" w:color="auto"/>
                <w:left w:val="none" w:sz="0" w:space="0" w:color="auto"/>
                <w:bottom w:val="none" w:sz="0" w:space="0" w:color="auto"/>
                <w:right w:val="none" w:sz="0" w:space="0" w:color="auto"/>
              </w:divBdr>
            </w:div>
            <w:div w:id="1766420524">
              <w:marLeft w:val="0"/>
              <w:marRight w:val="0"/>
              <w:marTop w:val="0"/>
              <w:marBottom w:val="0"/>
              <w:divBdr>
                <w:top w:val="none" w:sz="0" w:space="0" w:color="auto"/>
                <w:left w:val="none" w:sz="0" w:space="0" w:color="auto"/>
                <w:bottom w:val="none" w:sz="0" w:space="0" w:color="auto"/>
                <w:right w:val="none" w:sz="0" w:space="0" w:color="auto"/>
              </w:divBdr>
            </w:div>
            <w:div w:id="2123305198">
              <w:marLeft w:val="0"/>
              <w:marRight w:val="0"/>
              <w:marTop w:val="0"/>
              <w:marBottom w:val="0"/>
              <w:divBdr>
                <w:top w:val="none" w:sz="0" w:space="0" w:color="auto"/>
                <w:left w:val="none" w:sz="0" w:space="0" w:color="auto"/>
                <w:bottom w:val="none" w:sz="0" w:space="0" w:color="auto"/>
                <w:right w:val="none" w:sz="0" w:space="0" w:color="auto"/>
              </w:divBdr>
            </w:div>
            <w:div w:id="302470379">
              <w:marLeft w:val="0"/>
              <w:marRight w:val="0"/>
              <w:marTop w:val="0"/>
              <w:marBottom w:val="0"/>
              <w:divBdr>
                <w:top w:val="none" w:sz="0" w:space="0" w:color="auto"/>
                <w:left w:val="none" w:sz="0" w:space="0" w:color="auto"/>
                <w:bottom w:val="none" w:sz="0" w:space="0" w:color="auto"/>
                <w:right w:val="none" w:sz="0" w:space="0" w:color="auto"/>
              </w:divBdr>
            </w:div>
            <w:div w:id="1843348914">
              <w:marLeft w:val="0"/>
              <w:marRight w:val="0"/>
              <w:marTop w:val="0"/>
              <w:marBottom w:val="0"/>
              <w:divBdr>
                <w:top w:val="none" w:sz="0" w:space="0" w:color="auto"/>
                <w:left w:val="none" w:sz="0" w:space="0" w:color="auto"/>
                <w:bottom w:val="none" w:sz="0" w:space="0" w:color="auto"/>
                <w:right w:val="none" w:sz="0" w:space="0" w:color="auto"/>
              </w:divBdr>
            </w:div>
            <w:div w:id="1793935969">
              <w:marLeft w:val="0"/>
              <w:marRight w:val="0"/>
              <w:marTop w:val="0"/>
              <w:marBottom w:val="0"/>
              <w:divBdr>
                <w:top w:val="none" w:sz="0" w:space="0" w:color="auto"/>
                <w:left w:val="none" w:sz="0" w:space="0" w:color="auto"/>
                <w:bottom w:val="none" w:sz="0" w:space="0" w:color="auto"/>
                <w:right w:val="none" w:sz="0" w:space="0" w:color="auto"/>
              </w:divBdr>
            </w:div>
            <w:div w:id="2039117079">
              <w:marLeft w:val="0"/>
              <w:marRight w:val="0"/>
              <w:marTop w:val="0"/>
              <w:marBottom w:val="0"/>
              <w:divBdr>
                <w:top w:val="none" w:sz="0" w:space="0" w:color="auto"/>
                <w:left w:val="none" w:sz="0" w:space="0" w:color="auto"/>
                <w:bottom w:val="none" w:sz="0" w:space="0" w:color="auto"/>
                <w:right w:val="none" w:sz="0" w:space="0" w:color="auto"/>
              </w:divBdr>
            </w:div>
            <w:div w:id="750859360">
              <w:marLeft w:val="0"/>
              <w:marRight w:val="0"/>
              <w:marTop w:val="0"/>
              <w:marBottom w:val="0"/>
              <w:divBdr>
                <w:top w:val="none" w:sz="0" w:space="0" w:color="auto"/>
                <w:left w:val="none" w:sz="0" w:space="0" w:color="auto"/>
                <w:bottom w:val="none" w:sz="0" w:space="0" w:color="auto"/>
                <w:right w:val="none" w:sz="0" w:space="0" w:color="auto"/>
              </w:divBdr>
            </w:div>
            <w:div w:id="1412195037">
              <w:marLeft w:val="0"/>
              <w:marRight w:val="0"/>
              <w:marTop w:val="0"/>
              <w:marBottom w:val="0"/>
              <w:divBdr>
                <w:top w:val="none" w:sz="0" w:space="0" w:color="auto"/>
                <w:left w:val="none" w:sz="0" w:space="0" w:color="auto"/>
                <w:bottom w:val="none" w:sz="0" w:space="0" w:color="auto"/>
                <w:right w:val="none" w:sz="0" w:space="0" w:color="auto"/>
              </w:divBdr>
            </w:div>
            <w:div w:id="1716998884">
              <w:marLeft w:val="0"/>
              <w:marRight w:val="0"/>
              <w:marTop w:val="0"/>
              <w:marBottom w:val="0"/>
              <w:divBdr>
                <w:top w:val="none" w:sz="0" w:space="0" w:color="auto"/>
                <w:left w:val="none" w:sz="0" w:space="0" w:color="auto"/>
                <w:bottom w:val="none" w:sz="0" w:space="0" w:color="auto"/>
                <w:right w:val="none" w:sz="0" w:space="0" w:color="auto"/>
              </w:divBdr>
            </w:div>
            <w:div w:id="633415368">
              <w:marLeft w:val="0"/>
              <w:marRight w:val="0"/>
              <w:marTop w:val="0"/>
              <w:marBottom w:val="0"/>
              <w:divBdr>
                <w:top w:val="none" w:sz="0" w:space="0" w:color="auto"/>
                <w:left w:val="none" w:sz="0" w:space="0" w:color="auto"/>
                <w:bottom w:val="none" w:sz="0" w:space="0" w:color="auto"/>
                <w:right w:val="none" w:sz="0" w:space="0" w:color="auto"/>
              </w:divBdr>
            </w:div>
            <w:div w:id="1682127708">
              <w:marLeft w:val="0"/>
              <w:marRight w:val="0"/>
              <w:marTop w:val="0"/>
              <w:marBottom w:val="0"/>
              <w:divBdr>
                <w:top w:val="none" w:sz="0" w:space="0" w:color="auto"/>
                <w:left w:val="none" w:sz="0" w:space="0" w:color="auto"/>
                <w:bottom w:val="none" w:sz="0" w:space="0" w:color="auto"/>
                <w:right w:val="none" w:sz="0" w:space="0" w:color="auto"/>
              </w:divBdr>
            </w:div>
            <w:div w:id="1219517468">
              <w:marLeft w:val="0"/>
              <w:marRight w:val="0"/>
              <w:marTop w:val="0"/>
              <w:marBottom w:val="0"/>
              <w:divBdr>
                <w:top w:val="none" w:sz="0" w:space="0" w:color="auto"/>
                <w:left w:val="none" w:sz="0" w:space="0" w:color="auto"/>
                <w:bottom w:val="none" w:sz="0" w:space="0" w:color="auto"/>
                <w:right w:val="none" w:sz="0" w:space="0" w:color="auto"/>
              </w:divBdr>
            </w:div>
            <w:div w:id="1050764206">
              <w:marLeft w:val="0"/>
              <w:marRight w:val="0"/>
              <w:marTop w:val="0"/>
              <w:marBottom w:val="0"/>
              <w:divBdr>
                <w:top w:val="none" w:sz="0" w:space="0" w:color="auto"/>
                <w:left w:val="none" w:sz="0" w:space="0" w:color="auto"/>
                <w:bottom w:val="none" w:sz="0" w:space="0" w:color="auto"/>
                <w:right w:val="none" w:sz="0" w:space="0" w:color="auto"/>
              </w:divBdr>
            </w:div>
            <w:div w:id="1059087987">
              <w:marLeft w:val="0"/>
              <w:marRight w:val="0"/>
              <w:marTop w:val="0"/>
              <w:marBottom w:val="0"/>
              <w:divBdr>
                <w:top w:val="none" w:sz="0" w:space="0" w:color="auto"/>
                <w:left w:val="none" w:sz="0" w:space="0" w:color="auto"/>
                <w:bottom w:val="none" w:sz="0" w:space="0" w:color="auto"/>
                <w:right w:val="none" w:sz="0" w:space="0" w:color="auto"/>
              </w:divBdr>
            </w:div>
            <w:div w:id="2095928636">
              <w:marLeft w:val="0"/>
              <w:marRight w:val="0"/>
              <w:marTop w:val="0"/>
              <w:marBottom w:val="0"/>
              <w:divBdr>
                <w:top w:val="none" w:sz="0" w:space="0" w:color="auto"/>
                <w:left w:val="none" w:sz="0" w:space="0" w:color="auto"/>
                <w:bottom w:val="none" w:sz="0" w:space="0" w:color="auto"/>
                <w:right w:val="none" w:sz="0" w:space="0" w:color="auto"/>
              </w:divBdr>
            </w:div>
            <w:div w:id="1998655350">
              <w:marLeft w:val="0"/>
              <w:marRight w:val="0"/>
              <w:marTop w:val="0"/>
              <w:marBottom w:val="0"/>
              <w:divBdr>
                <w:top w:val="none" w:sz="0" w:space="0" w:color="auto"/>
                <w:left w:val="none" w:sz="0" w:space="0" w:color="auto"/>
                <w:bottom w:val="none" w:sz="0" w:space="0" w:color="auto"/>
                <w:right w:val="none" w:sz="0" w:space="0" w:color="auto"/>
              </w:divBdr>
            </w:div>
            <w:div w:id="502209675">
              <w:marLeft w:val="0"/>
              <w:marRight w:val="0"/>
              <w:marTop w:val="0"/>
              <w:marBottom w:val="0"/>
              <w:divBdr>
                <w:top w:val="none" w:sz="0" w:space="0" w:color="auto"/>
                <w:left w:val="none" w:sz="0" w:space="0" w:color="auto"/>
                <w:bottom w:val="none" w:sz="0" w:space="0" w:color="auto"/>
                <w:right w:val="none" w:sz="0" w:space="0" w:color="auto"/>
              </w:divBdr>
            </w:div>
            <w:div w:id="90860383">
              <w:marLeft w:val="0"/>
              <w:marRight w:val="0"/>
              <w:marTop w:val="0"/>
              <w:marBottom w:val="0"/>
              <w:divBdr>
                <w:top w:val="none" w:sz="0" w:space="0" w:color="auto"/>
                <w:left w:val="none" w:sz="0" w:space="0" w:color="auto"/>
                <w:bottom w:val="none" w:sz="0" w:space="0" w:color="auto"/>
                <w:right w:val="none" w:sz="0" w:space="0" w:color="auto"/>
              </w:divBdr>
            </w:div>
            <w:div w:id="1273169974">
              <w:marLeft w:val="0"/>
              <w:marRight w:val="0"/>
              <w:marTop w:val="0"/>
              <w:marBottom w:val="0"/>
              <w:divBdr>
                <w:top w:val="none" w:sz="0" w:space="0" w:color="auto"/>
                <w:left w:val="none" w:sz="0" w:space="0" w:color="auto"/>
                <w:bottom w:val="none" w:sz="0" w:space="0" w:color="auto"/>
                <w:right w:val="none" w:sz="0" w:space="0" w:color="auto"/>
              </w:divBdr>
            </w:div>
            <w:div w:id="465969427">
              <w:marLeft w:val="0"/>
              <w:marRight w:val="0"/>
              <w:marTop w:val="0"/>
              <w:marBottom w:val="0"/>
              <w:divBdr>
                <w:top w:val="none" w:sz="0" w:space="0" w:color="auto"/>
                <w:left w:val="none" w:sz="0" w:space="0" w:color="auto"/>
                <w:bottom w:val="none" w:sz="0" w:space="0" w:color="auto"/>
                <w:right w:val="none" w:sz="0" w:space="0" w:color="auto"/>
              </w:divBdr>
            </w:div>
            <w:div w:id="1433041994">
              <w:marLeft w:val="0"/>
              <w:marRight w:val="0"/>
              <w:marTop w:val="0"/>
              <w:marBottom w:val="0"/>
              <w:divBdr>
                <w:top w:val="none" w:sz="0" w:space="0" w:color="auto"/>
                <w:left w:val="none" w:sz="0" w:space="0" w:color="auto"/>
                <w:bottom w:val="none" w:sz="0" w:space="0" w:color="auto"/>
                <w:right w:val="none" w:sz="0" w:space="0" w:color="auto"/>
              </w:divBdr>
            </w:div>
            <w:div w:id="1629312555">
              <w:marLeft w:val="0"/>
              <w:marRight w:val="0"/>
              <w:marTop w:val="0"/>
              <w:marBottom w:val="0"/>
              <w:divBdr>
                <w:top w:val="none" w:sz="0" w:space="0" w:color="auto"/>
                <w:left w:val="none" w:sz="0" w:space="0" w:color="auto"/>
                <w:bottom w:val="none" w:sz="0" w:space="0" w:color="auto"/>
                <w:right w:val="none" w:sz="0" w:space="0" w:color="auto"/>
              </w:divBdr>
            </w:div>
            <w:div w:id="1081414740">
              <w:marLeft w:val="0"/>
              <w:marRight w:val="0"/>
              <w:marTop w:val="0"/>
              <w:marBottom w:val="0"/>
              <w:divBdr>
                <w:top w:val="none" w:sz="0" w:space="0" w:color="auto"/>
                <w:left w:val="none" w:sz="0" w:space="0" w:color="auto"/>
                <w:bottom w:val="none" w:sz="0" w:space="0" w:color="auto"/>
                <w:right w:val="none" w:sz="0" w:space="0" w:color="auto"/>
              </w:divBdr>
            </w:div>
            <w:div w:id="1664314554">
              <w:marLeft w:val="0"/>
              <w:marRight w:val="0"/>
              <w:marTop w:val="0"/>
              <w:marBottom w:val="0"/>
              <w:divBdr>
                <w:top w:val="none" w:sz="0" w:space="0" w:color="auto"/>
                <w:left w:val="none" w:sz="0" w:space="0" w:color="auto"/>
                <w:bottom w:val="none" w:sz="0" w:space="0" w:color="auto"/>
                <w:right w:val="none" w:sz="0" w:space="0" w:color="auto"/>
              </w:divBdr>
            </w:div>
            <w:div w:id="1033266921">
              <w:marLeft w:val="0"/>
              <w:marRight w:val="0"/>
              <w:marTop w:val="0"/>
              <w:marBottom w:val="0"/>
              <w:divBdr>
                <w:top w:val="none" w:sz="0" w:space="0" w:color="auto"/>
                <w:left w:val="none" w:sz="0" w:space="0" w:color="auto"/>
                <w:bottom w:val="none" w:sz="0" w:space="0" w:color="auto"/>
                <w:right w:val="none" w:sz="0" w:space="0" w:color="auto"/>
              </w:divBdr>
            </w:div>
            <w:div w:id="634599571">
              <w:marLeft w:val="0"/>
              <w:marRight w:val="0"/>
              <w:marTop w:val="0"/>
              <w:marBottom w:val="0"/>
              <w:divBdr>
                <w:top w:val="none" w:sz="0" w:space="0" w:color="auto"/>
                <w:left w:val="none" w:sz="0" w:space="0" w:color="auto"/>
                <w:bottom w:val="none" w:sz="0" w:space="0" w:color="auto"/>
                <w:right w:val="none" w:sz="0" w:space="0" w:color="auto"/>
              </w:divBdr>
            </w:div>
            <w:div w:id="80377475">
              <w:marLeft w:val="0"/>
              <w:marRight w:val="0"/>
              <w:marTop w:val="0"/>
              <w:marBottom w:val="0"/>
              <w:divBdr>
                <w:top w:val="none" w:sz="0" w:space="0" w:color="auto"/>
                <w:left w:val="none" w:sz="0" w:space="0" w:color="auto"/>
                <w:bottom w:val="none" w:sz="0" w:space="0" w:color="auto"/>
                <w:right w:val="none" w:sz="0" w:space="0" w:color="auto"/>
              </w:divBdr>
            </w:div>
            <w:div w:id="750080590">
              <w:marLeft w:val="0"/>
              <w:marRight w:val="0"/>
              <w:marTop w:val="0"/>
              <w:marBottom w:val="0"/>
              <w:divBdr>
                <w:top w:val="none" w:sz="0" w:space="0" w:color="auto"/>
                <w:left w:val="none" w:sz="0" w:space="0" w:color="auto"/>
                <w:bottom w:val="none" w:sz="0" w:space="0" w:color="auto"/>
                <w:right w:val="none" w:sz="0" w:space="0" w:color="auto"/>
              </w:divBdr>
            </w:div>
            <w:div w:id="212624336">
              <w:marLeft w:val="0"/>
              <w:marRight w:val="0"/>
              <w:marTop w:val="0"/>
              <w:marBottom w:val="0"/>
              <w:divBdr>
                <w:top w:val="none" w:sz="0" w:space="0" w:color="auto"/>
                <w:left w:val="none" w:sz="0" w:space="0" w:color="auto"/>
                <w:bottom w:val="none" w:sz="0" w:space="0" w:color="auto"/>
                <w:right w:val="none" w:sz="0" w:space="0" w:color="auto"/>
              </w:divBdr>
            </w:div>
            <w:div w:id="1169636800">
              <w:marLeft w:val="0"/>
              <w:marRight w:val="0"/>
              <w:marTop w:val="0"/>
              <w:marBottom w:val="0"/>
              <w:divBdr>
                <w:top w:val="none" w:sz="0" w:space="0" w:color="auto"/>
                <w:left w:val="none" w:sz="0" w:space="0" w:color="auto"/>
                <w:bottom w:val="none" w:sz="0" w:space="0" w:color="auto"/>
                <w:right w:val="none" w:sz="0" w:space="0" w:color="auto"/>
              </w:divBdr>
            </w:div>
            <w:div w:id="2053845065">
              <w:marLeft w:val="0"/>
              <w:marRight w:val="0"/>
              <w:marTop w:val="0"/>
              <w:marBottom w:val="0"/>
              <w:divBdr>
                <w:top w:val="none" w:sz="0" w:space="0" w:color="auto"/>
                <w:left w:val="none" w:sz="0" w:space="0" w:color="auto"/>
                <w:bottom w:val="none" w:sz="0" w:space="0" w:color="auto"/>
                <w:right w:val="none" w:sz="0" w:space="0" w:color="auto"/>
              </w:divBdr>
            </w:div>
            <w:div w:id="2125614107">
              <w:marLeft w:val="0"/>
              <w:marRight w:val="0"/>
              <w:marTop w:val="0"/>
              <w:marBottom w:val="0"/>
              <w:divBdr>
                <w:top w:val="none" w:sz="0" w:space="0" w:color="auto"/>
                <w:left w:val="none" w:sz="0" w:space="0" w:color="auto"/>
                <w:bottom w:val="none" w:sz="0" w:space="0" w:color="auto"/>
                <w:right w:val="none" w:sz="0" w:space="0" w:color="auto"/>
              </w:divBdr>
            </w:div>
            <w:div w:id="967007275">
              <w:marLeft w:val="0"/>
              <w:marRight w:val="0"/>
              <w:marTop w:val="0"/>
              <w:marBottom w:val="0"/>
              <w:divBdr>
                <w:top w:val="none" w:sz="0" w:space="0" w:color="auto"/>
                <w:left w:val="none" w:sz="0" w:space="0" w:color="auto"/>
                <w:bottom w:val="none" w:sz="0" w:space="0" w:color="auto"/>
                <w:right w:val="none" w:sz="0" w:space="0" w:color="auto"/>
              </w:divBdr>
            </w:div>
            <w:div w:id="1894122828">
              <w:marLeft w:val="0"/>
              <w:marRight w:val="0"/>
              <w:marTop w:val="0"/>
              <w:marBottom w:val="0"/>
              <w:divBdr>
                <w:top w:val="none" w:sz="0" w:space="0" w:color="auto"/>
                <w:left w:val="none" w:sz="0" w:space="0" w:color="auto"/>
                <w:bottom w:val="none" w:sz="0" w:space="0" w:color="auto"/>
                <w:right w:val="none" w:sz="0" w:space="0" w:color="auto"/>
              </w:divBdr>
            </w:div>
            <w:div w:id="1074550838">
              <w:marLeft w:val="0"/>
              <w:marRight w:val="0"/>
              <w:marTop w:val="0"/>
              <w:marBottom w:val="0"/>
              <w:divBdr>
                <w:top w:val="none" w:sz="0" w:space="0" w:color="auto"/>
                <w:left w:val="none" w:sz="0" w:space="0" w:color="auto"/>
                <w:bottom w:val="none" w:sz="0" w:space="0" w:color="auto"/>
                <w:right w:val="none" w:sz="0" w:space="0" w:color="auto"/>
              </w:divBdr>
            </w:div>
            <w:div w:id="857740276">
              <w:marLeft w:val="0"/>
              <w:marRight w:val="0"/>
              <w:marTop w:val="0"/>
              <w:marBottom w:val="0"/>
              <w:divBdr>
                <w:top w:val="none" w:sz="0" w:space="0" w:color="auto"/>
                <w:left w:val="none" w:sz="0" w:space="0" w:color="auto"/>
                <w:bottom w:val="none" w:sz="0" w:space="0" w:color="auto"/>
                <w:right w:val="none" w:sz="0" w:space="0" w:color="auto"/>
              </w:divBdr>
            </w:div>
            <w:div w:id="224100038">
              <w:marLeft w:val="0"/>
              <w:marRight w:val="0"/>
              <w:marTop w:val="0"/>
              <w:marBottom w:val="0"/>
              <w:divBdr>
                <w:top w:val="none" w:sz="0" w:space="0" w:color="auto"/>
                <w:left w:val="none" w:sz="0" w:space="0" w:color="auto"/>
                <w:bottom w:val="none" w:sz="0" w:space="0" w:color="auto"/>
                <w:right w:val="none" w:sz="0" w:space="0" w:color="auto"/>
              </w:divBdr>
            </w:div>
            <w:div w:id="525171614">
              <w:marLeft w:val="0"/>
              <w:marRight w:val="0"/>
              <w:marTop w:val="0"/>
              <w:marBottom w:val="0"/>
              <w:divBdr>
                <w:top w:val="none" w:sz="0" w:space="0" w:color="auto"/>
                <w:left w:val="none" w:sz="0" w:space="0" w:color="auto"/>
                <w:bottom w:val="none" w:sz="0" w:space="0" w:color="auto"/>
                <w:right w:val="none" w:sz="0" w:space="0" w:color="auto"/>
              </w:divBdr>
            </w:div>
            <w:div w:id="2044866012">
              <w:marLeft w:val="0"/>
              <w:marRight w:val="0"/>
              <w:marTop w:val="0"/>
              <w:marBottom w:val="0"/>
              <w:divBdr>
                <w:top w:val="none" w:sz="0" w:space="0" w:color="auto"/>
                <w:left w:val="none" w:sz="0" w:space="0" w:color="auto"/>
                <w:bottom w:val="none" w:sz="0" w:space="0" w:color="auto"/>
                <w:right w:val="none" w:sz="0" w:space="0" w:color="auto"/>
              </w:divBdr>
            </w:div>
            <w:div w:id="1699814344">
              <w:marLeft w:val="0"/>
              <w:marRight w:val="0"/>
              <w:marTop w:val="0"/>
              <w:marBottom w:val="0"/>
              <w:divBdr>
                <w:top w:val="none" w:sz="0" w:space="0" w:color="auto"/>
                <w:left w:val="none" w:sz="0" w:space="0" w:color="auto"/>
                <w:bottom w:val="none" w:sz="0" w:space="0" w:color="auto"/>
                <w:right w:val="none" w:sz="0" w:space="0" w:color="auto"/>
              </w:divBdr>
            </w:div>
            <w:div w:id="1472944883">
              <w:marLeft w:val="0"/>
              <w:marRight w:val="0"/>
              <w:marTop w:val="0"/>
              <w:marBottom w:val="0"/>
              <w:divBdr>
                <w:top w:val="none" w:sz="0" w:space="0" w:color="auto"/>
                <w:left w:val="none" w:sz="0" w:space="0" w:color="auto"/>
                <w:bottom w:val="none" w:sz="0" w:space="0" w:color="auto"/>
                <w:right w:val="none" w:sz="0" w:space="0" w:color="auto"/>
              </w:divBdr>
            </w:div>
            <w:div w:id="1071385525">
              <w:marLeft w:val="0"/>
              <w:marRight w:val="0"/>
              <w:marTop w:val="0"/>
              <w:marBottom w:val="0"/>
              <w:divBdr>
                <w:top w:val="none" w:sz="0" w:space="0" w:color="auto"/>
                <w:left w:val="none" w:sz="0" w:space="0" w:color="auto"/>
                <w:bottom w:val="none" w:sz="0" w:space="0" w:color="auto"/>
                <w:right w:val="none" w:sz="0" w:space="0" w:color="auto"/>
              </w:divBdr>
            </w:div>
            <w:div w:id="687414288">
              <w:marLeft w:val="0"/>
              <w:marRight w:val="0"/>
              <w:marTop w:val="0"/>
              <w:marBottom w:val="0"/>
              <w:divBdr>
                <w:top w:val="none" w:sz="0" w:space="0" w:color="auto"/>
                <w:left w:val="none" w:sz="0" w:space="0" w:color="auto"/>
                <w:bottom w:val="none" w:sz="0" w:space="0" w:color="auto"/>
                <w:right w:val="none" w:sz="0" w:space="0" w:color="auto"/>
              </w:divBdr>
            </w:div>
            <w:div w:id="335765124">
              <w:marLeft w:val="0"/>
              <w:marRight w:val="0"/>
              <w:marTop w:val="0"/>
              <w:marBottom w:val="0"/>
              <w:divBdr>
                <w:top w:val="none" w:sz="0" w:space="0" w:color="auto"/>
                <w:left w:val="none" w:sz="0" w:space="0" w:color="auto"/>
                <w:bottom w:val="none" w:sz="0" w:space="0" w:color="auto"/>
                <w:right w:val="none" w:sz="0" w:space="0" w:color="auto"/>
              </w:divBdr>
            </w:div>
            <w:div w:id="46998310">
              <w:marLeft w:val="0"/>
              <w:marRight w:val="0"/>
              <w:marTop w:val="0"/>
              <w:marBottom w:val="0"/>
              <w:divBdr>
                <w:top w:val="none" w:sz="0" w:space="0" w:color="auto"/>
                <w:left w:val="none" w:sz="0" w:space="0" w:color="auto"/>
                <w:bottom w:val="none" w:sz="0" w:space="0" w:color="auto"/>
                <w:right w:val="none" w:sz="0" w:space="0" w:color="auto"/>
              </w:divBdr>
            </w:div>
            <w:div w:id="238753857">
              <w:marLeft w:val="0"/>
              <w:marRight w:val="0"/>
              <w:marTop w:val="0"/>
              <w:marBottom w:val="0"/>
              <w:divBdr>
                <w:top w:val="none" w:sz="0" w:space="0" w:color="auto"/>
                <w:left w:val="none" w:sz="0" w:space="0" w:color="auto"/>
                <w:bottom w:val="none" w:sz="0" w:space="0" w:color="auto"/>
                <w:right w:val="none" w:sz="0" w:space="0" w:color="auto"/>
              </w:divBdr>
            </w:div>
            <w:div w:id="1944149862">
              <w:marLeft w:val="0"/>
              <w:marRight w:val="0"/>
              <w:marTop w:val="0"/>
              <w:marBottom w:val="0"/>
              <w:divBdr>
                <w:top w:val="none" w:sz="0" w:space="0" w:color="auto"/>
                <w:left w:val="none" w:sz="0" w:space="0" w:color="auto"/>
                <w:bottom w:val="none" w:sz="0" w:space="0" w:color="auto"/>
                <w:right w:val="none" w:sz="0" w:space="0" w:color="auto"/>
              </w:divBdr>
            </w:div>
            <w:div w:id="42798821">
              <w:marLeft w:val="0"/>
              <w:marRight w:val="0"/>
              <w:marTop w:val="0"/>
              <w:marBottom w:val="0"/>
              <w:divBdr>
                <w:top w:val="none" w:sz="0" w:space="0" w:color="auto"/>
                <w:left w:val="none" w:sz="0" w:space="0" w:color="auto"/>
                <w:bottom w:val="none" w:sz="0" w:space="0" w:color="auto"/>
                <w:right w:val="none" w:sz="0" w:space="0" w:color="auto"/>
              </w:divBdr>
            </w:div>
            <w:div w:id="1967546705">
              <w:marLeft w:val="0"/>
              <w:marRight w:val="0"/>
              <w:marTop w:val="0"/>
              <w:marBottom w:val="0"/>
              <w:divBdr>
                <w:top w:val="none" w:sz="0" w:space="0" w:color="auto"/>
                <w:left w:val="none" w:sz="0" w:space="0" w:color="auto"/>
                <w:bottom w:val="none" w:sz="0" w:space="0" w:color="auto"/>
                <w:right w:val="none" w:sz="0" w:space="0" w:color="auto"/>
              </w:divBdr>
            </w:div>
            <w:div w:id="262109916">
              <w:marLeft w:val="0"/>
              <w:marRight w:val="0"/>
              <w:marTop w:val="0"/>
              <w:marBottom w:val="0"/>
              <w:divBdr>
                <w:top w:val="none" w:sz="0" w:space="0" w:color="auto"/>
                <w:left w:val="none" w:sz="0" w:space="0" w:color="auto"/>
                <w:bottom w:val="none" w:sz="0" w:space="0" w:color="auto"/>
                <w:right w:val="none" w:sz="0" w:space="0" w:color="auto"/>
              </w:divBdr>
            </w:div>
            <w:div w:id="1712075539">
              <w:marLeft w:val="0"/>
              <w:marRight w:val="0"/>
              <w:marTop w:val="0"/>
              <w:marBottom w:val="0"/>
              <w:divBdr>
                <w:top w:val="none" w:sz="0" w:space="0" w:color="auto"/>
                <w:left w:val="none" w:sz="0" w:space="0" w:color="auto"/>
                <w:bottom w:val="none" w:sz="0" w:space="0" w:color="auto"/>
                <w:right w:val="none" w:sz="0" w:space="0" w:color="auto"/>
              </w:divBdr>
            </w:div>
            <w:div w:id="1702441419">
              <w:marLeft w:val="0"/>
              <w:marRight w:val="0"/>
              <w:marTop w:val="0"/>
              <w:marBottom w:val="0"/>
              <w:divBdr>
                <w:top w:val="none" w:sz="0" w:space="0" w:color="auto"/>
                <w:left w:val="none" w:sz="0" w:space="0" w:color="auto"/>
                <w:bottom w:val="none" w:sz="0" w:space="0" w:color="auto"/>
                <w:right w:val="none" w:sz="0" w:space="0" w:color="auto"/>
              </w:divBdr>
            </w:div>
            <w:div w:id="1525753797">
              <w:marLeft w:val="0"/>
              <w:marRight w:val="0"/>
              <w:marTop w:val="0"/>
              <w:marBottom w:val="0"/>
              <w:divBdr>
                <w:top w:val="none" w:sz="0" w:space="0" w:color="auto"/>
                <w:left w:val="none" w:sz="0" w:space="0" w:color="auto"/>
                <w:bottom w:val="none" w:sz="0" w:space="0" w:color="auto"/>
                <w:right w:val="none" w:sz="0" w:space="0" w:color="auto"/>
              </w:divBdr>
            </w:div>
            <w:div w:id="1358968930">
              <w:marLeft w:val="0"/>
              <w:marRight w:val="0"/>
              <w:marTop w:val="0"/>
              <w:marBottom w:val="0"/>
              <w:divBdr>
                <w:top w:val="none" w:sz="0" w:space="0" w:color="auto"/>
                <w:left w:val="none" w:sz="0" w:space="0" w:color="auto"/>
                <w:bottom w:val="none" w:sz="0" w:space="0" w:color="auto"/>
                <w:right w:val="none" w:sz="0" w:space="0" w:color="auto"/>
              </w:divBdr>
            </w:div>
            <w:div w:id="511727666">
              <w:marLeft w:val="0"/>
              <w:marRight w:val="0"/>
              <w:marTop w:val="0"/>
              <w:marBottom w:val="0"/>
              <w:divBdr>
                <w:top w:val="none" w:sz="0" w:space="0" w:color="auto"/>
                <w:left w:val="none" w:sz="0" w:space="0" w:color="auto"/>
                <w:bottom w:val="none" w:sz="0" w:space="0" w:color="auto"/>
                <w:right w:val="none" w:sz="0" w:space="0" w:color="auto"/>
              </w:divBdr>
            </w:div>
            <w:div w:id="380331201">
              <w:marLeft w:val="0"/>
              <w:marRight w:val="0"/>
              <w:marTop w:val="0"/>
              <w:marBottom w:val="0"/>
              <w:divBdr>
                <w:top w:val="none" w:sz="0" w:space="0" w:color="auto"/>
                <w:left w:val="none" w:sz="0" w:space="0" w:color="auto"/>
                <w:bottom w:val="none" w:sz="0" w:space="0" w:color="auto"/>
                <w:right w:val="none" w:sz="0" w:space="0" w:color="auto"/>
              </w:divBdr>
            </w:div>
            <w:div w:id="1875384030">
              <w:marLeft w:val="0"/>
              <w:marRight w:val="0"/>
              <w:marTop w:val="0"/>
              <w:marBottom w:val="0"/>
              <w:divBdr>
                <w:top w:val="none" w:sz="0" w:space="0" w:color="auto"/>
                <w:left w:val="none" w:sz="0" w:space="0" w:color="auto"/>
                <w:bottom w:val="none" w:sz="0" w:space="0" w:color="auto"/>
                <w:right w:val="none" w:sz="0" w:space="0" w:color="auto"/>
              </w:divBdr>
            </w:div>
            <w:div w:id="1422531772">
              <w:marLeft w:val="0"/>
              <w:marRight w:val="0"/>
              <w:marTop w:val="0"/>
              <w:marBottom w:val="0"/>
              <w:divBdr>
                <w:top w:val="none" w:sz="0" w:space="0" w:color="auto"/>
                <w:left w:val="none" w:sz="0" w:space="0" w:color="auto"/>
                <w:bottom w:val="none" w:sz="0" w:space="0" w:color="auto"/>
                <w:right w:val="none" w:sz="0" w:space="0" w:color="auto"/>
              </w:divBdr>
            </w:div>
            <w:div w:id="1822654090">
              <w:marLeft w:val="0"/>
              <w:marRight w:val="0"/>
              <w:marTop w:val="0"/>
              <w:marBottom w:val="0"/>
              <w:divBdr>
                <w:top w:val="none" w:sz="0" w:space="0" w:color="auto"/>
                <w:left w:val="none" w:sz="0" w:space="0" w:color="auto"/>
                <w:bottom w:val="none" w:sz="0" w:space="0" w:color="auto"/>
                <w:right w:val="none" w:sz="0" w:space="0" w:color="auto"/>
              </w:divBdr>
            </w:div>
            <w:div w:id="738020357">
              <w:marLeft w:val="0"/>
              <w:marRight w:val="0"/>
              <w:marTop w:val="0"/>
              <w:marBottom w:val="0"/>
              <w:divBdr>
                <w:top w:val="none" w:sz="0" w:space="0" w:color="auto"/>
                <w:left w:val="none" w:sz="0" w:space="0" w:color="auto"/>
                <w:bottom w:val="none" w:sz="0" w:space="0" w:color="auto"/>
                <w:right w:val="none" w:sz="0" w:space="0" w:color="auto"/>
              </w:divBdr>
            </w:div>
            <w:div w:id="53625468">
              <w:marLeft w:val="0"/>
              <w:marRight w:val="0"/>
              <w:marTop w:val="0"/>
              <w:marBottom w:val="0"/>
              <w:divBdr>
                <w:top w:val="none" w:sz="0" w:space="0" w:color="auto"/>
                <w:left w:val="none" w:sz="0" w:space="0" w:color="auto"/>
                <w:bottom w:val="none" w:sz="0" w:space="0" w:color="auto"/>
                <w:right w:val="none" w:sz="0" w:space="0" w:color="auto"/>
              </w:divBdr>
            </w:div>
            <w:div w:id="496924075">
              <w:marLeft w:val="0"/>
              <w:marRight w:val="0"/>
              <w:marTop w:val="0"/>
              <w:marBottom w:val="0"/>
              <w:divBdr>
                <w:top w:val="none" w:sz="0" w:space="0" w:color="auto"/>
                <w:left w:val="none" w:sz="0" w:space="0" w:color="auto"/>
                <w:bottom w:val="none" w:sz="0" w:space="0" w:color="auto"/>
                <w:right w:val="none" w:sz="0" w:space="0" w:color="auto"/>
              </w:divBdr>
            </w:div>
            <w:div w:id="1333335066">
              <w:marLeft w:val="0"/>
              <w:marRight w:val="0"/>
              <w:marTop w:val="0"/>
              <w:marBottom w:val="0"/>
              <w:divBdr>
                <w:top w:val="none" w:sz="0" w:space="0" w:color="auto"/>
                <w:left w:val="none" w:sz="0" w:space="0" w:color="auto"/>
                <w:bottom w:val="none" w:sz="0" w:space="0" w:color="auto"/>
                <w:right w:val="none" w:sz="0" w:space="0" w:color="auto"/>
              </w:divBdr>
            </w:div>
            <w:div w:id="889389930">
              <w:marLeft w:val="0"/>
              <w:marRight w:val="0"/>
              <w:marTop w:val="0"/>
              <w:marBottom w:val="0"/>
              <w:divBdr>
                <w:top w:val="none" w:sz="0" w:space="0" w:color="auto"/>
                <w:left w:val="none" w:sz="0" w:space="0" w:color="auto"/>
                <w:bottom w:val="none" w:sz="0" w:space="0" w:color="auto"/>
                <w:right w:val="none" w:sz="0" w:space="0" w:color="auto"/>
              </w:divBdr>
            </w:div>
            <w:div w:id="332993866">
              <w:marLeft w:val="0"/>
              <w:marRight w:val="0"/>
              <w:marTop w:val="0"/>
              <w:marBottom w:val="0"/>
              <w:divBdr>
                <w:top w:val="none" w:sz="0" w:space="0" w:color="auto"/>
                <w:left w:val="none" w:sz="0" w:space="0" w:color="auto"/>
                <w:bottom w:val="none" w:sz="0" w:space="0" w:color="auto"/>
                <w:right w:val="none" w:sz="0" w:space="0" w:color="auto"/>
              </w:divBdr>
            </w:div>
            <w:div w:id="1211695735">
              <w:marLeft w:val="0"/>
              <w:marRight w:val="0"/>
              <w:marTop w:val="0"/>
              <w:marBottom w:val="0"/>
              <w:divBdr>
                <w:top w:val="none" w:sz="0" w:space="0" w:color="auto"/>
                <w:left w:val="none" w:sz="0" w:space="0" w:color="auto"/>
                <w:bottom w:val="none" w:sz="0" w:space="0" w:color="auto"/>
                <w:right w:val="none" w:sz="0" w:space="0" w:color="auto"/>
              </w:divBdr>
            </w:div>
            <w:div w:id="256135403">
              <w:marLeft w:val="0"/>
              <w:marRight w:val="0"/>
              <w:marTop w:val="0"/>
              <w:marBottom w:val="0"/>
              <w:divBdr>
                <w:top w:val="none" w:sz="0" w:space="0" w:color="auto"/>
                <w:left w:val="none" w:sz="0" w:space="0" w:color="auto"/>
                <w:bottom w:val="none" w:sz="0" w:space="0" w:color="auto"/>
                <w:right w:val="none" w:sz="0" w:space="0" w:color="auto"/>
              </w:divBdr>
            </w:div>
            <w:div w:id="1589579776">
              <w:marLeft w:val="0"/>
              <w:marRight w:val="0"/>
              <w:marTop w:val="0"/>
              <w:marBottom w:val="0"/>
              <w:divBdr>
                <w:top w:val="none" w:sz="0" w:space="0" w:color="auto"/>
                <w:left w:val="none" w:sz="0" w:space="0" w:color="auto"/>
                <w:bottom w:val="none" w:sz="0" w:space="0" w:color="auto"/>
                <w:right w:val="none" w:sz="0" w:space="0" w:color="auto"/>
              </w:divBdr>
            </w:div>
            <w:div w:id="1239024964">
              <w:marLeft w:val="0"/>
              <w:marRight w:val="0"/>
              <w:marTop w:val="0"/>
              <w:marBottom w:val="0"/>
              <w:divBdr>
                <w:top w:val="none" w:sz="0" w:space="0" w:color="auto"/>
                <w:left w:val="none" w:sz="0" w:space="0" w:color="auto"/>
                <w:bottom w:val="none" w:sz="0" w:space="0" w:color="auto"/>
                <w:right w:val="none" w:sz="0" w:space="0" w:color="auto"/>
              </w:divBdr>
            </w:div>
            <w:div w:id="152138384">
              <w:marLeft w:val="0"/>
              <w:marRight w:val="0"/>
              <w:marTop w:val="0"/>
              <w:marBottom w:val="0"/>
              <w:divBdr>
                <w:top w:val="none" w:sz="0" w:space="0" w:color="auto"/>
                <w:left w:val="none" w:sz="0" w:space="0" w:color="auto"/>
                <w:bottom w:val="none" w:sz="0" w:space="0" w:color="auto"/>
                <w:right w:val="none" w:sz="0" w:space="0" w:color="auto"/>
              </w:divBdr>
            </w:div>
            <w:div w:id="646981319">
              <w:marLeft w:val="0"/>
              <w:marRight w:val="0"/>
              <w:marTop w:val="0"/>
              <w:marBottom w:val="0"/>
              <w:divBdr>
                <w:top w:val="none" w:sz="0" w:space="0" w:color="auto"/>
                <w:left w:val="none" w:sz="0" w:space="0" w:color="auto"/>
                <w:bottom w:val="none" w:sz="0" w:space="0" w:color="auto"/>
                <w:right w:val="none" w:sz="0" w:space="0" w:color="auto"/>
              </w:divBdr>
            </w:div>
            <w:div w:id="584847841">
              <w:marLeft w:val="0"/>
              <w:marRight w:val="0"/>
              <w:marTop w:val="0"/>
              <w:marBottom w:val="0"/>
              <w:divBdr>
                <w:top w:val="none" w:sz="0" w:space="0" w:color="auto"/>
                <w:left w:val="none" w:sz="0" w:space="0" w:color="auto"/>
                <w:bottom w:val="none" w:sz="0" w:space="0" w:color="auto"/>
                <w:right w:val="none" w:sz="0" w:space="0" w:color="auto"/>
              </w:divBdr>
            </w:div>
            <w:div w:id="1735932751">
              <w:marLeft w:val="0"/>
              <w:marRight w:val="0"/>
              <w:marTop w:val="0"/>
              <w:marBottom w:val="0"/>
              <w:divBdr>
                <w:top w:val="none" w:sz="0" w:space="0" w:color="auto"/>
                <w:left w:val="none" w:sz="0" w:space="0" w:color="auto"/>
                <w:bottom w:val="none" w:sz="0" w:space="0" w:color="auto"/>
                <w:right w:val="none" w:sz="0" w:space="0" w:color="auto"/>
              </w:divBdr>
            </w:div>
            <w:div w:id="1423910657">
              <w:marLeft w:val="0"/>
              <w:marRight w:val="0"/>
              <w:marTop w:val="0"/>
              <w:marBottom w:val="0"/>
              <w:divBdr>
                <w:top w:val="none" w:sz="0" w:space="0" w:color="auto"/>
                <w:left w:val="none" w:sz="0" w:space="0" w:color="auto"/>
                <w:bottom w:val="none" w:sz="0" w:space="0" w:color="auto"/>
                <w:right w:val="none" w:sz="0" w:space="0" w:color="auto"/>
              </w:divBdr>
            </w:div>
            <w:div w:id="1456871481">
              <w:marLeft w:val="0"/>
              <w:marRight w:val="0"/>
              <w:marTop w:val="0"/>
              <w:marBottom w:val="0"/>
              <w:divBdr>
                <w:top w:val="none" w:sz="0" w:space="0" w:color="auto"/>
                <w:left w:val="none" w:sz="0" w:space="0" w:color="auto"/>
                <w:bottom w:val="none" w:sz="0" w:space="0" w:color="auto"/>
                <w:right w:val="none" w:sz="0" w:space="0" w:color="auto"/>
              </w:divBdr>
            </w:div>
            <w:div w:id="1632206195">
              <w:marLeft w:val="0"/>
              <w:marRight w:val="0"/>
              <w:marTop w:val="0"/>
              <w:marBottom w:val="0"/>
              <w:divBdr>
                <w:top w:val="none" w:sz="0" w:space="0" w:color="auto"/>
                <w:left w:val="none" w:sz="0" w:space="0" w:color="auto"/>
                <w:bottom w:val="none" w:sz="0" w:space="0" w:color="auto"/>
                <w:right w:val="none" w:sz="0" w:space="0" w:color="auto"/>
              </w:divBdr>
            </w:div>
            <w:div w:id="1415124880">
              <w:marLeft w:val="0"/>
              <w:marRight w:val="0"/>
              <w:marTop w:val="0"/>
              <w:marBottom w:val="0"/>
              <w:divBdr>
                <w:top w:val="none" w:sz="0" w:space="0" w:color="auto"/>
                <w:left w:val="none" w:sz="0" w:space="0" w:color="auto"/>
                <w:bottom w:val="none" w:sz="0" w:space="0" w:color="auto"/>
                <w:right w:val="none" w:sz="0" w:space="0" w:color="auto"/>
              </w:divBdr>
            </w:div>
            <w:div w:id="204295002">
              <w:marLeft w:val="0"/>
              <w:marRight w:val="0"/>
              <w:marTop w:val="0"/>
              <w:marBottom w:val="0"/>
              <w:divBdr>
                <w:top w:val="none" w:sz="0" w:space="0" w:color="auto"/>
                <w:left w:val="none" w:sz="0" w:space="0" w:color="auto"/>
                <w:bottom w:val="none" w:sz="0" w:space="0" w:color="auto"/>
                <w:right w:val="none" w:sz="0" w:space="0" w:color="auto"/>
              </w:divBdr>
            </w:div>
            <w:div w:id="1383479505">
              <w:marLeft w:val="0"/>
              <w:marRight w:val="0"/>
              <w:marTop w:val="0"/>
              <w:marBottom w:val="0"/>
              <w:divBdr>
                <w:top w:val="none" w:sz="0" w:space="0" w:color="auto"/>
                <w:left w:val="none" w:sz="0" w:space="0" w:color="auto"/>
                <w:bottom w:val="none" w:sz="0" w:space="0" w:color="auto"/>
                <w:right w:val="none" w:sz="0" w:space="0" w:color="auto"/>
              </w:divBdr>
            </w:div>
            <w:div w:id="1314605904">
              <w:marLeft w:val="0"/>
              <w:marRight w:val="0"/>
              <w:marTop w:val="0"/>
              <w:marBottom w:val="0"/>
              <w:divBdr>
                <w:top w:val="none" w:sz="0" w:space="0" w:color="auto"/>
                <w:left w:val="none" w:sz="0" w:space="0" w:color="auto"/>
                <w:bottom w:val="none" w:sz="0" w:space="0" w:color="auto"/>
                <w:right w:val="none" w:sz="0" w:space="0" w:color="auto"/>
              </w:divBdr>
            </w:div>
            <w:div w:id="1229461755">
              <w:marLeft w:val="0"/>
              <w:marRight w:val="0"/>
              <w:marTop w:val="0"/>
              <w:marBottom w:val="0"/>
              <w:divBdr>
                <w:top w:val="none" w:sz="0" w:space="0" w:color="auto"/>
                <w:left w:val="none" w:sz="0" w:space="0" w:color="auto"/>
                <w:bottom w:val="none" w:sz="0" w:space="0" w:color="auto"/>
                <w:right w:val="none" w:sz="0" w:space="0" w:color="auto"/>
              </w:divBdr>
            </w:div>
            <w:div w:id="1646667583">
              <w:marLeft w:val="0"/>
              <w:marRight w:val="0"/>
              <w:marTop w:val="0"/>
              <w:marBottom w:val="0"/>
              <w:divBdr>
                <w:top w:val="none" w:sz="0" w:space="0" w:color="auto"/>
                <w:left w:val="none" w:sz="0" w:space="0" w:color="auto"/>
                <w:bottom w:val="none" w:sz="0" w:space="0" w:color="auto"/>
                <w:right w:val="none" w:sz="0" w:space="0" w:color="auto"/>
              </w:divBdr>
            </w:div>
            <w:div w:id="780107029">
              <w:marLeft w:val="0"/>
              <w:marRight w:val="0"/>
              <w:marTop w:val="0"/>
              <w:marBottom w:val="0"/>
              <w:divBdr>
                <w:top w:val="none" w:sz="0" w:space="0" w:color="auto"/>
                <w:left w:val="none" w:sz="0" w:space="0" w:color="auto"/>
                <w:bottom w:val="none" w:sz="0" w:space="0" w:color="auto"/>
                <w:right w:val="none" w:sz="0" w:space="0" w:color="auto"/>
              </w:divBdr>
            </w:div>
            <w:div w:id="1181122101">
              <w:marLeft w:val="0"/>
              <w:marRight w:val="0"/>
              <w:marTop w:val="0"/>
              <w:marBottom w:val="0"/>
              <w:divBdr>
                <w:top w:val="none" w:sz="0" w:space="0" w:color="auto"/>
                <w:left w:val="none" w:sz="0" w:space="0" w:color="auto"/>
                <w:bottom w:val="none" w:sz="0" w:space="0" w:color="auto"/>
                <w:right w:val="none" w:sz="0" w:space="0" w:color="auto"/>
              </w:divBdr>
            </w:div>
            <w:div w:id="1854878453">
              <w:marLeft w:val="0"/>
              <w:marRight w:val="0"/>
              <w:marTop w:val="0"/>
              <w:marBottom w:val="0"/>
              <w:divBdr>
                <w:top w:val="none" w:sz="0" w:space="0" w:color="auto"/>
                <w:left w:val="none" w:sz="0" w:space="0" w:color="auto"/>
                <w:bottom w:val="none" w:sz="0" w:space="0" w:color="auto"/>
                <w:right w:val="none" w:sz="0" w:space="0" w:color="auto"/>
              </w:divBdr>
            </w:div>
            <w:div w:id="111870707">
              <w:marLeft w:val="0"/>
              <w:marRight w:val="0"/>
              <w:marTop w:val="0"/>
              <w:marBottom w:val="0"/>
              <w:divBdr>
                <w:top w:val="none" w:sz="0" w:space="0" w:color="auto"/>
                <w:left w:val="none" w:sz="0" w:space="0" w:color="auto"/>
                <w:bottom w:val="none" w:sz="0" w:space="0" w:color="auto"/>
                <w:right w:val="none" w:sz="0" w:space="0" w:color="auto"/>
              </w:divBdr>
            </w:div>
            <w:div w:id="691688250">
              <w:marLeft w:val="0"/>
              <w:marRight w:val="0"/>
              <w:marTop w:val="0"/>
              <w:marBottom w:val="0"/>
              <w:divBdr>
                <w:top w:val="none" w:sz="0" w:space="0" w:color="auto"/>
                <w:left w:val="none" w:sz="0" w:space="0" w:color="auto"/>
                <w:bottom w:val="none" w:sz="0" w:space="0" w:color="auto"/>
                <w:right w:val="none" w:sz="0" w:space="0" w:color="auto"/>
              </w:divBdr>
            </w:div>
            <w:div w:id="1937715943">
              <w:marLeft w:val="0"/>
              <w:marRight w:val="0"/>
              <w:marTop w:val="0"/>
              <w:marBottom w:val="0"/>
              <w:divBdr>
                <w:top w:val="none" w:sz="0" w:space="0" w:color="auto"/>
                <w:left w:val="none" w:sz="0" w:space="0" w:color="auto"/>
                <w:bottom w:val="none" w:sz="0" w:space="0" w:color="auto"/>
                <w:right w:val="none" w:sz="0" w:space="0" w:color="auto"/>
              </w:divBdr>
            </w:div>
            <w:div w:id="1834641925">
              <w:marLeft w:val="0"/>
              <w:marRight w:val="0"/>
              <w:marTop w:val="0"/>
              <w:marBottom w:val="0"/>
              <w:divBdr>
                <w:top w:val="none" w:sz="0" w:space="0" w:color="auto"/>
                <w:left w:val="none" w:sz="0" w:space="0" w:color="auto"/>
                <w:bottom w:val="none" w:sz="0" w:space="0" w:color="auto"/>
                <w:right w:val="none" w:sz="0" w:space="0" w:color="auto"/>
              </w:divBdr>
            </w:div>
            <w:div w:id="1938050434">
              <w:marLeft w:val="0"/>
              <w:marRight w:val="0"/>
              <w:marTop w:val="0"/>
              <w:marBottom w:val="0"/>
              <w:divBdr>
                <w:top w:val="none" w:sz="0" w:space="0" w:color="auto"/>
                <w:left w:val="none" w:sz="0" w:space="0" w:color="auto"/>
                <w:bottom w:val="none" w:sz="0" w:space="0" w:color="auto"/>
                <w:right w:val="none" w:sz="0" w:space="0" w:color="auto"/>
              </w:divBdr>
            </w:div>
            <w:div w:id="59864106">
              <w:marLeft w:val="0"/>
              <w:marRight w:val="0"/>
              <w:marTop w:val="0"/>
              <w:marBottom w:val="0"/>
              <w:divBdr>
                <w:top w:val="none" w:sz="0" w:space="0" w:color="auto"/>
                <w:left w:val="none" w:sz="0" w:space="0" w:color="auto"/>
                <w:bottom w:val="none" w:sz="0" w:space="0" w:color="auto"/>
                <w:right w:val="none" w:sz="0" w:space="0" w:color="auto"/>
              </w:divBdr>
            </w:div>
            <w:div w:id="373818852">
              <w:marLeft w:val="0"/>
              <w:marRight w:val="0"/>
              <w:marTop w:val="0"/>
              <w:marBottom w:val="0"/>
              <w:divBdr>
                <w:top w:val="none" w:sz="0" w:space="0" w:color="auto"/>
                <w:left w:val="none" w:sz="0" w:space="0" w:color="auto"/>
                <w:bottom w:val="none" w:sz="0" w:space="0" w:color="auto"/>
                <w:right w:val="none" w:sz="0" w:space="0" w:color="auto"/>
              </w:divBdr>
            </w:div>
            <w:div w:id="1969511367">
              <w:marLeft w:val="0"/>
              <w:marRight w:val="0"/>
              <w:marTop w:val="0"/>
              <w:marBottom w:val="0"/>
              <w:divBdr>
                <w:top w:val="none" w:sz="0" w:space="0" w:color="auto"/>
                <w:left w:val="none" w:sz="0" w:space="0" w:color="auto"/>
                <w:bottom w:val="none" w:sz="0" w:space="0" w:color="auto"/>
                <w:right w:val="none" w:sz="0" w:space="0" w:color="auto"/>
              </w:divBdr>
            </w:div>
            <w:div w:id="2030334951">
              <w:marLeft w:val="0"/>
              <w:marRight w:val="0"/>
              <w:marTop w:val="0"/>
              <w:marBottom w:val="0"/>
              <w:divBdr>
                <w:top w:val="none" w:sz="0" w:space="0" w:color="auto"/>
                <w:left w:val="none" w:sz="0" w:space="0" w:color="auto"/>
                <w:bottom w:val="none" w:sz="0" w:space="0" w:color="auto"/>
                <w:right w:val="none" w:sz="0" w:space="0" w:color="auto"/>
              </w:divBdr>
            </w:div>
            <w:div w:id="523055267">
              <w:marLeft w:val="0"/>
              <w:marRight w:val="0"/>
              <w:marTop w:val="0"/>
              <w:marBottom w:val="0"/>
              <w:divBdr>
                <w:top w:val="none" w:sz="0" w:space="0" w:color="auto"/>
                <w:left w:val="none" w:sz="0" w:space="0" w:color="auto"/>
                <w:bottom w:val="none" w:sz="0" w:space="0" w:color="auto"/>
                <w:right w:val="none" w:sz="0" w:space="0" w:color="auto"/>
              </w:divBdr>
            </w:div>
            <w:div w:id="15666212">
              <w:marLeft w:val="0"/>
              <w:marRight w:val="0"/>
              <w:marTop w:val="0"/>
              <w:marBottom w:val="0"/>
              <w:divBdr>
                <w:top w:val="none" w:sz="0" w:space="0" w:color="auto"/>
                <w:left w:val="none" w:sz="0" w:space="0" w:color="auto"/>
                <w:bottom w:val="none" w:sz="0" w:space="0" w:color="auto"/>
                <w:right w:val="none" w:sz="0" w:space="0" w:color="auto"/>
              </w:divBdr>
            </w:div>
            <w:div w:id="1418595409">
              <w:marLeft w:val="0"/>
              <w:marRight w:val="0"/>
              <w:marTop w:val="0"/>
              <w:marBottom w:val="0"/>
              <w:divBdr>
                <w:top w:val="none" w:sz="0" w:space="0" w:color="auto"/>
                <w:left w:val="none" w:sz="0" w:space="0" w:color="auto"/>
                <w:bottom w:val="none" w:sz="0" w:space="0" w:color="auto"/>
                <w:right w:val="none" w:sz="0" w:space="0" w:color="auto"/>
              </w:divBdr>
            </w:div>
            <w:div w:id="471556674">
              <w:marLeft w:val="0"/>
              <w:marRight w:val="0"/>
              <w:marTop w:val="0"/>
              <w:marBottom w:val="0"/>
              <w:divBdr>
                <w:top w:val="none" w:sz="0" w:space="0" w:color="auto"/>
                <w:left w:val="none" w:sz="0" w:space="0" w:color="auto"/>
                <w:bottom w:val="none" w:sz="0" w:space="0" w:color="auto"/>
                <w:right w:val="none" w:sz="0" w:space="0" w:color="auto"/>
              </w:divBdr>
            </w:div>
            <w:div w:id="294412951">
              <w:marLeft w:val="0"/>
              <w:marRight w:val="0"/>
              <w:marTop w:val="0"/>
              <w:marBottom w:val="0"/>
              <w:divBdr>
                <w:top w:val="none" w:sz="0" w:space="0" w:color="auto"/>
                <w:left w:val="none" w:sz="0" w:space="0" w:color="auto"/>
                <w:bottom w:val="none" w:sz="0" w:space="0" w:color="auto"/>
                <w:right w:val="none" w:sz="0" w:space="0" w:color="auto"/>
              </w:divBdr>
            </w:div>
            <w:div w:id="1340549080">
              <w:marLeft w:val="0"/>
              <w:marRight w:val="0"/>
              <w:marTop w:val="0"/>
              <w:marBottom w:val="0"/>
              <w:divBdr>
                <w:top w:val="none" w:sz="0" w:space="0" w:color="auto"/>
                <w:left w:val="none" w:sz="0" w:space="0" w:color="auto"/>
                <w:bottom w:val="none" w:sz="0" w:space="0" w:color="auto"/>
                <w:right w:val="none" w:sz="0" w:space="0" w:color="auto"/>
              </w:divBdr>
            </w:div>
            <w:div w:id="547573224">
              <w:marLeft w:val="0"/>
              <w:marRight w:val="0"/>
              <w:marTop w:val="0"/>
              <w:marBottom w:val="0"/>
              <w:divBdr>
                <w:top w:val="none" w:sz="0" w:space="0" w:color="auto"/>
                <w:left w:val="none" w:sz="0" w:space="0" w:color="auto"/>
                <w:bottom w:val="none" w:sz="0" w:space="0" w:color="auto"/>
                <w:right w:val="none" w:sz="0" w:space="0" w:color="auto"/>
              </w:divBdr>
            </w:div>
            <w:div w:id="1761022925">
              <w:marLeft w:val="0"/>
              <w:marRight w:val="0"/>
              <w:marTop w:val="0"/>
              <w:marBottom w:val="0"/>
              <w:divBdr>
                <w:top w:val="none" w:sz="0" w:space="0" w:color="auto"/>
                <w:left w:val="none" w:sz="0" w:space="0" w:color="auto"/>
                <w:bottom w:val="none" w:sz="0" w:space="0" w:color="auto"/>
                <w:right w:val="none" w:sz="0" w:space="0" w:color="auto"/>
              </w:divBdr>
            </w:div>
            <w:div w:id="933132558">
              <w:marLeft w:val="0"/>
              <w:marRight w:val="0"/>
              <w:marTop w:val="0"/>
              <w:marBottom w:val="0"/>
              <w:divBdr>
                <w:top w:val="none" w:sz="0" w:space="0" w:color="auto"/>
                <w:left w:val="none" w:sz="0" w:space="0" w:color="auto"/>
                <w:bottom w:val="none" w:sz="0" w:space="0" w:color="auto"/>
                <w:right w:val="none" w:sz="0" w:space="0" w:color="auto"/>
              </w:divBdr>
            </w:div>
            <w:div w:id="1151290062">
              <w:marLeft w:val="0"/>
              <w:marRight w:val="0"/>
              <w:marTop w:val="0"/>
              <w:marBottom w:val="0"/>
              <w:divBdr>
                <w:top w:val="none" w:sz="0" w:space="0" w:color="auto"/>
                <w:left w:val="none" w:sz="0" w:space="0" w:color="auto"/>
                <w:bottom w:val="none" w:sz="0" w:space="0" w:color="auto"/>
                <w:right w:val="none" w:sz="0" w:space="0" w:color="auto"/>
              </w:divBdr>
            </w:div>
            <w:div w:id="1436095991">
              <w:marLeft w:val="0"/>
              <w:marRight w:val="0"/>
              <w:marTop w:val="0"/>
              <w:marBottom w:val="0"/>
              <w:divBdr>
                <w:top w:val="none" w:sz="0" w:space="0" w:color="auto"/>
                <w:left w:val="none" w:sz="0" w:space="0" w:color="auto"/>
                <w:bottom w:val="none" w:sz="0" w:space="0" w:color="auto"/>
                <w:right w:val="none" w:sz="0" w:space="0" w:color="auto"/>
              </w:divBdr>
            </w:div>
            <w:div w:id="1131705811">
              <w:marLeft w:val="0"/>
              <w:marRight w:val="0"/>
              <w:marTop w:val="0"/>
              <w:marBottom w:val="0"/>
              <w:divBdr>
                <w:top w:val="none" w:sz="0" w:space="0" w:color="auto"/>
                <w:left w:val="none" w:sz="0" w:space="0" w:color="auto"/>
                <w:bottom w:val="none" w:sz="0" w:space="0" w:color="auto"/>
                <w:right w:val="none" w:sz="0" w:space="0" w:color="auto"/>
              </w:divBdr>
            </w:div>
            <w:div w:id="1009990298">
              <w:marLeft w:val="0"/>
              <w:marRight w:val="0"/>
              <w:marTop w:val="0"/>
              <w:marBottom w:val="0"/>
              <w:divBdr>
                <w:top w:val="none" w:sz="0" w:space="0" w:color="auto"/>
                <w:left w:val="none" w:sz="0" w:space="0" w:color="auto"/>
                <w:bottom w:val="none" w:sz="0" w:space="0" w:color="auto"/>
                <w:right w:val="none" w:sz="0" w:space="0" w:color="auto"/>
              </w:divBdr>
            </w:div>
            <w:div w:id="811558750">
              <w:marLeft w:val="0"/>
              <w:marRight w:val="0"/>
              <w:marTop w:val="0"/>
              <w:marBottom w:val="0"/>
              <w:divBdr>
                <w:top w:val="none" w:sz="0" w:space="0" w:color="auto"/>
                <w:left w:val="none" w:sz="0" w:space="0" w:color="auto"/>
                <w:bottom w:val="none" w:sz="0" w:space="0" w:color="auto"/>
                <w:right w:val="none" w:sz="0" w:space="0" w:color="auto"/>
              </w:divBdr>
            </w:div>
            <w:div w:id="886842620">
              <w:marLeft w:val="0"/>
              <w:marRight w:val="0"/>
              <w:marTop w:val="0"/>
              <w:marBottom w:val="0"/>
              <w:divBdr>
                <w:top w:val="none" w:sz="0" w:space="0" w:color="auto"/>
                <w:left w:val="none" w:sz="0" w:space="0" w:color="auto"/>
                <w:bottom w:val="none" w:sz="0" w:space="0" w:color="auto"/>
                <w:right w:val="none" w:sz="0" w:space="0" w:color="auto"/>
              </w:divBdr>
            </w:div>
            <w:div w:id="1735542339">
              <w:marLeft w:val="0"/>
              <w:marRight w:val="0"/>
              <w:marTop w:val="0"/>
              <w:marBottom w:val="0"/>
              <w:divBdr>
                <w:top w:val="none" w:sz="0" w:space="0" w:color="auto"/>
                <w:left w:val="none" w:sz="0" w:space="0" w:color="auto"/>
                <w:bottom w:val="none" w:sz="0" w:space="0" w:color="auto"/>
                <w:right w:val="none" w:sz="0" w:space="0" w:color="auto"/>
              </w:divBdr>
            </w:div>
            <w:div w:id="665746822">
              <w:marLeft w:val="0"/>
              <w:marRight w:val="0"/>
              <w:marTop w:val="0"/>
              <w:marBottom w:val="0"/>
              <w:divBdr>
                <w:top w:val="none" w:sz="0" w:space="0" w:color="auto"/>
                <w:left w:val="none" w:sz="0" w:space="0" w:color="auto"/>
                <w:bottom w:val="none" w:sz="0" w:space="0" w:color="auto"/>
                <w:right w:val="none" w:sz="0" w:space="0" w:color="auto"/>
              </w:divBdr>
            </w:div>
            <w:div w:id="438531917">
              <w:marLeft w:val="0"/>
              <w:marRight w:val="0"/>
              <w:marTop w:val="0"/>
              <w:marBottom w:val="0"/>
              <w:divBdr>
                <w:top w:val="none" w:sz="0" w:space="0" w:color="auto"/>
                <w:left w:val="none" w:sz="0" w:space="0" w:color="auto"/>
                <w:bottom w:val="none" w:sz="0" w:space="0" w:color="auto"/>
                <w:right w:val="none" w:sz="0" w:space="0" w:color="auto"/>
              </w:divBdr>
            </w:div>
            <w:div w:id="56513509">
              <w:marLeft w:val="0"/>
              <w:marRight w:val="0"/>
              <w:marTop w:val="0"/>
              <w:marBottom w:val="0"/>
              <w:divBdr>
                <w:top w:val="none" w:sz="0" w:space="0" w:color="auto"/>
                <w:left w:val="none" w:sz="0" w:space="0" w:color="auto"/>
                <w:bottom w:val="none" w:sz="0" w:space="0" w:color="auto"/>
                <w:right w:val="none" w:sz="0" w:space="0" w:color="auto"/>
              </w:divBdr>
            </w:div>
            <w:div w:id="584529905">
              <w:marLeft w:val="0"/>
              <w:marRight w:val="0"/>
              <w:marTop w:val="0"/>
              <w:marBottom w:val="0"/>
              <w:divBdr>
                <w:top w:val="none" w:sz="0" w:space="0" w:color="auto"/>
                <w:left w:val="none" w:sz="0" w:space="0" w:color="auto"/>
                <w:bottom w:val="none" w:sz="0" w:space="0" w:color="auto"/>
                <w:right w:val="none" w:sz="0" w:space="0" w:color="auto"/>
              </w:divBdr>
            </w:div>
            <w:div w:id="771321946">
              <w:marLeft w:val="0"/>
              <w:marRight w:val="0"/>
              <w:marTop w:val="0"/>
              <w:marBottom w:val="0"/>
              <w:divBdr>
                <w:top w:val="none" w:sz="0" w:space="0" w:color="auto"/>
                <w:left w:val="none" w:sz="0" w:space="0" w:color="auto"/>
                <w:bottom w:val="none" w:sz="0" w:space="0" w:color="auto"/>
                <w:right w:val="none" w:sz="0" w:space="0" w:color="auto"/>
              </w:divBdr>
            </w:div>
            <w:div w:id="1315989841">
              <w:marLeft w:val="0"/>
              <w:marRight w:val="0"/>
              <w:marTop w:val="0"/>
              <w:marBottom w:val="0"/>
              <w:divBdr>
                <w:top w:val="none" w:sz="0" w:space="0" w:color="auto"/>
                <w:left w:val="none" w:sz="0" w:space="0" w:color="auto"/>
                <w:bottom w:val="none" w:sz="0" w:space="0" w:color="auto"/>
                <w:right w:val="none" w:sz="0" w:space="0" w:color="auto"/>
              </w:divBdr>
            </w:div>
            <w:div w:id="1648240557">
              <w:marLeft w:val="0"/>
              <w:marRight w:val="0"/>
              <w:marTop w:val="0"/>
              <w:marBottom w:val="0"/>
              <w:divBdr>
                <w:top w:val="none" w:sz="0" w:space="0" w:color="auto"/>
                <w:left w:val="none" w:sz="0" w:space="0" w:color="auto"/>
                <w:bottom w:val="none" w:sz="0" w:space="0" w:color="auto"/>
                <w:right w:val="none" w:sz="0" w:space="0" w:color="auto"/>
              </w:divBdr>
            </w:div>
            <w:div w:id="756245073">
              <w:marLeft w:val="0"/>
              <w:marRight w:val="0"/>
              <w:marTop w:val="0"/>
              <w:marBottom w:val="0"/>
              <w:divBdr>
                <w:top w:val="none" w:sz="0" w:space="0" w:color="auto"/>
                <w:left w:val="none" w:sz="0" w:space="0" w:color="auto"/>
                <w:bottom w:val="none" w:sz="0" w:space="0" w:color="auto"/>
                <w:right w:val="none" w:sz="0" w:space="0" w:color="auto"/>
              </w:divBdr>
            </w:div>
            <w:div w:id="1796875466">
              <w:marLeft w:val="0"/>
              <w:marRight w:val="0"/>
              <w:marTop w:val="0"/>
              <w:marBottom w:val="0"/>
              <w:divBdr>
                <w:top w:val="none" w:sz="0" w:space="0" w:color="auto"/>
                <w:left w:val="none" w:sz="0" w:space="0" w:color="auto"/>
                <w:bottom w:val="none" w:sz="0" w:space="0" w:color="auto"/>
                <w:right w:val="none" w:sz="0" w:space="0" w:color="auto"/>
              </w:divBdr>
            </w:div>
            <w:div w:id="2001421645">
              <w:marLeft w:val="0"/>
              <w:marRight w:val="0"/>
              <w:marTop w:val="0"/>
              <w:marBottom w:val="0"/>
              <w:divBdr>
                <w:top w:val="none" w:sz="0" w:space="0" w:color="auto"/>
                <w:left w:val="none" w:sz="0" w:space="0" w:color="auto"/>
                <w:bottom w:val="none" w:sz="0" w:space="0" w:color="auto"/>
                <w:right w:val="none" w:sz="0" w:space="0" w:color="auto"/>
              </w:divBdr>
            </w:div>
            <w:div w:id="703334064">
              <w:marLeft w:val="0"/>
              <w:marRight w:val="0"/>
              <w:marTop w:val="0"/>
              <w:marBottom w:val="0"/>
              <w:divBdr>
                <w:top w:val="none" w:sz="0" w:space="0" w:color="auto"/>
                <w:left w:val="none" w:sz="0" w:space="0" w:color="auto"/>
                <w:bottom w:val="none" w:sz="0" w:space="0" w:color="auto"/>
                <w:right w:val="none" w:sz="0" w:space="0" w:color="auto"/>
              </w:divBdr>
            </w:div>
            <w:div w:id="305477508">
              <w:marLeft w:val="0"/>
              <w:marRight w:val="0"/>
              <w:marTop w:val="0"/>
              <w:marBottom w:val="0"/>
              <w:divBdr>
                <w:top w:val="none" w:sz="0" w:space="0" w:color="auto"/>
                <w:left w:val="none" w:sz="0" w:space="0" w:color="auto"/>
                <w:bottom w:val="none" w:sz="0" w:space="0" w:color="auto"/>
                <w:right w:val="none" w:sz="0" w:space="0" w:color="auto"/>
              </w:divBdr>
            </w:div>
            <w:div w:id="1817335744">
              <w:marLeft w:val="0"/>
              <w:marRight w:val="0"/>
              <w:marTop w:val="0"/>
              <w:marBottom w:val="0"/>
              <w:divBdr>
                <w:top w:val="none" w:sz="0" w:space="0" w:color="auto"/>
                <w:left w:val="none" w:sz="0" w:space="0" w:color="auto"/>
                <w:bottom w:val="none" w:sz="0" w:space="0" w:color="auto"/>
                <w:right w:val="none" w:sz="0" w:space="0" w:color="auto"/>
              </w:divBdr>
            </w:div>
            <w:div w:id="167403977">
              <w:marLeft w:val="0"/>
              <w:marRight w:val="0"/>
              <w:marTop w:val="0"/>
              <w:marBottom w:val="0"/>
              <w:divBdr>
                <w:top w:val="none" w:sz="0" w:space="0" w:color="auto"/>
                <w:left w:val="none" w:sz="0" w:space="0" w:color="auto"/>
                <w:bottom w:val="none" w:sz="0" w:space="0" w:color="auto"/>
                <w:right w:val="none" w:sz="0" w:space="0" w:color="auto"/>
              </w:divBdr>
            </w:div>
            <w:div w:id="1987854653">
              <w:marLeft w:val="0"/>
              <w:marRight w:val="0"/>
              <w:marTop w:val="0"/>
              <w:marBottom w:val="0"/>
              <w:divBdr>
                <w:top w:val="none" w:sz="0" w:space="0" w:color="auto"/>
                <w:left w:val="none" w:sz="0" w:space="0" w:color="auto"/>
                <w:bottom w:val="none" w:sz="0" w:space="0" w:color="auto"/>
                <w:right w:val="none" w:sz="0" w:space="0" w:color="auto"/>
              </w:divBdr>
            </w:div>
            <w:div w:id="1843885782">
              <w:marLeft w:val="0"/>
              <w:marRight w:val="0"/>
              <w:marTop w:val="0"/>
              <w:marBottom w:val="0"/>
              <w:divBdr>
                <w:top w:val="none" w:sz="0" w:space="0" w:color="auto"/>
                <w:left w:val="none" w:sz="0" w:space="0" w:color="auto"/>
                <w:bottom w:val="none" w:sz="0" w:space="0" w:color="auto"/>
                <w:right w:val="none" w:sz="0" w:space="0" w:color="auto"/>
              </w:divBdr>
            </w:div>
            <w:div w:id="773981295">
              <w:marLeft w:val="0"/>
              <w:marRight w:val="0"/>
              <w:marTop w:val="0"/>
              <w:marBottom w:val="0"/>
              <w:divBdr>
                <w:top w:val="none" w:sz="0" w:space="0" w:color="auto"/>
                <w:left w:val="none" w:sz="0" w:space="0" w:color="auto"/>
                <w:bottom w:val="none" w:sz="0" w:space="0" w:color="auto"/>
                <w:right w:val="none" w:sz="0" w:space="0" w:color="auto"/>
              </w:divBdr>
            </w:div>
            <w:div w:id="710810397">
              <w:marLeft w:val="0"/>
              <w:marRight w:val="0"/>
              <w:marTop w:val="0"/>
              <w:marBottom w:val="0"/>
              <w:divBdr>
                <w:top w:val="none" w:sz="0" w:space="0" w:color="auto"/>
                <w:left w:val="none" w:sz="0" w:space="0" w:color="auto"/>
                <w:bottom w:val="none" w:sz="0" w:space="0" w:color="auto"/>
                <w:right w:val="none" w:sz="0" w:space="0" w:color="auto"/>
              </w:divBdr>
            </w:div>
            <w:div w:id="1038361297">
              <w:marLeft w:val="0"/>
              <w:marRight w:val="0"/>
              <w:marTop w:val="0"/>
              <w:marBottom w:val="0"/>
              <w:divBdr>
                <w:top w:val="none" w:sz="0" w:space="0" w:color="auto"/>
                <w:left w:val="none" w:sz="0" w:space="0" w:color="auto"/>
                <w:bottom w:val="none" w:sz="0" w:space="0" w:color="auto"/>
                <w:right w:val="none" w:sz="0" w:space="0" w:color="auto"/>
              </w:divBdr>
            </w:div>
            <w:div w:id="738745551">
              <w:marLeft w:val="0"/>
              <w:marRight w:val="0"/>
              <w:marTop w:val="0"/>
              <w:marBottom w:val="0"/>
              <w:divBdr>
                <w:top w:val="none" w:sz="0" w:space="0" w:color="auto"/>
                <w:left w:val="none" w:sz="0" w:space="0" w:color="auto"/>
                <w:bottom w:val="none" w:sz="0" w:space="0" w:color="auto"/>
                <w:right w:val="none" w:sz="0" w:space="0" w:color="auto"/>
              </w:divBdr>
            </w:div>
            <w:div w:id="80298749">
              <w:marLeft w:val="0"/>
              <w:marRight w:val="0"/>
              <w:marTop w:val="0"/>
              <w:marBottom w:val="0"/>
              <w:divBdr>
                <w:top w:val="none" w:sz="0" w:space="0" w:color="auto"/>
                <w:left w:val="none" w:sz="0" w:space="0" w:color="auto"/>
                <w:bottom w:val="none" w:sz="0" w:space="0" w:color="auto"/>
                <w:right w:val="none" w:sz="0" w:space="0" w:color="auto"/>
              </w:divBdr>
            </w:div>
            <w:div w:id="2080974898">
              <w:marLeft w:val="0"/>
              <w:marRight w:val="0"/>
              <w:marTop w:val="0"/>
              <w:marBottom w:val="0"/>
              <w:divBdr>
                <w:top w:val="none" w:sz="0" w:space="0" w:color="auto"/>
                <w:left w:val="none" w:sz="0" w:space="0" w:color="auto"/>
                <w:bottom w:val="none" w:sz="0" w:space="0" w:color="auto"/>
                <w:right w:val="none" w:sz="0" w:space="0" w:color="auto"/>
              </w:divBdr>
            </w:div>
            <w:div w:id="695159298">
              <w:marLeft w:val="0"/>
              <w:marRight w:val="0"/>
              <w:marTop w:val="0"/>
              <w:marBottom w:val="0"/>
              <w:divBdr>
                <w:top w:val="none" w:sz="0" w:space="0" w:color="auto"/>
                <w:left w:val="none" w:sz="0" w:space="0" w:color="auto"/>
                <w:bottom w:val="none" w:sz="0" w:space="0" w:color="auto"/>
                <w:right w:val="none" w:sz="0" w:space="0" w:color="auto"/>
              </w:divBdr>
            </w:div>
            <w:div w:id="971061226">
              <w:marLeft w:val="0"/>
              <w:marRight w:val="0"/>
              <w:marTop w:val="0"/>
              <w:marBottom w:val="0"/>
              <w:divBdr>
                <w:top w:val="none" w:sz="0" w:space="0" w:color="auto"/>
                <w:left w:val="none" w:sz="0" w:space="0" w:color="auto"/>
                <w:bottom w:val="none" w:sz="0" w:space="0" w:color="auto"/>
                <w:right w:val="none" w:sz="0" w:space="0" w:color="auto"/>
              </w:divBdr>
            </w:div>
            <w:div w:id="815294268">
              <w:marLeft w:val="0"/>
              <w:marRight w:val="0"/>
              <w:marTop w:val="0"/>
              <w:marBottom w:val="0"/>
              <w:divBdr>
                <w:top w:val="none" w:sz="0" w:space="0" w:color="auto"/>
                <w:left w:val="none" w:sz="0" w:space="0" w:color="auto"/>
                <w:bottom w:val="none" w:sz="0" w:space="0" w:color="auto"/>
                <w:right w:val="none" w:sz="0" w:space="0" w:color="auto"/>
              </w:divBdr>
            </w:div>
            <w:div w:id="235163356">
              <w:marLeft w:val="0"/>
              <w:marRight w:val="0"/>
              <w:marTop w:val="0"/>
              <w:marBottom w:val="0"/>
              <w:divBdr>
                <w:top w:val="none" w:sz="0" w:space="0" w:color="auto"/>
                <w:left w:val="none" w:sz="0" w:space="0" w:color="auto"/>
                <w:bottom w:val="none" w:sz="0" w:space="0" w:color="auto"/>
                <w:right w:val="none" w:sz="0" w:space="0" w:color="auto"/>
              </w:divBdr>
            </w:div>
            <w:div w:id="1858344531">
              <w:marLeft w:val="0"/>
              <w:marRight w:val="0"/>
              <w:marTop w:val="0"/>
              <w:marBottom w:val="0"/>
              <w:divBdr>
                <w:top w:val="none" w:sz="0" w:space="0" w:color="auto"/>
                <w:left w:val="none" w:sz="0" w:space="0" w:color="auto"/>
                <w:bottom w:val="none" w:sz="0" w:space="0" w:color="auto"/>
                <w:right w:val="none" w:sz="0" w:space="0" w:color="auto"/>
              </w:divBdr>
            </w:div>
            <w:div w:id="1979416158">
              <w:marLeft w:val="0"/>
              <w:marRight w:val="0"/>
              <w:marTop w:val="0"/>
              <w:marBottom w:val="0"/>
              <w:divBdr>
                <w:top w:val="none" w:sz="0" w:space="0" w:color="auto"/>
                <w:left w:val="none" w:sz="0" w:space="0" w:color="auto"/>
                <w:bottom w:val="none" w:sz="0" w:space="0" w:color="auto"/>
                <w:right w:val="none" w:sz="0" w:space="0" w:color="auto"/>
              </w:divBdr>
            </w:div>
            <w:div w:id="2080516052">
              <w:marLeft w:val="0"/>
              <w:marRight w:val="0"/>
              <w:marTop w:val="0"/>
              <w:marBottom w:val="0"/>
              <w:divBdr>
                <w:top w:val="none" w:sz="0" w:space="0" w:color="auto"/>
                <w:left w:val="none" w:sz="0" w:space="0" w:color="auto"/>
                <w:bottom w:val="none" w:sz="0" w:space="0" w:color="auto"/>
                <w:right w:val="none" w:sz="0" w:space="0" w:color="auto"/>
              </w:divBdr>
            </w:div>
            <w:div w:id="231429868">
              <w:marLeft w:val="0"/>
              <w:marRight w:val="0"/>
              <w:marTop w:val="0"/>
              <w:marBottom w:val="0"/>
              <w:divBdr>
                <w:top w:val="none" w:sz="0" w:space="0" w:color="auto"/>
                <w:left w:val="none" w:sz="0" w:space="0" w:color="auto"/>
                <w:bottom w:val="none" w:sz="0" w:space="0" w:color="auto"/>
                <w:right w:val="none" w:sz="0" w:space="0" w:color="auto"/>
              </w:divBdr>
            </w:div>
            <w:div w:id="1129979866">
              <w:marLeft w:val="0"/>
              <w:marRight w:val="0"/>
              <w:marTop w:val="0"/>
              <w:marBottom w:val="0"/>
              <w:divBdr>
                <w:top w:val="none" w:sz="0" w:space="0" w:color="auto"/>
                <w:left w:val="none" w:sz="0" w:space="0" w:color="auto"/>
                <w:bottom w:val="none" w:sz="0" w:space="0" w:color="auto"/>
                <w:right w:val="none" w:sz="0" w:space="0" w:color="auto"/>
              </w:divBdr>
            </w:div>
            <w:div w:id="236598401">
              <w:marLeft w:val="0"/>
              <w:marRight w:val="0"/>
              <w:marTop w:val="0"/>
              <w:marBottom w:val="0"/>
              <w:divBdr>
                <w:top w:val="none" w:sz="0" w:space="0" w:color="auto"/>
                <w:left w:val="none" w:sz="0" w:space="0" w:color="auto"/>
                <w:bottom w:val="none" w:sz="0" w:space="0" w:color="auto"/>
                <w:right w:val="none" w:sz="0" w:space="0" w:color="auto"/>
              </w:divBdr>
            </w:div>
            <w:div w:id="1311640437">
              <w:marLeft w:val="0"/>
              <w:marRight w:val="0"/>
              <w:marTop w:val="0"/>
              <w:marBottom w:val="0"/>
              <w:divBdr>
                <w:top w:val="none" w:sz="0" w:space="0" w:color="auto"/>
                <w:left w:val="none" w:sz="0" w:space="0" w:color="auto"/>
                <w:bottom w:val="none" w:sz="0" w:space="0" w:color="auto"/>
                <w:right w:val="none" w:sz="0" w:space="0" w:color="auto"/>
              </w:divBdr>
            </w:div>
            <w:div w:id="391930955">
              <w:marLeft w:val="0"/>
              <w:marRight w:val="0"/>
              <w:marTop w:val="0"/>
              <w:marBottom w:val="0"/>
              <w:divBdr>
                <w:top w:val="none" w:sz="0" w:space="0" w:color="auto"/>
                <w:left w:val="none" w:sz="0" w:space="0" w:color="auto"/>
                <w:bottom w:val="none" w:sz="0" w:space="0" w:color="auto"/>
                <w:right w:val="none" w:sz="0" w:space="0" w:color="auto"/>
              </w:divBdr>
            </w:div>
            <w:div w:id="845367878">
              <w:marLeft w:val="0"/>
              <w:marRight w:val="0"/>
              <w:marTop w:val="0"/>
              <w:marBottom w:val="0"/>
              <w:divBdr>
                <w:top w:val="none" w:sz="0" w:space="0" w:color="auto"/>
                <w:left w:val="none" w:sz="0" w:space="0" w:color="auto"/>
                <w:bottom w:val="none" w:sz="0" w:space="0" w:color="auto"/>
                <w:right w:val="none" w:sz="0" w:space="0" w:color="auto"/>
              </w:divBdr>
            </w:div>
            <w:div w:id="1996912579">
              <w:marLeft w:val="0"/>
              <w:marRight w:val="0"/>
              <w:marTop w:val="0"/>
              <w:marBottom w:val="0"/>
              <w:divBdr>
                <w:top w:val="none" w:sz="0" w:space="0" w:color="auto"/>
                <w:left w:val="none" w:sz="0" w:space="0" w:color="auto"/>
                <w:bottom w:val="none" w:sz="0" w:space="0" w:color="auto"/>
                <w:right w:val="none" w:sz="0" w:space="0" w:color="auto"/>
              </w:divBdr>
            </w:div>
            <w:div w:id="533226136">
              <w:marLeft w:val="0"/>
              <w:marRight w:val="0"/>
              <w:marTop w:val="0"/>
              <w:marBottom w:val="0"/>
              <w:divBdr>
                <w:top w:val="none" w:sz="0" w:space="0" w:color="auto"/>
                <w:left w:val="none" w:sz="0" w:space="0" w:color="auto"/>
                <w:bottom w:val="none" w:sz="0" w:space="0" w:color="auto"/>
                <w:right w:val="none" w:sz="0" w:space="0" w:color="auto"/>
              </w:divBdr>
            </w:div>
            <w:div w:id="178472838">
              <w:marLeft w:val="0"/>
              <w:marRight w:val="0"/>
              <w:marTop w:val="0"/>
              <w:marBottom w:val="0"/>
              <w:divBdr>
                <w:top w:val="none" w:sz="0" w:space="0" w:color="auto"/>
                <w:left w:val="none" w:sz="0" w:space="0" w:color="auto"/>
                <w:bottom w:val="none" w:sz="0" w:space="0" w:color="auto"/>
                <w:right w:val="none" w:sz="0" w:space="0" w:color="auto"/>
              </w:divBdr>
            </w:div>
            <w:div w:id="1872912714">
              <w:marLeft w:val="0"/>
              <w:marRight w:val="0"/>
              <w:marTop w:val="0"/>
              <w:marBottom w:val="0"/>
              <w:divBdr>
                <w:top w:val="none" w:sz="0" w:space="0" w:color="auto"/>
                <w:left w:val="none" w:sz="0" w:space="0" w:color="auto"/>
                <w:bottom w:val="none" w:sz="0" w:space="0" w:color="auto"/>
                <w:right w:val="none" w:sz="0" w:space="0" w:color="auto"/>
              </w:divBdr>
            </w:div>
            <w:div w:id="63456561">
              <w:marLeft w:val="0"/>
              <w:marRight w:val="0"/>
              <w:marTop w:val="0"/>
              <w:marBottom w:val="0"/>
              <w:divBdr>
                <w:top w:val="none" w:sz="0" w:space="0" w:color="auto"/>
                <w:left w:val="none" w:sz="0" w:space="0" w:color="auto"/>
                <w:bottom w:val="none" w:sz="0" w:space="0" w:color="auto"/>
                <w:right w:val="none" w:sz="0" w:space="0" w:color="auto"/>
              </w:divBdr>
            </w:div>
            <w:div w:id="2073232819">
              <w:marLeft w:val="0"/>
              <w:marRight w:val="0"/>
              <w:marTop w:val="0"/>
              <w:marBottom w:val="0"/>
              <w:divBdr>
                <w:top w:val="none" w:sz="0" w:space="0" w:color="auto"/>
                <w:left w:val="none" w:sz="0" w:space="0" w:color="auto"/>
                <w:bottom w:val="none" w:sz="0" w:space="0" w:color="auto"/>
                <w:right w:val="none" w:sz="0" w:space="0" w:color="auto"/>
              </w:divBdr>
            </w:div>
            <w:div w:id="669795352">
              <w:marLeft w:val="0"/>
              <w:marRight w:val="0"/>
              <w:marTop w:val="0"/>
              <w:marBottom w:val="0"/>
              <w:divBdr>
                <w:top w:val="none" w:sz="0" w:space="0" w:color="auto"/>
                <w:left w:val="none" w:sz="0" w:space="0" w:color="auto"/>
                <w:bottom w:val="none" w:sz="0" w:space="0" w:color="auto"/>
                <w:right w:val="none" w:sz="0" w:space="0" w:color="auto"/>
              </w:divBdr>
            </w:div>
            <w:div w:id="1972246973">
              <w:marLeft w:val="0"/>
              <w:marRight w:val="0"/>
              <w:marTop w:val="0"/>
              <w:marBottom w:val="0"/>
              <w:divBdr>
                <w:top w:val="none" w:sz="0" w:space="0" w:color="auto"/>
                <w:left w:val="none" w:sz="0" w:space="0" w:color="auto"/>
                <w:bottom w:val="none" w:sz="0" w:space="0" w:color="auto"/>
                <w:right w:val="none" w:sz="0" w:space="0" w:color="auto"/>
              </w:divBdr>
            </w:div>
            <w:div w:id="1801223459">
              <w:marLeft w:val="0"/>
              <w:marRight w:val="0"/>
              <w:marTop w:val="0"/>
              <w:marBottom w:val="0"/>
              <w:divBdr>
                <w:top w:val="none" w:sz="0" w:space="0" w:color="auto"/>
                <w:left w:val="none" w:sz="0" w:space="0" w:color="auto"/>
                <w:bottom w:val="none" w:sz="0" w:space="0" w:color="auto"/>
                <w:right w:val="none" w:sz="0" w:space="0" w:color="auto"/>
              </w:divBdr>
            </w:div>
            <w:div w:id="1132018896">
              <w:marLeft w:val="0"/>
              <w:marRight w:val="0"/>
              <w:marTop w:val="0"/>
              <w:marBottom w:val="0"/>
              <w:divBdr>
                <w:top w:val="none" w:sz="0" w:space="0" w:color="auto"/>
                <w:left w:val="none" w:sz="0" w:space="0" w:color="auto"/>
                <w:bottom w:val="none" w:sz="0" w:space="0" w:color="auto"/>
                <w:right w:val="none" w:sz="0" w:space="0" w:color="auto"/>
              </w:divBdr>
            </w:div>
            <w:div w:id="229973371">
              <w:marLeft w:val="0"/>
              <w:marRight w:val="0"/>
              <w:marTop w:val="0"/>
              <w:marBottom w:val="0"/>
              <w:divBdr>
                <w:top w:val="none" w:sz="0" w:space="0" w:color="auto"/>
                <w:left w:val="none" w:sz="0" w:space="0" w:color="auto"/>
                <w:bottom w:val="none" w:sz="0" w:space="0" w:color="auto"/>
                <w:right w:val="none" w:sz="0" w:space="0" w:color="auto"/>
              </w:divBdr>
            </w:div>
            <w:div w:id="451360882">
              <w:marLeft w:val="0"/>
              <w:marRight w:val="0"/>
              <w:marTop w:val="0"/>
              <w:marBottom w:val="0"/>
              <w:divBdr>
                <w:top w:val="none" w:sz="0" w:space="0" w:color="auto"/>
                <w:left w:val="none" w:sz="0" w:space="0" w:color="auto"/>
                <w:bottom w:val="none" w:sz="0" w:space="0" w:color="auto"/>
                <w:right w:val="none" w:sz="0" w:space="0" w:color="auto"/>
              </w:divBdr>
            </w:div>
            <w:div w:id="351346147">
              <w:marLeft w:val="0"/>
              <w:marRight w:val="0"/>
              <w:marTop w:val="0"/>
              <w:marBottom w:val="0"/>
              <w:divBdr>
                <w:top w:val="none" w:sz="0" w:space="0" w:color="auto"/>
                <w:left w:val="none" w:sz="0" w:space="0" w:color="auto"/>
                <w:bottom w:val="none" w:sz="0" w:space="0" w:color="auto"/>
                <w:right w:val="none" w:sz="0" w:space="0" w:color="auto"/>
              </w:divBdr>
            </w:div>
            <w:div w:id="300888750">
              <w:marLeft w:val="0"/>
              <w:marRight w:val="0"/>
              <w:marTop w:val="0"/>
              <w:marBottom w:val="0"/>
              <w:divBdr>
                <w:top w:val="none" w:sz="0" w:space="0" w:color="auto"/>
                <w:left w:val="none" w:sz="0" w:space="0" w:color="auto"/>
                <w:bottom w:val="none" w:sz="0" w:space="0" w:color="auto"/>
                <w:right w:val="none" w:sz="0" w:space="0" w:color="auto"/>
              </w:divBdr>
            </w:div>
            <w:div w:id="1677535351">
              <w:marLeft w:val="0"/>
              <w:marRight w:val="0"/>
              <w:marTop w:val="0"/>
              <w:marBottom w:val="0"/>
              <w:divBdr>
                <w:top w:val="none" w:sz="0" w:space="0" w:color="auto"/>
                <w:left w:val="none" w:sz="0" w:space="0" w:color="auto"/>
                <w:bottom w:val="none" w:sz="0" w:space="0" w:color="auto"/>
                <w:right w:val="none" w:sz="0" w:space="0" w:color="auto"/>
              </w:divBdr>
            </w:div>
            <w:div w:id="1887718024">
              <w:marLeft w:val="0"/>
              <w:marRight w:val="0"/>
              <w:marTop w:val="0"/>
              <w:marBottom w:val="0"/>
              <w:divBdr>
                <w:top w:val="none" w:sz="0" w:space="0" w:color="auto"/>
                <w:left w:val="none" w:sz="0" w:space="0" w:color="auto"/>
                <w:bottom w:val="none" w:sz="0" w:space="0" w:color="auto"/>
                <w:right w:val="none" w:sz="0" w:space="0" w:color="auto"/>
              </w:divBdr>
            </w:div>
            <w:div w:id="1435594718">
              <w:marLeft w:val="0"/>
              <w:marRight w:val="0"/>
              <w:marTop w:val="0"/>
              <w:marBottom w:val="0"/>
              <w:divBdr>
                <w:top w:val="none" w:sz="0" w:space="0" w:color="auto"/>
                <w:left w:val="none" w:sz="0" w:space="0" w:color="auto"/>
                <w:bottom w:val="none" w:sz="0" w:space="0" w:color="auto"/>
                <w:right w:val="none" w:sz="0" w:space="0" w:color="auto"/>
              </w:divBdr>
            </w:div>
            <w:div w:id="1112743708">
              <w:marLeft w:val="0"/>
              <w:marRight w:val="0"/>
              <w:marTop w:val="0"/>
              <w:marBottom w:val="0"/>
              <w:divBdr>
                <w:top w:val="none" w:sz="0" w:space="0" w:color="auto"/>
                <w:left w:val="none" w:sz="0" w:space="0" w:color="auto"/>
                <w:bottom w:val="none" w:sz="0" w:space="0" w:color="auto"/>
                <w:right w:val="none" w:sz="0" w:space="0" w:color="auto"/>
              </w:divBdr>
            </w:div>
            <w:div w:id="411392968">
              <w:marLeft w:val="0"/>
              <w:marRight w:val="0"/>
              <w:marTop w:val="0"/>
              <w:marBottom w:val="0"/>
              <w:divBdr>
                <w:top w:val="none" w:sz="0" w:space="0" w:color="auto"/>
                <w:left w:val="none" w:sz="0" w:space="0" w:color="auto"/>
                <w:bottom w:val="none" w:sz="0" w:space="0" w:color="auto"/>
                <w:right w:val="none" w:sz="0" w:space="0" w:color="auto"/>
              </w:divBdr>
            </w:div>
            <w:div w:id="765927112">
              <w:marLeft w:val="0"/>
              <w:marRight w:val="0"/>
              <w:marTop w:val="0"/>
              <w:marBottom w:val="0"/>
              <w:divBdr>
                <w:top w:val="none" w:sz="0" w:space="0" w:color="auto"/>
                <w:left w:val="none" w:sz="0" w:space="0" w:color="auto"/>
                <w:bottom w:val="none" w:sz="0" w:space="0" w:color="auto"/>
                <w:right w:val="none" w:sz="0" w:space="0" w:color="auto"/>
              </w:divBdr>
            </w:div>
            <w:div w:id="1640646071">
              <w:marLeft w:val="0"/>
              <w:marRight w:val="0"/>
              <w:marTop w:val="0"/>
              <w:marBottom w:val="0"/>
              <w:divBdr>
                <w:top w:val="none" w:sz="0" w:space="0" w:color="auto"/>
                <w:left w:val="none" w:sz="0" w:space="0" w:color="auto"/>
                <w:bottom w:val="none" w:sz="0" w:space="0" w:color="auto"/>
                <w:right w:val="none" w:sz="0" w:space="0" w:color="auto"/>
              </w:divBdr>
            </w:div>
            <w:div w:id="697854229">
              <w:marLeft w:val="0"/>
              <w:marRight w:val="0"/>
              <w:marTop w:val="0"/>
              <w:marBottom w:val="0"/>
              <w:divBdr>
                <w:top w:val="none" w:sz="0" w:space="0" w:color="auto"/>
                <w:left w:val="none" w:sz="0" w:space="0" w:color="auto"/>
                <w:bottom w:val="none" w:sz="0" w:space="0" w:color="auto"/>
                <w:right w:val="none" w:sz="0" w:space="0" w:color="auto"/>
              </w:divBdr>
            </w:div>
            <w:div w:id="1750273493">
              <w:marLeft w:val="0"/>
              <w:marRight w:val="0"/>
              <w:marTop w:val="0"/>
              <w:marBottom w:val="0"/>
              <w:divBdr>
                <w:top w:val="none" w:sz="0" w:space="0" w:color="auto"/>
                <w:left w:val="none" w:sz="0" w:space="0" w:color="auto"/>
                <w:bottom w:val="none" w:sz="0" w:space="0" w:color="auto"/>
                <w:right w:val="none" w:sz="0" w:space="0" w:color="auto"/>
              </w:divBdr>
            </w:div>
            <w:div w:id="646671927">
              <w:marLeft w:val="0"/>
              <w:marRight w:val="0"/>
              <w:marTop w:val="0"/>
              <w:marBottom w:val="0"/>
              <w:divBdr>
                <w:top w:val="none" w:sz="0" w:space="0" w:color="auto"/>
                <w:left w:val="none" w:sz="0" w:space="0" w:color="auto"/>
                <w:bottom w:val="none" w:sz="0" w:space="0" w:color="auto"/>
                <w:right w:val="none" w:sz="0" w:space="0" w:color="auto"/>
              </w:divBdr>
            </w:div>
            <w:div w:id="1560364594">
              <w:marLeft w:val="0"/>
              <w:marRight w:val="0"/>
              <w:marTop w:val="0"/>
              <w:marBottom w:val="0"/>
              <w:divBdr>
                <w:top w:val="none" w:sz="0" w:space="0" w:color="auto"/>
                <w:left w:val="none" w:sz="0" w:space="0" w:color="auto"/>
                <w:bottom w:val="none" w:sz="0" w:space="0" w:color="auto"/>
                <w:right w:val="none" w:sz="0" w:space="0" w:color="auto"/>
              </w:divBdr>
            </w:div>
            <w:div w:id="386804888">
              <w:marLeft w:val="0"/>
              <w:marRight w:val="0"/>
              <w:marTop w:val="0"/>
              <w:marBottom w:val="0"/>
              <w:divBdr>
                <w:top w:val="none" w:sz="0" w:space="0" w:color="auto"/>
                <w:left w:val="none" w:sz="0" w:space="0" w:color="auto"/>
                <w:bottom w:val="none" w:sz="0" w:space="0" w:color="auto"/>
                <w:right w:val="none" w:sz="0" w:space="0" w:color="auto"/>
              </w:divBdr>
            </w:div>
            <w:div w:id="1260794349">
              <w:marLeft w:val="0"/>
              <w:marRight w:val="0"/>
              <w:marTop w:val="0"/>
              <w:marBottom w:val="0"/>
              <w:divBdr>
                <w:top w:val="none" w:sz="0" w:space="0" w:color="auto"/>
                <w:left w:val="none" w:sz="0" w:space="0" w:color="auto"/>
                <w:bottom w:val="none" w:sz="0" w:space="0" w:color="auto"/>
                <w:right w:val="none" w:sz="0" w:space="0" w:color="auto"/>
              </w:divBdr>
            </w:div>
            <w:div w:id="1506894851">
              <w:marLeft w:val="0"/>
              <w:marRight w:val="0"/>
              <w:marTop w:val="0"/>
              <w:marBottom w:val="0"/>
              <w:divBdr>
                <w:top w:val="none" w:sz="0" w:space="0" w:color="auto"/>
                <w:left w:val="none" w:sz="0" w:space="0" w:color="auto"/>
                <w:bottom w:val="none" w:sz="0" w:space="0" w:color="auto"/>
                <w:right w:val="none" w:sz="0" w:space="0" w:color="auto"/>
              </w:divBdr>
            </w:div>
            <w:div w:id="1519465003">
              <w:marLeft w:val="0"/>
              <w:marRight w:val="0"/>
              <w:marTop w:val="0"/>
              <w:marBottom w:val="0"/>
              <w:divBdr>
                <w:top w:val="none" w:sz="0" w:space="0" w:color="auto"/>
                <w:left w:val="none" w:sz="0" w:space="0" w:color="auto"/>
                <w:bottom w:val="none" w:sz="0" w:space="0" w:color="auto"/>
                <w:right w:val="none" w:sz="0" w:space="0" w:color="auto"/>
              </w:divBdr>
            </w:div>
            <w:div w:id="777793404">
              <w:marLeft w:val="0"/>
              <w:marRight w:val="0"/>
              <w:marTop w:val="0"/>
              <w:marBottom w:val="0"/>
              <w:divBdr>
                <w:top w:val="none" w:sz="0" w:space="0" w:color="auto"/>
                <w:left w:val="none" w:sz="0" w:space="0" w:color="auto"/>
                <w:bottom w:val="none" w:sz="0" w:space="0" w:color="auto"/>
                <w:right w:val="none" w:sz="0" w:space="0" w:color="auto"/>
              </w:divBdr>
            </w:div>
            <w:div w:id="93941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449335">
      <w:bodyDiv w:val="1"/>
      <w:marLeft w:val="0"/>
      <w:marRight w:val="0"/>
      <w:marTop w:val="0"/>
      <w:marBottom w:val="0"/>
      <w:divBdr>
        <w:top w:val="none" w:sz="0" w:space="0" w:color="auto"/>
        <w:left w:val="none" w:sz="0" w:space="0" w:color="auto"/>
        <w:bottom w:val="none" w:sz="0" w:space="0" w:color="auto"/>
        <w:right w:val="none" w:sz="0" w:space="0" w:color="auto"/>
      </w:divBdr>
    </w:div>
    <w:div w:id="1272514131">
      <w:bodyDiv w:val="1"/>
      <w:marLeft w:val="0"/>
      <w:marRight w:val="0"/>
      <w:marTop w:val="0"/>
      <w:marBottom w:val="0"/>
      <w:divBdr>
        <w:top w:val="none" w:sz="0" w:space="0" w:color="auto"/>
        <w:left w:val="none" w:sz="0" w:space="0" w:color="auto"/>
        <w:bottom w:val="none" w:sz="0" w:space="0" w:color="auto"/>
        <w:right w:val="none" w:sz="0" w:space="0" w:color="auto"/>
      </w:divBdr>
    </w:div>
    <w:div w:id="1288967905">
      <w:bodyDiv w:val="1"/>
      <w:marLeft w:val="0"/>
      <w:marRight w:val="0"/>
      <w:marTop w:val="0"/>
      <w:marBottom w:val="0"/>
      <w:divBdr>
        <w:top w:val="none" w:sz="0" w:space="0" w:color="auto"/>
        <w:left w:val="none" w:sz="0" w:space="0" w:color="auto"/>
        <w:bottom w:val="none" w:sz="0" w:space="0" w:color="auto"/>
        <w:right w:val="none" w:sz="0" w:space="0" w:color="auto"/>
      </w:divBdr>
    </w:div>
    <w:div w:id="1296370823">
      <w:bodyDiv w:val="1"/>
      <w:marLeft w:val="0"/>
      <w:marRight w:val="0"/>
      <w:marTop w:val="0"/>
      <w:marBottom w:val="0"/>
      <w:divBdr>
        <w:top w:val="none" w:sz="0" w:space="0" w:color="auto"/>
        <w:left w:val="none" w:sz="0" w:space="0" w:color="auto"/>
        <w:bottom w:val="none" w:sz="0" w:space="0" w:color="auto"/>
        <w:right w:val="none" w:sz="0" w:space="0" w:color="auto"/>
      </w:divBdr>
    </w:div>
    <w:div w:id="1378045182">
      <w:bodyDiv w:val="1"/>
      <w:marLeft w:val="0"/>
      <w:marRight w:val="0"/>
      <w:marTop w:val="0"/>
      <w:marBottom w:val="0"/>
      <w:divBdr>
        <w:top w:val="none" w:sz="0" w:space="0" w:color="auto"/>
        <w:left w:val="none" w:sz="0" w:space="0" w:color="auto"/>
        <w:bottom w:val="none" w:sz="0" w:space="0" w:color="auto"/>
        <w:right w:val="none" w:sz="0" w:space="0" w:color="auto"/>
      </w:divBdr>
    </w:div>
    <w:div w:id="1391535800">
      <w:bodyDiv w:val="1"/>
      <w:marLeft w:val="0"/>
      <w:marRight w:val="0"/>
      <w:marTop w:val="0"/>
      <w:marBottom w:val="0"/>
      <w:divBdr>
        <w:top w:val="none" w:sz="0" w:space="0" w:color="auto"/>
        <w:left w:val="none" w:sz="0" w:space="0" w:color="auto"/>
        <w:bottom w:val="none" w:sz="0" w:space="0" w:color="auto"/>
        <w:right w:val="none" w:sz="0" w:space="0" w:color="auto"/>
      </w:divBdr>
    </w:div>
    <w:div w:id="1392847414">
      <w:bodyDiv w:val="1"/>
      <w:marLeft w:val="0"/>
      <w:marRight w:val="0"/>
      <w:marTop w:val="0"/>
      <w:marBottom w:val="0"/>
      <w:divBdr>
        <w:top w:val="none" w:sz="0" w:space="0" w:color="auto"/>
        <w:left w:val="none" w:sz="0" w:space="0" w:color="auto"/>
        <w:bottom w:val="none" w:sz="0" w:space="0" w:color="auto"/>
        <w:right w:val="none" w:sz="0" w:space="0" w:color="auto"/>
      </w:divBdr>
    </w:div>
    <w:div w:id="1422877507">
      <w:bodyDiv w:val="1"/>
      <w:marLeft w:val="0"/>
      <w:marRight w:val="0"/>
      <w:marTop w:val="0"/>
      <w:marBottom w:val="0"/>
      <w:divBdr>
        <w:top w:val="none" w:sz="0" w:space="0" w:color="auto"/>
        <w:left w:val="none" w:sz="0" w:space="0" w:color="auto"/>
        <w:bottom w:val="none" w:sz="0" w:space="0" w:color="auto"/>
        <w:right w:val="none" w:sz="0" w:space="0" w:color="auto"/>
      </w:divBdr>
    </w:div>
    <w:div w:id="1459566586">
      <w:bodyDiv w:val="1"/>
      <w:marLeft w:val="0"/>
      <w:marRight w:val="0"/>
      <w:marTop w:val="0"/>
      <w:marBottom w:val="0"/>
      <w:divBdr>
        <w:top w:val="none" w:sz="0" w:space="0" w:color="auto"/>
        <w:left w:val="none" w:sz="0" w:space="0" w:color="auto"/>
        <w:bottom w:val="none" w:sz="0" w:space="0" w:color="auto"/>
        <w:right w:val="none" w:sz="0" w:space="0" w:color="auto"/>
      </w:divBdr>
    </w:div>
    <w:div w:id="1460806525">
      <w:bodyDiv w:val="1"/>
      <w:marLeft w:val="0"/>
      <w:marRight w:val="0"/>
      <w:marTop w:val="0"/>
      <w:marBottom w:val="0"/>
      <w:divBdr>
        <w:top w:val="none" w:sz="0" w:space="0" w:color="auto"/>
        <w:left w:val="none" w:sz="0" w:space="0" w:color="auto"/>
        <w:bottom w:val="none" w:sz="0" w:space="0" w:color="auto"/>
        <w:right w:val="none" w:sz="0" w:space="0" w:color="auto"/>
      </w:divBdr>
    </w:div>
    <w:div w:id="1478036648">
      <w:bodyDiv w:val="1"/>
      <w:marLeft w:val="0"/>
      <w:marRight w:val="0"/>
      <w:marTop w:val="0"/>
      <w:marBottom w:val="0"/>
      <w:divBdr>
        <w:top w:val="none" w:sz="0" w:space="0" w:color="auto"/>
        <w:left w:val="none" w:sz="0" w:space="0" w:color="auto"/>
        <w:bottom w:val="none" w:sz="0" w:space="0" w:color="auto"/>
        <w:right w:val="none" w:sz="0" w:space="0" w:color="auto"/>
      </w:divBdr>
    </w:div>
    <w:div w:id="1504852581">
      <w:bodyDiv w:val="1"/>
      <w:marLeft w:val="0"/>
      <w:marRight w:val="0"/>
      <w:marTop w:val="0"/>
      <w:marBottom w:val="0"/>
      <w:divBdr>
        <w:top w:val="none" w:sz="0" w:space="0" w:color="auto"/>
        <w:left w:val="none" w:sz="0" w:space="0" w:color="auto"/>
        <w:bottom w:val="none" w:sz="0" w:space="0" w:color="auto"/>
        <w:right w:val="none" w:sz="0" w:space="0" w:color="auto"/>
      </w:divBdr>
    </w:div>
    <w:div w:id="1508641329">
      <w:bodyDiv w:val="1"/>
      <w:marLeft w:val="0"/>
      <w:marRight w:val="0"/>
      <w:marTop w:val="0"/>
      <w:marBottom w:val="0"/>
      <w:divBdr>
        <w:top w:val="none" w:sz="0" w:space="0" w:color="auto"/>
        <w:left w:val="none" w:sz="0" w:space="0" w:color="auto"/>
        <w:bottom w:val="none" w:sz="0" w:space="0" w:color="auto"/>
        <w:right w:val="none" w:sz="0" w:space="0" w:color="auto"/>
      </w:divBdr>
    </w:div>
    <w:div w:id="1567716937">
      <w:bodyDiv w:val="1"/>
      <w:marLeft w:val="0"/>
      <w:marRight w:val="0"/>
      <w:marTop w:val="0"/>
      <w:marBottom w:val="0"/>
      <w:divBdr>
        <w:top w:val="none" w:sz="0" w:space="0" w:color="auto"/>
        <w:left w:val="none" w:sz="0" w:space="0" w:color="auto"/>
        <w:bottom w:val="none" w:sz="0" w:space="0" w:color="auto"/>
        <w:right w:val="none" w:sz="0" w:space="0" w:color="auto"/>
      </w:divBdr>
    </w:div>
    <w:div w:id="1618830527">
      <w:bodyDiv w:val="1"/>
      <w:marLeft w:val="0"/>
      <w:marRight w:val="0"/>
      <w:marTop w:val="0"/>
      <w:marBottom w:val="0"/>
      <w:divBdr>
        <w:top w:val="none" w:sz="0" w:space="0" w:color="auto"/>
        <w:left w:val="none" w:sz="0" w:space="0" w:color="auto"/>
        <w:bottom w:val="none" w:sz="0" w:space="0" w:color="auto"/>
        <w:right w:val="none" w:sz="0" w:space="0" w:color="auto"/>
      </w:divBdr>
    </w:div>
    <w:div w:id="1637757587">
      <w:bodyDiv w:val="1"/>
      <w:marLeft w:val="0"/>
      <w:marRight w:val="0"/>
      <w:marTop w:val="0"/>
      <w:marBottom w:val="0"/>
      <w:divBdr>
        <w:top w:val="none" w:sz="0" w:space="0" w:color="auto"/>
        <w:left w:val="none" w:sz="0" w:space="0" w:color="auto"/>
        <w:bottom w:val="none" w:sz="0" w:space="0" w:color="auto"/>
        <w:right w:val="none" w:sz="0" w:space="0" w:color="auto"/>
      </w:divBdr>
    </w:div>
    <w:div w:id="1664774053">
      <w:bodyDiv w:val="1"/>
      <w:marLeft w:val="0"/>
      <w:marRight w:val="0"/>
      <w:marTop w:val="0"/>
      <w:marBottom w:val="0"/>
      <w:divBdr>
        <w:top w:val="none" w:sz="0" w:space="0" w:color="auto"/>
        <w:left w:val="none" w:sz="0" w:space="0" w:color="auto"/>
        <w:bottom w:val="none" w:sz="0" w:space="0" w:color="auto"/>
        <w:right w:val="none" w:sz="0" w:space="0" w:color="auto"/>
      </w:divBdr>
    </w:div>
    <w:div w:id="1698890332">
      <w:bodyDiv w:val="1"/>
      <w:marLeft w:val="0"/>
      <w:marRight w:val="0"/>
      <w:marTop w:val="0"/>
      <w:marBottom w:val="0"/>
      <w:divBdr>
        <w:top w:val="none" w:sz="0" w:space="0" w:color="auto"/>
        <w:left w:val="none" w:sz="0" w:space="0" w:color="auto"/>
        <w:bottom w:val="none" w:sz="0" w:space="0" w:color="auto"/>
        <w:right w:val="none" w:sz="0" w:space="0" w:color="auto"/>
      </w:divBdr>
      <w:divsChild>
        <w:div w:id="536160838">
          <w:marLeft w:val="0"/>
          <w:marRight w:val="0"/>
          <w:marTop w:val="0"/>
          <w:marBottom w:val="0"/>
          <w:divBdr>
            <w:top w:val="none" w:sz="0" w:space="0" w:color="auto"/>
            <w:left w:val="none" w:sz="0" w:space="0" w:color="auto"/>
            <w:bottom w:val="none" w:sz="0" w:space="0" w:color="auto"/>
            <w:right w:val="none" w:sz="0" w:space="0" w:color="auto"/>
          </w:divBdr>
          <w:divsChild>
            <w:div w:id="1955209142">
              <w:marLeft w:val="0"/>
              <w:marRight w:val="0"/>
              <w:marTop w:val="0"/>
              <w:marBottom w:val="0"/>
              <w:divBdr>
                <w:top w:val="none" w:sz="0" w:space="0" w:color="auto"/>
                <w:left w:val="none" w:sz="0" w:space="0" w:color="auto"/>
                <w:bottom w:val="none" w:sz="0" w:space="0" w:color="auto"/>
                <w:right w:val="none" w:sz="0" w:space="0" w:color="auto"/>
              </w:divBdr>
              <w:divsChild>
                <w:div w:id="1137185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178284">
      <w:bodyDiv w:val="1"/>
      <w:marLeft w:val="0"/>
      <w:marRight w:val="0"/>
      <w:marTop w:val="0"/>
      <w:marBottom w:val="0"/>
      <w:divBdr>
        <w:top w:val="none" w:sz="0" w:space="0" w:color="auto"/>
        <w:left w:val="none" w:sz="0" w:space="0" w:color="auto"/>
        <w:bottom w:val="none" w:sz="0" w:space="0" w:color="auto"/>
        <w:right w:val="none" w:sz="0" w:space="0" w:color="auto"/>
      </w:divBdr>
    </w:div>
    <w:div w:id="1706367695">
      <w:bodyDiv w:val="1"/>
      <w:marLeft w:val="0"/>
      <w:marRight w:val="0"/>
      <w:marTop w:val="0"/>
      <w:marBottom w:val="0"/>
      <w:divBdr>
        <w:top w:val="none" w:sz="0" w:space="0" w:color="auto"/>
        <w:left w:val="none" w:sz="0" w:space="0" w:color="auto"/>
        <w:bottom w:val="none" w:sz="0" w:space="0" w:color="auto"/>
        <w:right w:val="none" w:sz="0" w:space="0" w:color="auto"/>
      </w:divBdr>
    </w:div>
    <w:div w:id="1715809401">
      <w:bodyDiv w:val="1"/>
      <w:marLeft w:val="0"/>
      <w:marRight w:val="0"/>
      <w:marTop w:val="0"/>
      <w:marBottom w:val="0"/>
      <w:divBdr>
        <w:top w:val="none" w:sz="0" w:space="0" w:color="auto"/>
        <w:left w:val="none" w:sz="0" w:space="0" w:color="auto"/>
        <w:bottom w:val="none" w:sz="0" w:space="0" w:color="auto"/>
        <w:right w:val="none" w:sz="0" w:space="0" w:color="auto"/>
      </w:divBdr>
    </w:div>
    <w:div w:id="1734084488">
      <w:bodyDiv w:val="1"/>
      <w:marLeft w:val="0"/>
      <w:marRight w:val="0"/>
      <w:marTop w:val="0"/>
      <w:marBottom w:val="0"/>
      <w:divBdr>
        <w:top w:val="none" w:sz="0" w:space="0" w:color="auto"/>
        <w:left w:val="none" w:sz="0" w:space="0" w:color="auto"/>
        <w:bottom w:val="none" w:sz="0" w:space="0" w:color="auto"/>
        <w:right w:val="none" w:sz="0" w:space="0" w:color="auto"/>
      </w:divBdr>
      <w:divsChild>
        <w:div w:id="1781682721">
          <w:marLeft w:val="0"/>
          <w:marRight w:val="0"/>
          <w:marTop w:val="0"/>
          <w:marBottom w:val="0"/>
          <w:divBdr>
            <w:top w:val="none" w:sz="0" w:space="0" w:color="auto"/>
            <w:left w:val="none" w:sz="0" w:space="0" w:color="auto"/>
            <w:bottom w:val="none" w:sz="0" w:space="0" w:color="auto"/>
            <w:right w:val="none" w:sz="0" w:space="0" w:color="auto"/>
          </w:divBdr>
          <w:divsChild>
            <w:div w:id="1277568512">
              <w:marLeft w:val="0"/>
              <w:marRight w:val="0"/>
              <w:marTop w:val="0"/>
              <w:marBottom w:val="0"/>
              <w:divBdr>
                <w:top w:val="none" w:sz="0" w:space="0" w:color="auto"/>
                <w:left w:val="none" w:sz="0" w:space="0" w:color="auto"/>
                <w:bottom w:val="none" w:sz="0" w:space="0" w:color="auto"/>
                <w:right w:val="none" w:sz="0" w:space="0" w:color="auto"/>
              </w:divBdr>
              <w:divsChild>
                <w:div w:id="555825348">
                  <w:marLeft w:val="0"/>
                  <w:marRight w:val="0"/>
                  <w:marTop w:val="0"/>
                  <w:marBottom w:val="0"/>
                  <w:divBdr>
                    <w:top w:val="none" w:sz="0" w:space="0" w:color="auto"/>
                    <w:left w:val="none" w:sz="0" w:space="0" w:color="auto"/>
                    <w:bottom w:val="none" w:sz="0" w:space="0" w:color="auto"/>
                    <w:right w:val="none" w:sz="0" w:space="0" w:color="auto"/>
                  </w:divBdr>
                  <w:divsChild>
                    <w:div w:id="15934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6604254">
      <w:bodyDiv w:val="1"/>
      <w:marLeft w:val="0"/>
      <w:marRight w:val="0"/>
      <w:marTop w:val="0"/>
      <w:marBottom w:val="0"/>
      <w:divBdr>
        <w:top w:val="none" w:sz="0" w:space="0" w:color="auto"/>
        <w:left w:val="none" w:sz="0" w:space="0" w:color="auto"/>
        <w:bottom w:val="none" w:sz="0" w:space="0" w:color="auto"/>
        <w:right w:val="none" w:sz="0" w:space="0" w:color="auto"/>
      </w:divBdr>
    </w:div>
    <w:div w:id="1795832114">
      <w:bodyDiv w:val="1"/>
      <w:marLeft w:val="0"/>
      <w:marRight w:val="0"/>
      <w:marTop w:val="0"/>
      <w:marBottom w:val="0"/>
      <w:divBdr>
        <w:top w:val="none" w:sz="0" w:space="0" w:color="auto"/>
        <w:left w:val="none" w:sz="0" w:space="0" w:color="auto"/>
        <w:bottom w:val="none" w:sz="0" w:space="0" w:color="auto"/>
        <w:right w:val="none" w:sz="0" w:space="0" w:color="auto"/>
      </w:divBdr>
    </w:div>
    <w:div w:id="1811243239">
      <w:bodyDiv w:val="1"/>
      <w:marLeft w:val="0"/>
      <w:marRight w:val="0"/>
      <w:marTop w:val="0"/>
      <w:marBottom w:val="0"/>
      <w:divBdr>
        <w:top w:val="none" w:sz="0" w:space="0" w:color="auto"/>
        <w:left w:val="none" w:sz="0" w:space="0" w:color="auto"/>
        <w:bottom w:val="none" w:sz="0" w:space="0" w:color="auto"/>
        <w:right w:val="none" w:sz="0" w:space="0" w:color="auto"/>
      </w:divBdr>
    </w:div>
    <w:div w:id="1812208340">
      <w:bodyDiv w:val="1"/>
      <w:marLeft w:val="0"/>
      <w:marRight w:val="0"/>
      <w:marTop w:val="0"/>
      <w:marBottom w:val="0"/>
      <w:divBdr>
        <w:top w:val="none" w:sz="0" w:space="0" w:color="auto"/>
        <w:left w:val="none" w:sz="0" w:space="0" w:color="auto"/>
        <w:bottom w:val="none" w:sz="0" w:space="0" w:color="auto"/>
        <w:right w:val="none" w:sz="0" w:space="0" w:color="auto"/>
      </w:divBdr>
    </w:div>
    <w:div w:id="1867712672">
      <w:bodyDiv w:val="1"/>
      <w:marLeft w:val="0"/>
      <w:marRight w:val="0"/>
      <w:marTop w:val="0"/>
      <w:marBottom w:val="0"/>
      <w:divBdr>
        <w:top w:val="none" w:sz="0" w:space="0" w:color="auto"/>
        <w:left w:val="none" w:sz="0" w:space="0" w:color="auto"/>
        <w:bottom w:val="none" w:sz="0" w:space="0" w:color="auto"/>
        <w:right w:val="none" w:sz="0" w:space="0" w:color="auto"/>
      </w:divBdr>
    </w:div>
    <w:div w:id="1916089519">
      <w:bodyDiv w:val="1"/>
      <w:marLeft w:val="0"/>
      <w:marRight w:val="0"/>
      <w:marTop w:val="0"/>
      <w:marBottom w:val="0"/>
      <w:divBdr>
        <w:top w:val="none" w:sz="0" w:space="0" w:color="auto"/>
        <w:left w:val="none" w:sz="0" w:space="0" w:color="auto"/>
        <w:bottom w:val="none" w:sz="0" w:space="0" w:color="auto"/>
        <w:right w:val="none" w:sz="0" w:space="0" w:color="auto"/>
      </w:divBdr>
    </w:div>
    <w:div w:id="1919749578">
      <w:bodyDiv w:val="1"/>
      <w:marLeft w:val="0"/>
      <w:marRight w:val="0"/>
      <w:marTop w:val="0"/>
      <w:marBottom w:val="0"/>
      <w:divBdr>
        <w:top w:val="none" w:sz="0" w:space="0" w:color="auto"/>
        <w:left w:val="none" w:sz="0" w:space="0" w:color="auto"/>
        <w:bottom w:val="none" w:sz="0" w:space="0" w:color="auto"/>
        <w:right w:val="none" w:sz="0" w:space="0" w:color="auto"/>
      </w:divBdr>
    </w:div>
    <w:div w:id="1924488315">
      <w:bodyDiv w:val="1"/>
      <w:marLeft w:val="0"/>
      <w:marRight w:val="0"/>
      <w:marTop w:val="0"/>
      <w:marBottom w:val="0"/>
      <w:divBdr>
        <w:top w:val="none" w:sz="0" w:space="0" w:color="auto"/>
        <w:left w:val="none" w:sz="0" w:space="0" w:color="auto"/>
        <w:bottom w:val="none" w:sz="0" w:space="0" w:color="auto"/>
        <w:right w:val="none" w:sz="0" w:space="0" w:color="auto"/>
      </w:divBdr>
    </w:div>
    <w:div w:id="1928953834">
      <w:bodyDiv w:val="1"/>
      <w:marLeft w:val="0"/>
      <w:marRight w:val="0"/>
      <w:marTop w:val="0"/>
      <w:marBottom w:val="0"/>
      <w:divBdr>
        <w:top w:val="none" w:sz="0" w:space="0" w:color="auto"/>
        <w:left w:val="none" w:sz="0" w:space="0" w:color="auto"/>
        <w:bottom w:val="none" w:sz="0" w:space="0" w:color="auto"/>
        <w:right w:val="none" w:sz="0" w:space="0" w:color="auto"/>
      </w:divBdr>
      <w:divsChild>
        <w:div w:id="860513557">
          <w:marLeft w:val="0"/>
          <w:marRight w:val="0"/>
          <w:marTop w:val="0"/>
          <w:marBottom w:val="0"/>
          <w:divBdr>
            <w:top w:val="none" w:sz="0" w:space="0" w:color="auto"/>
            <w:left w:val="none" w:sz="0" w:space="0" w:color="auto"/>
            <w:bottom w:val="none" w:sz="0" w:space="0" w:color="auto"/>
            <w:right w:val="none" w:sz="0" w:space="0" w:color="auto"/>
          </w:divBdr>
          <w:divsChild>
            <w:div w:id="2103406608">
              <w:marLeft w:val="0"/>
              <w:marRight w:val="0"/>
              <w:marTop w:val="0"/>
              <w:marBottom w:val="0"/>
              <w:divBdr>
                <w:top w:val="none" w:sz="0" w:space="0" w:color="auto"/>
                <w:left w:val="none" w:sz="0" w:space="0" w:color="auto"/>
                <w:bottom w:val="none" w:sz="0" w:space="0" w:color="auto"/>
                <w:right w:val="none" w:sz="0" w:space="0" w:color="auto"/>
              </w:divBdr>
              <w:divsChild>
                <w:div w:id="62602447">
                  <w:marLeft w:val="0"/>
                  <w:marRight w:val="0"/>
                  <w:marTop w:val="0"/>
                  <w:marBottom w:val="0"/>
                  <w:divBdr>
                    <w:top w:val="none" w:sz="0" w:space="0" w:color="auto"/>
                    <w:left w:val="none" w:sz="0" w:space="0" w:color="auto"/>
                    <w:bottom w:val="none" w:sz="0" w:space="0" w:color="auto"/>
                    <w:right w:val="none" w:sz="0" w:space="0" w:color="auto"/>
                  </w:divBdr>
                  <w:divsChild>
                    <w:div w:id="889920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3607935">
      <w:bodyDiv w:val="1"/>
      <w:marLeft w:val="0"/>
      <w:marRight w:val="0"/>
      <w:marTop w:val="0"/>
      <w:marBottom w:val="0"/>
      <w:divBdr>
        <w:top w:val="none" w:sz="0" w:space="0" w:color="auto"/>
        <w:left w:val="none" w:sz="0" w:space="0" w:color="auto"/>
        <w:bottom w:val="none" w:sz="0" w:space="0" w:color="auto"/>
        <w:right w:val="none" w:sz="0" w:space="0" w:color="auto"/>
      </w:divBdr>
    </w:div>
    <w:div w:id="2007053227">
      <w:bodyDiv w:val="1"/>
      <w:marLeft w:val="0"/>
      <w:marRight w:val="0"/>
      <w:marTop w:val="0"/>
      <w:marBottom w:val="0"/>
      <w:divBdr>
        <w:top w:val="none" w:sz="0" w:space="0" w:color="auto"/>
        <w:left w:val="none" w:sz="0" w:space="0" w:color="auto"/>
        <w:bottom w:val="none" w:sz="0" w:space="0" w:color="auto"/>
        <w:right w:val="none" w:sz="0" w:space="0" w:color="auto"/>
      </w:divBdr>
    </w:div>
    <w:div w:id="2055763629">
      <w:bodyDiv w:val="1"/>
      <w:marLeft w:val="0"/>
      <w:marRight w:val="0"/>
      <w:marTop w:val="0"/>
      <w:marBottom w:val="0"/>
      <w:divBdr>
        <w:top w:val="none" w:sz="0" w:space="0" w:color="auto"/>
        <w:left w:val="none" w:sz="0" w:space="0" w:color="auto"/>
        <w:bottom w:val="none" w:sz="0" w:space="0" w:color="auto"/>
        <w:right w:val="none" w:sz="0" w:space="0" w:color="auto"/>
      </w:divBdr>
      <w:divsChild>
        <w:div w:id="531113546">
          <w:marLeft w:val="0"/>
          <w:marRight w:val="0"/>
          <w:marTop w:val="0"/>
          <w:marBottom w:val="0"/>
          <w:divBdr>
            <w:top w:val="none" w:sz="0" w:space="0" w:color="auto"/>
            <w:left w:val="none" w:sz="0" w:space="0" w:color="auto"/>
            <w:bottom w:val="none" w:sz="0" w:space="0" w:color="auto"/>
            <w:right w:val="none" w:sz="0" w:space="0" w:color="auto"/>
          </w:divBdr>
          <w:divsChild>
            <w:div w:id="1491364936">
              <w:marLeft w:val="0"/>
              <w:marRight w:val="0"/>
              <w:marTop w:val="0"/>
              <w:marBottom w:val="0"/>
              <w:divBdr>
                <w:top w:val="none" w:sz="0" w:space="0" w:color="auto"/>
                <w:left w:val="none" w:sz="0" w:space="0" w:color="auto"/>
                <w:bottom w:val="none" w:sz="0" w:space="0" w:color="auto"/>
                <w:right w:val="none" w:sz="0" w:space="0" w:color="auto"/>
              </w:divBdr>
              <w:divsChild>
                <w:div w:id="745879335">
                  <w:marLeft w:val="0"/>
                  <w:marRight w:val="0"/>
                  <w:marTop w:val="0"/>
                  <w:marBottom w:val="0"/>
                  <w:divBdr>
                    <w:top w:val="none" w:sz="0" w:space="0" w:color="auto"/>
                    <w:left w:val="none" w:sz="0" w:space="0" w:color="auto"/>
                    <w:bottom w:val="none" w:sz="0" w:space="0" w:color="auto"/>
                    <w:right w:val="none" w:sz="0" w:space="0" w:color="auto"/>
                  </w:divBdr>
                  <w:divsChild>
                    <w:div w:id="128977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8353373">
      <w:bodyDiv w:val="1"/>
      <w:marLeft w:val="0"/>
      <w:marRight w:val="0"/>
      <w:marTop w:val="0"/>
      <w:marBottom w:val="0"/>
      <w:divBdr>
        <w:top w:val="none" w:sz="0" w:space="0" w:color="auto"/>
        <w:left w:val="none" w:sz="0" w:space="0" w:color="auto"/>
        <w:bottom w:val="none" w:sz="0" w:space="0" w:color="auto"/>
        <w:right w:val="none" w:sz="0" w:space="0" w:color="auto"/>
      </w:divBdr>
    </w:div>
    <w:div w:id="2093430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80/00223980.1982.9923545" TargetMode="External"/><Relationship Id="rId299" Type="http://schemas.openxmlformats.org/officeDocument/2006/relationships/hyperlink" Target="https://doi.org/10.1080/01650250344000514" TargetMode="External"/><Relationship Id="rId303" Type="http://schemas.openxmlformats.org/officeDocument/2006/relationships/hyperlink" Target="https://doi.org/10.4018/ijcbpl.2012100103" TargetMode="External"/><Relationship Id="rId21" Type="http://schemas.openxmlformats.org/officeDocument/2006/relationships/hyperlink" Target="https://doi.org/10.1007/s11205-013-0349-0" TargetMode="External"/><Relationship Id="rId42" Type="http://schemas.openxmlformats.org/officeDocument/2006/relationships/hyperlink" Target="https://doi.org/10.1037/0003-066X.32.7.513" TargetMode="External"/><Relationship Id="rId63" Type="http://schemas.openxmlformats.org/officeDocument/2006/relationships/hyperlink" Target="https://doi.org/10.1177/0146167298243009" TargetMode="External"/><Relationship Id="rId84" Type="http://schemas.openxmlformats.org/officeDocument/2006/relationships/hyperlink" Target="https://doi.org/10.1177/0165025415581914" TargetMode="External"/><Relationship Id="rId138" Type="http://schemas.openxmlformats.org/officeDocument/2006/relationships/hyperlink" Target="https://doi.org/10.1007/s00221-014-4097-4" TargetMode="External"/><Relationship Id="rId159" Type="http://schemas.openxmlformats.org/officeDocument/2006/relationships/hyperlink" Target="https://doi.org/10.1177/0265407513505932" TargetMode="External"/><Relationship Id="rId170" Type="http://schemas.openxmlformats.org/officeDocument/2006/relationships/hyperlink" Target="https://doi.org/10.2478/ppb-2014-0028" TargetMode="External"/><Relationship Id="rId191" Type="http://schemas.openxmlformats.org/officeDocument/2006/relationships/hyperlink" Target="https://doi.org/10.29333/ejmste/84839" TargetMode="External"/><Relationship Id="rId205" Type="http://schemas.openxmlformats.org/officeDocument/2006/relationships/hyperlink" Target="https://doi.org/10.1080/17439760.2016.1221123" TargetMode="External"/><Relationship Id="rId226" Type="http://schemas.openxmlformats.org/officeDocument/2006/relationships/hyperlink" Target="https://doi.org/10.1080/10410236.2016.1278507" TargetMode="External"/><Relationship Id="rId247" Type="http://schemas.openxmlformats.org/officeDocument/2006/relationships/hyperlink" Target="https://doi.org/10.1016/j.beth.2017.03.005" TargetMode="External"/><Relationship Id="rId107" Type="http://schemas.openxmlformats.org/officeDocument/2006/relationships/hyperlink" Target="https://doi.org/10.1207/s15327752jpa6101&#8215;%2014" TargetMode="External"/><Relationship Id="rId268" Type="http://schemas.openxmlformats.org/officeDocument/2006/relationships/hyperlink" Target="https://doi.org/10.1891/0889-8391.28.4.264" TargetMode="External"/><Relationship Id="rId289" Type="http://schemas.openxmlformats.org/officeDocument/2006/relationships/hyperlink" Target="https://doi.org/10.1111/j.1468-5906.2008.00392.x" TargetMode="External"/><Relationship Id="rId11" Type="http://schemas.openxmlformats.org/officeDocument/2006/relationships/header" Target="header1.xml"/><Relationship Id="rId32" Type="http://schemas.openxmlformats.org/officeDocument/2006/relationships/hyperlink" Target="https://doi.org/10.1080/00223890701693702" TargetMode="External"/><Relationship Id="rId53" Type="http://schemas.openxmlformats.org/officeDocument/2006/relationships/hyperlink" Target="https://doi.org/10.1177/1066480717711102" TargetMode="External"/><Relationship Id="rId74" Type="http://schemas.openxmlformats.org/officeDocument/2006/relationships/hyperlink" Target="https://doi.org/10.1023/A:1018850711372" TargetMode="External"/><Relationship Id="rId128" Type="http://schemas.openxmlformats.org/officeDocument/2006/relationships/hyperlink" Target="https://doi.org/10.2224/sbp.2006.34.1.59" TargetMode="External"/><Relationship Id="rId149" Type="http://schemas.openxmlformats.org/officeDocument/2006/relationships/hyperlink" Target="https://doi.org/10.1080/07481187.2018.1509909" TargetMode="External"/><Relationship Id="rId5" Type="http://schemas.openxmlformats.org/officeDocument/2006/relationships/webSettings" Target="webSettings.xml"/><Relationship Id="rId95" Type="http://schemas.openxmlformats.org/officeDocument/2006/relationships/hyperlink" Target="https://doi.org/10.1007/s11469-007-9144-y" TargetMode="External"/><Relationship Id="rId160" Type="http://schemas.openxmlformats.org/officeDocument/2006/relationships/hyperlink" Target="https://doi.org/10.1353/csd.0.0116" TargetMode="External"/><Relationship Id="rId181" Type="http://schemas.openxmlformats.org/officeDocument/2006/relationships/hyperlink" Target="https://doi.org/10.2224/sbp.2015.43.4.559" TargetMode="External"/><Relationship Id="rId216" Type="http://schemas.openxmlformats.org/officeDocument/2006/relationships/hyperlink" Target="https://doi.org/10.3389/fpsyg.2017.00478" TargetMode="External"/><Relationship Id="rId237" Type="http://schemas.openxmlformats.org/officeDocument/2006/relationships/hyperlink" Target="https://doi.org/10.1016/j.ajp.2017.12.017" TargetMode="External"/><Relationship Id="rId258" Type="http://schemas.openxmlformats.org/officeDocument/2006/relationships/hyperlink" Target="https://doi.org/10.1016/j.janxdis.2004.09.005" TargetMode="External"/><Relationship Id="rId279" Type="http://schemas.openxmlformats.org/officeDocument/2006/relationships/hyperlink" Target="https://doi.org/10.1300/J035v11n03_06" TargetMode="External"/><Relationship Id="rId22" Type="http://schemas.openxmlformats.org/officeDocument/2006/relationships/hyperlink" Target="https://doi.org/10.1002/per.408" TargetMode="External"/><Relationship Id="rId43" Type="http://schemas.openxmlformats.org/officeDocument/2006/relationships/hyperlink" Target="https://doi.org/10.1016/j.paid.2009.04.023" TargetMode="External"/><Relationship Id="rId64" Type="http://schemas.openxmlformats.org/officeDocument/2006/relationships/hyperlink" Target="https://doi.org/10.1111/j.1525-1446.2012.01007.x" TargetMode="External"/><Relationship Id="rId118" Type="http://schemas.openxmlformats.org/officeDocument/2006/relationships/hyperlink" Target="https://doi.org/10.1016/j.ypmed.2016.06.025." TargetMode="External"/><Relationship Id="rId139" Type="http://schemas.openxmlformats.org/officeDocument/2006/relationships/hyperlink" Target="https://doi.org/10.2307/2786644" TargetMode="External"/><Relationship Id="rId290" Type="http://schemas.openxmlformats.org/officeDocument/2006/relationships/hyperlink" Target="https://doi.org/10.1002/j.1556-6676.2014.00128.x" TargetMode="External"/><Relationship Id="rId304" Type="http://schemas.openxmlformats.org/officeDocument/2006/relationships/hyperlink" Target="https://doi.org/10.1080/00223980.2011.574746" TargetMode="External"/><Relationship Id="rId85" Type="http://schemas.openxmlformats.org/officeDocument/2006/relationships/hyperlink" Target="https://doi.org/10.1016/j.chb.2017.01.037" TargetMode="External"/><Relationship Id="rId150" Type="http://schemas.openxmlformats.org/officeDocument/2006/relationships/hyperlink" Target="https://doi.org/10.1016/j.jrp.2014.05.001" TargetMode="External"/><Relationship Id="rId171" Type="http://schemas.openxmlformats.org/officeDocument/2006/relationships/hyperlink" Target="https://doi.org/10.1007/s10964-005-9002-9" TargetMode="External"/><Relationship Id="rId192" Type="http://schemas.openxmlformats.org/officeDocument/2006/relationships/hyperlink" Target="https://doi.org/10.1186/1753-2000-2-29" TargetMode="External"/><Relationship Id="rId206" Type="http://schemas.openxmlformats.org/officeDocument/2006/relationships/hyperlink" Target="https://doi.org/10.1007/s10862-016-9558-6" TargetMode="External"/><Relationship Id="rId227" Type="http://schemas.openxmlformats.org/officeDocument/2006/relationships/hyperlink" Target="https://doi.org/10.1111/hcre.12070" TargetMode="External"/><Relationship Id="rId248" Type="http://schemas.openxmlformats.org/officeDocument/2006/relationships/hyperlink" Target="https://doi.org/10.1111/jpr.12234" TargetMode="External"/><Relationship Id="rId269" Type="http://schemas.openxmlformats.org/officeDocument/2006/relationships/hyperlink" Target="https://doi.org/10.7802/1937" TargetMode="External"/><Relationship Id="rId12" Type="http://schemas.openxmlformats.org/officeDocument/2006/relationships/header" Target="header2.xml"/><Relationship Id="rId33" Type="http://schemas.openxmlformats.org/officeDocument/2006/relationships/hyperlink" Target="https://doi.org/10.1080/10410236.2019.1593080" TargetMode="External"/><Relationship Id="rId108" Type="http://schemas.openxmlformats.org/officeDocument/2006/relationships/hyperlink" Target="https://doi.org/10.1026/0943-8149/a000129" TargetMode="External"/><Relationship Id="rId129" Type="http://schemas.openxmlformats.org/officeDocument/2006/relationships/hyperlink" Target="https://doi.org/10.1037/0021-843X.106.3.386" TargetMode="External"/><Relationship Id="rId280" Type="http://schemas.openxmlformats.org/officeDocument/2006/relationships/hyperlink" Target="https://doi.org/10.1037/0022-0167.52.1.14" TargetMode="External"/><Relationship Id="rId54" Type="http://schemas.openxmlformats.org/officeDocument/2006/relationships/hyperlink" Target="https://doi.org/10.1080/07481187.2017.1332115" TargetMode="External"/><Relationship Id="rId75" Type="http://schemas.openxmlformats.org/officeDocument/2006/relationships/hyperlink" Target="https://doi.org/10.1006/jrpe.1994.1033" TargetMode="External"/><Relationship Id="rId96" Type="http://schemas.openxmlformats.org/officeDocument/2006/relationships/hyperlink" Target="https://doi.org/10.1001/jamapsychiatry.2014.1325" TargetMode="External"/><Relationship Id="rId140" Type="http://schemas.openxmlformats.org/officeDocument/2006/relationships/hyperlink" Target="https://doi.org/10.1111/pere.12231" TargetMode="External"/><Relationship Id="rId161" Type="http://schemas.openxmlformats.org/officeDocument/2006/relationships/hyperlink" Target="https://doi.org/10.1017/s0033291718000788" TargetMode="External"/><Relationship Id="rId182" Type="http://schemas.openxmlformats.org/officeDocument/2006/relationships/hyperlink" Target="https://doi.org/10.2190/A465-356M-7652-783R" TargetMode="External"/><Relationship Id="rId217" Type="http://schemas.openxmlformats.org/officeDocument/2006/relationships/hyperlink" Target="https://doi.org/10.1016/0191-8869(89)90011-1" TargetMode="External"/><Relationship Id="rId6" Type="http://schemas.openxmlformats.org/officeDocument/2006/relationships/footnotes" Target="footnotes.xml"/><Relationship Id="rId238" Type="http://schemas.openxmlformats.org/officeDocument/2006/relationships/hyperlink" Target="https://doi.org/10.1016/j.addbeh.2017.11.009." TargetMode="External"/><Relationship Id="rId259" Type="http://schemas.openxmlformats.org/officeDocument/2006/relationships/hyperlink" Target="https://doi.org/10.2466/PR0.105.2.610-624" TargetMode="External"/><Relationship Id="rId23" Type="http://schemas.openxmlformats.org/officeDocument/2006/relationships/hyperlink" Target="https://doi.org/10.1016/j.chb.2018.04.001" TargetMode="External"/><Relationship Id="rId119" Type="http://schemas.openxmlformats.org/officeDocument/2006/relationships/hyperlink" Target="https://doi.org/10.1007/s11218-017-9390-1" TargetMode="External"/><Relationship Id="rId270" Type="http://schemas.openxmlformats.org/officeDocument/2006/relationships/hyperlink" Target="https://doi.org/10.1111/j.1475-6811.2009.01220.x" TargetMode="External"/><Relationship Id="rId291" Type="http://schemas.openxmlformats.org/officeDocument/2006/relationships/hyperlink" Target="https://doi.org/10.2466/PR0.81.5.317-318" TargetMode="External"/><Relationship Id="rId305" Type="http://schemas.openxmlformats.org/officeDocument/2006/relationships/fontTable" Target="fontTable.xml"/><Relationship Id="rId44" Type="http://schemas.openxmlformats.org/officeDocument/2006/relationships/hyperlink" Target="https://doi.org/10.1177/1359105315609090" TargetMode="External"/><Relationship Id="rId65" Type="http://schemas.openxmlformats.org/officeDocument/2006/relationships/hyperlink" Target="https://doi.org/10.11114/jets.v2i3.408" TargetMode="External"/><Relationship Id="rId86" Type="http://schemas.openxmlformats.org/officeDocument/2006/relationships/hyperlink" Target="https://doi.org/10.1080/03601271003756628" TargetMode="External"/><Relationship Id="rId130" Type="http://schemas.openxmlformats.org/officeDocument/2006/relationships/hyperlink" Target="https://doi.org/10.1177/147470490800600410" TargetMode="External"/><Relationship Id="rId151" Type="http://schemas.openxmlformats.org/officeDocument/2006/relationships/hyperlink" Target="https://doi.org/10.2224/sbp.2013.41.5.705" TargetMode="External"/><Relationship Id="rId172" Type="http://schemas.openxmlformats.org/officeDocument/2006/relationships/hyperlink" Target="https://doi.org/10.1353/aad.2012.0737" TargetMode="External"/><Relationship Id="rId193" Type="http://schemas.openxmlformats.org/officeDocument/2006/relationships/hyperlink" Target="https://doi.org/10.1016/j.chb.2014.02.009" TargetMode="External"/><Relationship Id="rId207" Type="http://schemas.openxmlformats.org/officeDocument/2006/relationships/hyperlink" Target="https://doi.org/10.1108/JPMH-03-2016-0013" TargetMode="External"/><Relationship Id="rId228" Type="http://schemas.openxmlformats.org/officeDocument/2006/relationships/hyperlink" Target="https://doi.org/10.3109/10826084.2015.1126746" TargetMode="External"/><Relationship Id="rId249" Type="http://schemas.openxmlformats.org/officeDocument/2006/relationships/hyperlink" Target="https://doi.org/10.1037/a0034628" TargetMode="External"/><Relationship Id="rId13" Type="http://schemas.openxmlformats.org/officeDocument/2006/relationships/hyperlink" Target="https://www.gapminder.org/data/" TargetMode="External"/><Relationship Id="rId109" Type="http://schemas.openxmlformats.org/officeDocument/2006/relationships/hyperlink" Target="https://doi.org/10.1080/00224545.2016.1229251" TargetMode="External"/><Relationship Id="rId260" Type="http://schemas.openxmlformats.org/officeDocument/2006/relationships/hyperlink" Target="https://doi.org/10.1037/ipp0000075" TargetMode="External"/><Relationship Id="rId281" Type="http://schemas.openxmlformats.org/officeDocument/2006/relationships/hyperlink" Target="https://doi.org/10.1177/1461444806059870" TargetMode="External"/><Relationship Id="rId34" Type="http://schemas.openxmlformats.org/officeDocument/2006/relationships/hyperlink" Target="https://doi.org/10.1007/s11126-017-9535-6" TargetMode="External"/><Relationship Id="rId55" Type="http://schemas.openxmlformats.org/officeDocument/2006/relationships/hyperlink" Target="https://doi.org/10.1177/0739986317738028" TargetMode="External"/><Relationship Id="rId76" Type="http://schemas.openxmlformats.org/officeDocument/2006/relationships/hyperlink" Target="https://doi.org/10.1353/csd.2013.0021" TargetMode="External"/><Relationship Id="rId97" Type="http://schemas.openxmlformats.org/officeDocument/2006/relationships/hyperlink" Target="https://doi.org/10.1016/0145-2134(96)00097-X" TargetMode="External"/><Relationship Id="rId120" Type="http://schemas.openxmlformats.org/officeDocument/2006/relationships/hyperlink" Target="https://doi.org/10.1007/s10899-018-9753-3" TargetMode="External"/><Relationship Id="rId141" Type="http://schemas.openxmlformats.org/officeDocument/2006/relationships/hyperlink" Target="https://doi.org/10.1111/sltb.12095" TargetMode="External"/><Relationship Id="rId7" Type="http://schemas.openxmlformats.org/officeDocument/2006/relationships/endnotes" Target="endnotes.xml"/><Relationship Id="rId162" Type="http://schemas.openxmlformats.org/officeDocument/2006/relationships/hyperlink" Target="https://doi.org/10.1016/j.jrp.2009.05.003" TargetMode="External"/><Relationship Id="rId183" Type="http://schemas.openxmlformats.org/officeDocument/2006/relationships/hyperlink" Target="https://doi.org/10.3389/fpsyg.2012.00366" TargetMode="External"/><Relationship Id="rId218" Type="http://schemas.openxmlformats.org/officeDocument/2006/relationships/hyperlink" Target="https://doi.org/10.1177/0146167214529799" TargetMode="External"/><Relationship Id="rId239" Type="http://schemas.openxmlformats.org/officeDocument/2006/relationships/hyperlink" Target="https://doi.org/10.1016/j.chb.2012.07.012" TargetMode="External"/><Relationship Id="rId2" Type="http://schemas.openxmlformats.org/officeDocument/2006/relationships/numbering" Target="numbering.xml"/><Relationship Id="rId29" Type="http://schemas.openxmlformats.org/officeDocument/2006/relationships/hyperlink" Target="https://doi.org/10.2466/PR0.94.3.859-862" TargetMode="External"/><Relationship Id="rId250" Type="http://schemas.openxmlformats.org/officeDocument/2006/relationships/hyperlink" Target="https://doi.org/10.1016/j.paid.2016.03.023" TargetMode="External"/><Relationship Id="rId255" Type="http://schemas.openxmlformats.org/officeDocument/2006/relationships/hyperlink" Target="https://doi.org/10.1037/0022-3514.48.4.981" TargetMode="External"/><Relationship Id="rId271" Type="http://schemas.openxmlformats.org/officeDocument/2006/relationships/hyperlink" Target="https://doi.org/10.1037/aap0000065" TargetMode="External"/><Relationship Id="rId276" Type="http://schemas.openxmlformats.org/officeDocument/2006/relationships/hyperlink" Target="https://doi.org/10.1111/pere.12076" TargetMode="External"/><Relationship Id="rId292" Type="http://schemas.openxmlformats.org/officeDocument/2006/relationships/hyperlink" Target="https://doi.org/10.1007/s10447-012-9156-6" TargetMode="External"/><Relationship Id="rId297" Type="http://schemas.openxmlformats.org/officeDocument/2006/relationships/hyperlink" Target="https://doi.org/10.1007/s11469-015-9612-8" TargetMode="External"/><Relationship Id="rId306" Type="http://schemas.openxmlformats.org/officeDocument/2006/relationships/theme" Target="theme/theme1.xml"/><Relationship Id="rId24" Type="http://schemas.openxmlformats.org/officeDocument/2006/relationships/hyperlink" Target="https://doi.org/10.2466/pr0.1983.53.3.883" TargetMode="External"/><Relationship Id="rId40" Type="http://schemas.openxmlformats.org/officeDocument/2006/relationships/hyperlink" Target="https://doi.org/10.1111/sjop.12049" TargetMode="External"/><Relationship Id="rId45" Type="http://schemas.openxmlformats.org/officeDocument/2006/relationships/hyperlink" Target="https://doi.org/10.1080/15267431.2016.1146724" TargetMode="External"/><Relationship Id="rId66" Type="http://schemas.openxmlformats.org/officeDocument/2006/relationships/hyperlink" Target="https://doi.org/10.1007/s11162-010-9208-x" TargetMode="External"/><Relationship Id="rId87" Type="http://schemas.openxmlformats.org/officeDocument/2006/relationships/hyperlink" Target="https://doi.org/10.1177/0146167205282153" TargetMode="External"/><Relationship Id="rId110" Type="http://schemas.openxmlformats.org/officeDocument/2006/relationships/hyperlink" Target="https://doi.org/10.2224/sbp.2012.40.2.227" TargetMode="External"/><Relationship Id="rId115" Type="http://schemas.openxmlformats.org/officeDocument/2006/relationships/hyperlink" Target="https://doi.org/10.1177/1362361317699584" TargetMode="External"/><Relationship Id="rId131" Type="http://schemas.openxmlformats.org/officeDocument/2006/relationships/hyperlink" Target="https://doi.org/10.1353/csd.2016.0048" TargetMode="External"/><Relationship Id="rId136" Type="http://schemas.openxmlformats.org/officeDocument/2006/relationships/hyperlink" Target="https://doi.org/10.2466/PR0.88.2.521-526" TargetMode="External"/><Relationship Id="rId157" Type="http://schemas.openxmlformats.org/officeDocument/2006/relationships/hyperlink" Target="https://doi.org/10.1097/00006199-198211000-00005" TargetMode="External"/><Relationship Id="rId178" Type="http://schemas.openxmlformats.org/officeDocument/2006/relationships/hyperlink" Target="https://doi.org/10.1353/csd.2017.0085" TargetMode="External"/><Relationship Id="rId301" Type="http://schemas.openxmlformats.org/officeDocument/2006/relationships/hyperlink" Target="https://doi.org/10.1002/jcad.12158" TargetMode="External"/><Relationship Id="rId61" Type="http://schemas.openxmlformats.org/officeDocument/2006/relationships/hyperlink" Target="https://doi.org/10.1080/00223980.2017.1314928" TargetMode="External"/><Relationship Id="rId82" Type="http://schemas.openxmlformats.org/officeDocument/2006/relationships/hyperlink" Target="https://doi.org/10.1177/0093650216657755" TargetMode="External"/><Relationship Id="rId152" Type="http://schemas.openxmlformats.org/officeDocument/2006/relationships/hyperlink" Target="https://doi.org/10.1177/1469787412452983" TargetMode="External"/><Relationship Id="rId173" Type="http://schemas.openxmlformats.org/officeDocument/2006/relationships/hyperlink" Target="https://doi.org/10.1007/s10608-015-9711-7" TargetMode="External"/><Relationship Id="rId194" Type="http://schemas.openxmlformats.org/officeDocument/2006/relationships/hyperlink" Target="https://doi.org/10.1016/j.chb.2017.12.033" TargetMode="External"/><Relationship Id="rId199" Type="http://schemas.openxmlformats.org/officeDocument/2006/relationships/hyperlink" Target="https://doi.org/10.1016/j.bbr.2017.02.012" TargetMode="External"/><Relationship Id="rId203" Type="http://schemas.openxmlformats.org/officeDocument/2006/relationships/hyperlink" Target="https://doi.org/10.1371/journal.pone.0189873" TargetMode="External"/><Relationship Id="rId208" Type="http://schemas.openxmlformats.org/officeDocument/2006/relationships/hyperlink" Target="https://doi.org/10.1016/j.paid.2009.04.026" TargetMode="External"/><Relationship Id="rId229" Type="http://schemas.openxmlformats.org/officeDocument/2006/relationships/hyperlink" Target="https://doi.org/10.1080/00223980.2011.555791" TargetMode="External"/><Relationship Id="rId19" Type="http://schemas.openxmlformats.org/officeDocument/2006/relationships/hyperlink" Target="https://doi.org/10.1521/soco.1985.3.1.16" TargetMode="External"/><Relationship Id="rId224" Type="http://schemas.openxmlformats.org/officeDocument/2006/relationships/hyperlink" Target="https://doi.org/10.1111/j.1468-2958.2000.tb00766.x" TargetMode="External"/><Relationship Id="rId240" Type="http://schemas.openxmlformats.org/officeDocument/2006/relationships/hyperlink" Target="https://doi.org/10.4018/IJCBPL.2017040104" TargetMode="External"/><Relationship Id="rId245" Type="http://schemas.openxmlformats.org/officeDocument/2006/relationships/hyperlink" Target="https://doi.org/10.1007/s12671-018-0912-5" TargetMode="External"/><Relationship Id="rId261" Type="http://schemas.openxmlformats.org/officeDocument/2006/relationships/hyperlink" Target="https://doi.org/10.1007/s00127-006-0140-5" TargetMode="External"/><Relationship Id="rId266" Type="http://schemas.openxmlformats.org/officeDocument/2006/relationships/hyperlink" Target="https://doi.org/10.1111/pere.12250" TargetMode="External"/><Relationship Id="rId287" Type="http://schemas.openxmlformats.org/officeDocument/2006/relationships/hyperlink" Target="https://doi.org/10.1037/arc0000007" TargetMode="External"/><Relationship Id="rId14" Type="http://schemas.openxmlformats.org/officeDocument/2006/relationships/hyperlink" Target="https://www.gapminder.org/data/" TargetMode="External"/><Relationship Id="rId30" Type="http://schemas.openxmlformats.org/officeDocument/2006/relationships/hyperlink" Target="https://doi.org/10.5114/cipp.2015.52891" TargetMode="External"/><Relationship Id="rId35" Type="http://schemas.openxmlformats.org/officeDocument/2006/relationships/hyperlink" Target="https://doi.org/10.1177/0894439314528779" TargetMode="External"/><Relationship Id="rId56" Type="http://schemas.openxmlformats.org/officeDocument/2006/relationships/hyperlink" Target="https://doi.org/10.1037/a0023255" TargetMode="External"/><Relationship Id="rId77" Type="http://schemas.openxmlformats.org/officeDocument/2006/relationships/hyperlink" Target="https://doi.org/10.1177/1948550612469233" TargetMode="External"/><Relationship Id="rId100" Type="http://schemas.openxmlformats.org/officeDocument/2006/relationships/hyperlink" Target="https://doi.org/10.2466/pr0.1993.73.3.843" TargetMode="External"/><Relationship Id="rId105" Type="http://schemas.openxmlformats.org/officeDocument/2006/relationships/hyperlink" Target="https://doi.org/10.1007/s10461-012-0273-3." TargetMode="External"/><Relationship Id="rId126" Type="http://schemas.openxmlformats.org/officeDocument/2006/relationships/hyperlink" Target="https://doi.org/10.2224/sbp.6807" TargetMode="External"/><Relationship Id="rId147" Type="http://schemas.openxmlformats.org/officeDocument/2006/relationships/hyperlink" Target="https://doi.org/10.1007/s10804-017-9271-z" TargetMode="External"/><Relationship Id="rId168" Type="http://schemas.openxmlformats.org/officeDocument/2006/relationships/hyperlink" Target="https://doi.org/10.1016/S0747-5632(99)00049-7" TargetMode="External"/><Relationship Id="rId282" Type="http://schemas.openxmlformats.org/officeDocument/2006/relationships/hyperlink" Target="https://doi.org/10.1111/jomf.12396" TargetMode="External"/><Relationship Id="rId8" Type="http://schemas.openxmlformats.org/officeDocument/2006/relationships/image" Target="media/image1.tiff"/><Relationship Id="rId51" Type="http://schemas.openxmlformats.org/officeDocument/2006/relationships/hyperlink" Target="https://doi.org/10.1007/s10608-017-9843-z" TargetMode="External"/><Relationship Id="rId72" Type="http://schemas.openxmlformats.org/officeDocument/2006/relationships/hyperlink" Target="https://doi.org/10.1080/07448481.2018.1557198" TargetMode="External"/><Relationship Id="rId93" Type="http://schemas.openxmlformats.org/officeDocument/2006/relationships/hyperlink" Target="https://doi.org/10.1177/009365088015002002" TargetMode="External"/><Relationship Id="rId98" Type="http://schemas.openxmlformats.org/officeDocument/2006/relationships/hyperlink" Target="https://doi.org/10.2224/sbp.2009.37.6.811" TargetMode="External"/><Relationship Id="rId121" Type="http://schemas.openxmlformats.org/officeDocument/2006/relationships/hyperlink" Target="https://doi.org/10.1080/16506073.2018.1475505" TargetMode="External"/><Relationship Id="rId142" Type="http://schemas.openxmlformats.org/officeDocument/2006/relationships/hyperlink" Target="https://doi.org/10.1037/ppm0000230" TargetMode="External"/><Relationship Id="rId163" Type="http://schemas.openxmlformats.org/officeDocument/2006/relationships/hyperlink" Target="https://doi.org/10.1016/j.chiabu.2017.07.020" TargetMode="External"/><Relationship Id="rId184" Type="http://schemas.openxmlformats.org/officeDocument/2006/relationships/hyperlink" Target="https://doi.org/10.1111/sjop.12461" TargetMode="External"/><Relationship Id="rId189" Type="http://schemas.openxmlformats.org/officeDocument/2006/relationships/hyperlink" Target="https://doi.org/10.2224/sbp.2013.41.2.203" TargetMode="External"/><Relationship Id="rId219" Type="http://schemas.openxmlformats.org/officeDocument/2006/relationships/hyperlink" Target="https://doi.org/10.1177/0146167214529799" TargetMode="External"/><Relationship Id="rId3" Type="http://schemas.openxmlformats.org/officeDocument/2006/relationships/styles" Target="styles.xml"/><Relationship Id="rId214" Type="http://schemas.openxmlformats.org/officeDocument/2006/relationships/hyperlink" Target="https://doi.org/10.1207/s15327752jpa4203_11" TargetMode="External"/><Relationship Id="rId230" Type="http://schemas.openxmlformats.org/officeDocument/2006/relationships/hyperlink" Target="https://doi.org/10.1111/jcc4.12160" TargetMode="External"/><Relationship Id="rId235" Type="http://schemas.openxmlformats.org/officeDocument/2006/relationships/hyperlink" Target="https://doi.org/10.1371/journal.pone.0168536" TargetMode="External"/><Relationship Id="rId251" Type="http://schemas.openxmlformats.org/officeDocument/2006/relationships/hyperlink" Target="https://doi.org/10.1037/h0094742" TargetMode="External"/><Relationship Id="rId256" Type="http://schemas.openxmlformats.org/officeDocument/2006/relationships/hyperlink" Target="https://doi.org/10.1037/0022-3514.51.5.1069" TargetMode="External"/><Relationship Id="rId277" Type="http://schemas.openxmlformats.org/officeDocument/2006/relationships/hyperlink" Target="https://doi.org/10.1111/j.1559-1816.2012.00927.x" TargetMode="External"/><Relationship Id="rId298" Type="http://schemas.openxmlformats.org/officeDocument/2006/relationships/hyperlink" Target="https://doi.org/10.1016/j.chb.2017.05.037" TargetMode="External"/><Relationship Id="rId25" Type="http://schemas.openxmlformats.org/officeDocument/2006/relationships/hyperlink" Target="https://doi.org/10.2466/pr0.1985.56.1.323" TargetMode="External"/><Relationship Id="rId46" Type="http://schemas.openxmlformats.org/officeDocument/2006/relationships/hyperlink" Target="https://doi.org/10.1097/00006842-200205000-00005" TargetMode="External"/><Relationship Id="rId67" Type="http://schemas.openxmlformats.org/officeDocument/2006/relationships/hyperlink" Target="https://doi.org/10.1016/j.chb.2012.12.002" TargetMode="External"/><Relationship Id="rId116" Type="http://schemas.openxmlformats.org/officeDocument/2006/relationships/hyperlink" Target="https://doi.org/10.1080/13811118.2013.722054" TargetMode="External"/><Relationship Id="rId137" Type="http://schemas.openxmlformats.org/officeDocument/2006/relationships/hyperlink" Target="https://doi.org/10.1007/s11469-018-9938-0" TargetMode="External"/><Relationship Id="rId158" Type="http://schemas.openxmlformats.org/officeDocument/2006/relationships/hyperlink" Target="https://doi.org/10.1007/s10964-018-0944-0" TargetMode="External"/><Relationship Id="rId272" Type="http://schemas.openxmlformats.org/officeDocument/2006/relationships/hyperlink" Target="https://doi.org/10.1016/j.paid.2011.01.021" TargetMode="External"/><Relationship Id="rId293" Type="http://schemas.openxmlformats.org/officeDocument/2006/relationships/hyperlink" Target="https://doi.org/10.1016/j.paid.2016.09.047" TargetMode="External"/><Relationship Id="rId302" Type="http://schemas.openxmlformats.org/officeDocument/2006/relationships/hyperlink" Target="https://doi.org/10.1080/87568225.2018.1523700" TargetMode="External"/><Relationship Id="rId20" Type="http://schemas.openxmlformats.org/officeDocument/2006/relationships/hyperlink" Target="https://doi.org/10.1521/soco.1991.9.2.149" TargetMode="External"/><Relationship Id="rId41" Type="http://schemas.openxmlformats.org/officeDocument/2006/relationships/hyperlink" Target="https://doi.org/10.1037/a0036286" TargetMode="External"/><Relationship Id="rId62" Type="http://schemas.openxmlformats.org/officeDocument/2006/relationships/hyperlink" Target="https://doi.org/10.1177/0047237916639812" TargetMode="External"/><Relationship Id="rId83" Type="http://schemas.openxmlformats.org/officeDocument/2006/relationships/hyperlink" Target="https://doi.org/10.1089/cpb.2008.0162" TargetMode="External"/><Relationship Id="rId88" Type="http://schemas.openxmlformats.org/officeDocument/2006/relationships/hyperlink" Target="https://doi.org/10.1111/ap.12285" TargetMode="External"/><Relationship Id="rId111" Type="http://schemas.openxmlformats.org/officeDocument/2006/relationships/hyperlink" Target="https://doi.org/10.1111/j.1467-9280.2005.01617.x" TargetMode="External"/><Relationship Id="rId132" Type="http://schemas.openxmlformats.org/officeDocument/2006/relationships/hyperlink" Target="https://doi.org/10.1089/cpb.2006.9929" TargetMode="External"/><Relationship Id="rId153" Type="http://schemas.openxmlformats.org/officeDocument/2006/relationships/hyperlink" Target="https://doi.org/10.3389/fpsyg.2018.00492" TargetMode="External"/><Relationship Id="rId174" Type="http://schemas.openxmlformats.org/officeDocument/2006/relationships/hyperlink" Target="https://doi.org/10.1080/00223980.2015.1039474" TargetMode="External"/><Relationship Id="rId179" Type="http://schemas.openxmlformats.org/officeDocument/2006/relationships/hyperlink" Target="https://doi.org/10.1177/2167696816657233" TargetMode="External"/><Relationship Id="rId195" Type="http://schemas.openxmlformats.org/officeDocument/2006/relationships/hyperlink" Target="https://doi.org/10.1089/cyber.2011.0580" TargetMode="External"/><Relationship Id="rId209" Type="http://schemas.openxmlformats.org/officeDocument/2006/relationships/hyperlink" Target="https://doi.org/10.1177/0192513X11403281" TargetMode="External"/><Relationship Id="rId190" Type="http://schemas.openxmlformats.org/officeDocument/2006/relationships/hyperlink" Target="https://doi.org/10.1089/cpb.2007.9953" TargetMode="External"/><Relationship Id="rId204" Type="http://schemas.openxmlformats.org/officeDocument/2006/relationships/hyperlink" Target="https://doi.org/10.1007/s10882-016-9504-2" TargetMode="External"/><Relationship Id="rId220" Type="http://schemas.openxmlformats.org/officeDocument/2006/relationships/hyperlink" Target="https://doi.org/10.1177/0098628315587620" TargetMode="External"/><Relationship Id="rId225" Type="http://schemas.openxmlformats.org/officeDocument/2006/relationships/hyperlink" Target="https://doi.org/10.1177/0265407512443434" TargetMode="External"/><Relationship Id="rId241" Type="http://schemas.openxmlformats.org/officeDocument/2006/relationships/hyperlink" Target="https://doi.org/10.1007/s11469-015-9568-8" TargetMode="External"/><Relationship Id="rId246" Type="http://schemas.openxmlformats.org/officeDocument/2006/relationships/hyperlink" Target="https://doi.org/10.1002/j.2161-1912.2014.00046.x" TargetMode="External"/><Relationship Id="rId267" Type="http://schemas.openxmlformats.org/officeDocument/2006/relationships/hyperlink" Target="https://doi.org/10.1016/j.chb.2017.02.048" TargetMode="External"/><Relationship Id="rId288" Type="http://schemas.openxmlformats.org/officeDocument/2006/relationships/hyperlink" Target="https://doi.org/10.1007/BF03327813" TargetMode="External"/><Relationship Id="rId15" Type="http://schemas.openxmlformats.org/officeDocument/2006/relationships/hyperlink" Target="https://www.gapminder.org/data/" TargetMode="External"/><Relationship Id="rId36" Type="http://schemas.openxmlformats.org/officeDocument/2006/relationships/hyperlink" Target="https://doi.org/10.1007/BF01538717" TargetMode="External"/><Relationship Id="rId57" Type="http://schemas.openxmlformats.org/officeDocument/2006/relationships/hyperlink" Target="https://doi.org/10.1016/j.paid.2014.09.001" TargetMode="External"/><Relationship Id="rId106" Type="http://schemas.openxmlformats.org/officeDocument/2006/relationships/hyperlink" Target="https://doi.org/10.1007/s11469-018-9883-y" TargetMode="External"/><Relationship Id="rId127" Type="http://schemas.openxmlformats.org/officeDocument/2006/relationships/hyperlink" Target="https://doi.org/10.1080/15283488.2012.716381" TargetMode="External"/><Relationship Id="rId262" Type="http://schemas.openxmlformats.org/officeDocument/2006/relationships/hyperlink" Target="https://doi.org/10.3389/fnhum.2018.00543" TargetMode="External"/><Relationship Id="rId283" Type="http://schemas.openxmlformats.org/officeDocument/2006/relationships/hyperlink" Target="https://doi.org/10.1111/j.1475-6811.1997.tb00146.x" TargetMode="External"/><Relationship Id="rId10" Type="http://schemas.openxmlformats.org/officeDocument/2006/relationships/image" Target="media/image3.tiff"/><Relationship Id="rId31" Type="http://schemas.openxmlformats.org/officeDocument/2006/relationships/hyperlink" Target="https://doi.org/10.1037/pas0000476" TargetMode="External"/><Relationship Id="rId52" Type="http://schemas.openxmlformats.org/officeDocument/2006/relationships/hyperlink" Target="https://doi.org/10.1016/j.paid.2017.08.035" TargetMode="External"/><Relationship Id="rId73" Type="http://schemas.openxmlformats.org/officeDocument/2006/relationships/hyperlink" Target="https://doi.org/10.1016/S0191-8869(98)00257-8" TargetMode="External"/><Relationship Id="rId78" Type="http://schemas.openxmlformats.org/officeDocument/2006/relationships/hyperlink" Target="https://doi.org/10.1007/s11205-009-9493-y" TargetMode="External"/><Relationship Id="rId94" Type="http://schemas.openxmlformats.org/officeDocument/2006/relationships/hyperlink" Target="https://doi.org/10.1177/0265407512473863" TargetMode="External"/><Relationship Id="rId99" Type="http://schemas.openxmlformats.org/officeDocument/2006/relationships/hyperlink" Target="https://doi.org/10.3109/16066359.2012.714429" TargetMode="External"/><Relationship Id="rId101" Type="http://schemas.openxmlformats.org/officeDocument/2006/relationships/hyperlink" Target="https://doi.org/10.1080/01973533.2014.900619" TargetMode="External"/><Relationship Id="rId122" Type="http://schemas.openxmlformats.org/officeDocument/2006/relationships/hyperlink" Target="https://doi.org/10.1080/10926771.2015.1049765" TargetMode="External"/><Relationship Id="rId143" Type="http://schemas.openxmlformats.org/officeDocument/2006/relationships/hyperlink" Target="https://doi.org/10.1177/1948550614563085" TargetMode="External"/><Relationship Id="rId148" Type="http://schemas.openxmlformats.org/officeDocument/2006/relationships/hyperlink" Target="https://doi.org/10.1037/cdp0000279" TargetMode="External"/><Relationship Id="rId164" Type="http://schemas.openxmlformats.org/officeDocument/2006/relationships/hyperlink" Target="https://doi.org/10.1016/j.biopsycho.2017.10.002" TargetMode="External"/><Relationship Id="rId169" Type="http://schemas.openxmlformats.org/officeDocument/2006/relationships/hyperlink" Target="https://doi.org/10.1016/S0747-5632(03)00040-2" TargetMode="External"/><Relationship Id="rId185" Type="http://schemas.openxmlformats.org/officeDocument/2006/relationships/hyperlink" Target="https://doi.org/10.1016/j.chb.2013.05.026" TargetMode="External"/><Relationship Id="rId4" Type="http://schemas.openxmlformats.org/officeDocument/2006/relationships/settings" Target="settings.xml"/><Relationship Id="rId9" Type="http://schemas.openxmlformats.org/officeDocument/2006/relationships/image" Target="media/image2.tiff"/><Relationship Id="rId180" Type="http://schemas.openxmlformats.org/officeDocument/2006/relationships/hyperlink" Target="https://doi.org/10.1007/s11031-019-09759-9" TargetMode="External"/><Relationship Id="rId210" Type="http://schemas.openxmlformats.org/officeDocument/2006/relationships/hyperlink" Target="https://doi.org/10.1007/s00127-017-1445-2" TargetMode="External"/><Relationship Id="rId215" Type="http://schemas.openxmlformats.org/officeDocument/2006/relationships/hyperlink" Target="https://doi.org/10.1207/s15327752jpa6601_2" TargetMode="External"/><Relationship Id="rId236" Type="http://schemas.openxmlformats.org/officeDocument/2006/relationships/hyperlink" Target="https://doi.org/10.1097/FBP.0000000000000089" TargetMode="External"/><Relationship Id="rId257" Type="http://schemas.openxmlformats.org/officeDocument/2006/relationships/hyperlink" Target="https://doi.org/10.1016/j.janxdis.2003.09.003" TargetMode="External"/><Relationship Id="rId278" Type="http://schemas.openxmlformats.org/officeDocument/2006/relationships/hyperlink" Target="https://doi.org/10.1111/j.1468-5884.2011.00466.x" TargetMode="External"/><Relationship Id="rId26" Type="http://schemas.openxmlformats.org/officeDocument/2006/relationships/hyperlink" Target="https://doi.org/10.3389/fpsyg.2016.01018" TargetMode="External"/><Relationship Id="rId231" Type="http://schemas.openxmlformats.org/officeDocument/2006/relationships/hyperlink" Target="https://doi.org/10.2466/pr0.1985.57.2.631" TargetMode="External"/><Relationship Id="rId252" Type="http://schemas.openxmlformats.org/officeDocument/2006/relationships/hyperlink" Target="https://doi.org/10.2224/sbp.1988.16.2.169" TargetMode="External"/><Relationship Id="rId273" Type="http://schemas.openxmlformats.org/officeDocument/2006/relationships/hyperlink" Target="https://doi.org/10.1002/per.2028" TargetMode="External"/><Relationship Id="rId294" Type="http://schemas.openxmlformats.org/officeDocument/2006/relationships/hyperlink" Target="https://doi.org/10.1007/s11205-012-0172-z" TargetMode="External"/><Relationship Id="rId47" Type="http://schemas.openxmlformats.org/officeDocument/2006/relationships/hyperlink" Target="https://doi.org/10.1177/009365093020006003" TargetMode="External"/><Relationship Id="rId68" Type="http://schemas.openxmlformats.org/officeDocument/2006/relationships/hyperlink" Target="https://doi.org/10.7282/T33B62DZ" TargetMode="External"/><Relationship Id="rId89" Type="http://schemas.openxmlformats.org/officeDocument/2006/relationships/hyperlink" Target="https://doi.org/10.1080/0144929X.2016.1158319" TargetMode="External"/><Relationship Id="rId112" Type="http://schemas.openxmlformats.org/officeDocument/2006/relationships/hyperlink" Target="https://doi.org/10.1016/j.paid.2018.06.032" TargetMode="External"/><Relationship Id="rId133" Type="http://schemas.openxmlformats.org/officeDocument/2006/relationships/hyperlink" Target="https://doi.org/10.1002/jocc.12095" TargetMode="External"/><Relationship Id="rId154" Type="http://schemas.openxmlformats.org/officeDocument/2006/relationships/hyperlink" Target="https://doi.org/10.1177/0011000016637200" TargetMode="External"/><Relationship Id="rId175" Type="http://schemas.openxmlformats.org/officeDocument/2006/relationships/hyperlink" Target="https://doi.org/10.1016/j.chb.2017.05.012" TargetMode="External"/><Relationship Id="rId196" Type="http://schemas.openxmlformats.org/officeDocument/2006/relationships/hyperlink" Target="https://doi.org/10.1007/s10591-013-9289-8" TargetMode="External"/><Relationship Id="rId200" Type="http://schemas.openxmlformats.org/officeDocument/2006/relationships/hyperlink" Target="https://doi.org/10.3389/fpsyg.2016.00013" TargetMode="External"/><Relationship Id="rId16" Type="http://schemas.openxmlformats.org/officeDocument/2006/relationships/hyperlink" Target="https://doi.org/10.1016/j.chb.2018.02.034" TargetMode="External"/><Relationship Id="rId221" Type="http://schemas.openxmlformats.org/officeDocument/2006/relationships/hyperlink" Target="https://doi.org/10.1016/j.paid.2015.11.035" TargetMode="External"/><Relationship Id="rId242" Type="http://schemas.openxmlformats.org/officeDocument/2006/relationships/hyperlink" Target="https://doi.org/10.1007/s10964-014-0244-2" TargetMode="External"/><Relationship Id="rId263" Type="http://schemas.openxmlformats.org/officeDocument/2006/relationships/hyperlink" Target="https://doi.org/10.1080/02701367.2010.10599681" TargetMode="External"/><Relationship Id="rId284" Type="http://schemas.openxmlformats.org/officeDocument/2006/relationships/hyperlink" Target="https://doi.org/10.1016/j.paid.2005.05.015" TargetMode="External"/><Relationship Id="rId37" Type="http://schemas.openxmlformats.org/officeDocument/2006/relationships/hyperlink" Target="https://doi.org/10.1016/j.paid.2018.07.037" TargetMode="External"/><Relationship Id="rId58" Type="http://schemas.openxmlformats.org/officeDocument/2006/relationships/hyperlink" Target="https://doi.org/10.1016/j.paid.2015.06.016" TargetMode="External"/><Relationship Id="rId79" Type="http://schemas.openxmlformats.org/officeDocument/2006/relationships/hyperlink" Target="https://doi.org/10.29333/ejmste/85637" TargetMode="External"/><Relationship Id="rId102" Type="http://schemas.openxmlformats.org/officeDocument/2006/relationships/hyperlink" Target="https://doi.org/10.1111/j.1467-6494.1993.tb01033.x" TargetMode="External"/><Relationship Id="rId123" Type="http://schemas.openxmlformats.org/officeDocument/2006/relationships/hyperlink" Target="https://doi.org/10.1002/ab.20035" TargetMode="External"/><Relationship Id="rId144" Type="http://schemas.openxmlformats.org/officeDocument/2006/relationships/hyperlink" Target="https://doi.org/10.1016/j.neuroimage.2016.09.050" TargetMode="External"/><Relationship Id="rId90" Type="http://schemas.openxmlformats.org/officeDocument/2006/relationships/hyperlink" Target="https://doi.org/10.1016/j.paid.2016.03.059" TargetMode="External"/><Relationship Id="rId165" Type="http://schemas.openxmlformats.org/officeDocument/2006/relationships/hyperlink" Target="https://doi.org/10.1177/0265407505056447" TargetMode="External"/><Relationship Id="rId186" Type="http://schemas.openxmlformats.org/officeDocument/2006/relationships/hyperlink" Target="https://doi.org/10.1037/a0025570" TargetMode="External"/><Relationship Id="rId211" Type="http://schemas.openxmlformats.org/officeDocument/2006/relationships/hyperlink" Target="https://doi.org/10.1016/j.eatbeh.2017.03.006" TargetMode="External"/><Relationship Id="rId232" Type="http://schemas.openxmlformats.org/officeDocument/2006/relationships/hyperlink" Target="https://doi.org/10.1089/109493102753770552" TargetMode="External"/><Relationship Id="rId253" Type="http://schemas.openxmlformats.org/officeDocument/2006/relationships/hyperlink" Target="https://doi.org/10.1007/s10803-018-3812-6" TargetMode="External"/><Relationship Id="rId274" Type="http://schemas.openxmlformats.org/officeDocument/2006/relationships/hyperlink" Target="https://doi.org/10.1080/01638539909545050" TargetMode="External"/><Relationship Id="rId295" Type="http://schemas.openxmlformats.org/officeDocument/2006/relationships/hyperlink" Target="https://doi.org/10.1089/cyber.2016.0201" TargetMode="External"/><Relationship Id="rId27" Type="http://schemas.openxmlformats.org/officeDocument/2006/relationships/hyperlink" Target="https://doi.org/10.1007/s10896-006-9055-x" TargetMode="External"/><Relationship Id="rId48" Type="http://schemas.openxmlformats.org/officeDocument/2006/relationships/hyperlink" Target="https://doi.org/10.1007/s11031-016-9599-x" TargetMode="External"/><Relationship Id="rId69" Type="http://schemas.openxmlformats.org/officeDocument/2006/relationships/hyperlink" Target="https://doi.org/10.1080/10640269308248265" TargetMode="External"/><Relationship Id="rId113" Type="http://schemas.openxmlformats.org/officeDocument/2006/relationships/hyperlink" Target="https://doi.org/10.1521/jscp.2006.25.10.1086" TargetMode="External"/><Relationship Id="rId134" Type="http://schemas.openxmlformats.org/officeDocument/2006/relationships/hyperlink" Target="https://doi.org/10.1016/j.adolescence.2007.10.011" TargetMode="External"/><Relationship Id="rId80" Type="http://schemas.openxmlformats.org/officeDocument/2006/relationships/hyperlink" Target="https://doi.org/10.1016/j.biopsycho.2018.05.014" TargetMode="External"/><Relationship Id="rId155" Type="http://schemas.openxmlformats.org/officeDocument/2006/relationships/hyperlink" Target="https://doi.org/10.1111/bjop.12131" TargetMode="External"/><Relationship Id="rId176" Type="http://schemas.openxmlformats.org/officeDocument/2006/relationships/hyperlink" Target="https://doi.org/10.1080/00223980009598232" TargetMode="External"/><Relationship Id="rId197" Type="http://schemas.openxmlformats.org/officeDocument/2006/relationships/hyperlink" Target="https://doi.org/10.1080/10447318.2014.986640" TargetMode="External"/><Relationship Id="rId201" Type="http://schemas.openxmlformats.org/officeDocument/2006/relationships/hyperlink" Target="https://doi.org/10.1016/j.chb.2007.11.003" TargetMode="External"/><Relationship Id="rId222" Type="http://schemas.openxmlformats.org/officeDocument/2006/relationships/hyperlink" Target="https://doi.org/10.1111/ap.12129" TargetMode="External"/><Relationship Id="rId243" Type="http://schemas.openxmlformats.org/officeDocument/2006/relationships/hyperlink" Target="https://doi.org/10.1177/0146167284102016" TargetMode="External"/><Relationship Id="rId264" Type="http://schemas.openxmlformats.org/officeDocument/2006/relationships/hyperlink" Target="https://doi.org/10.1016/j.paid.2018.12.023" TargetMode="External"/><Relationship Id="rId285" Type="http://schemas.openxmlformats.org/officeDocument/2006/relationships/hyperlink" Target="https://doi.org/10.1177/135910539800300110" TargetMode="External"/><Relationship Id="rId17" Type="http://schemas.openxmlformats.org/officeDocument/2006/relationships/hyperlink" Target="https://doi.org/10.1037/a0020648" TargetMode="External"/><Relationship Id="rId38" Type="http://schemas.openxmlformats.org/officeDocument/2006/relationships/hyperlink" Target="https://doi.org/10.1080/10887156.2012.649994" TargetMode="External"/><Relationship Id="rId59" Type="http://schemas.openxmlformats.org/officeDocument/2006/relationships/hyperlink" Target="https://doi.org/10.1016/j.brat.2008.03.012" TargetMode="External"/><Relationship Id="rId103" Type="http://schemas.openxmlformats.org/officeDocument/2006/relationships/hyperlink" Target="https://doi.org/10.1002/per.1857" TargetMode="External"/><Relationship Id="rId124" Type="http://schemas.openxmlformats.org/officeDocument/2006/relationships/hyperlink" Target="https://doi.org/10.1016/j.chb.2012.11.024" TargetMode="External"/><Relationship Id="rId70" Type="http://schemas.openxmlformats.org/officeDocument/2006/relationships/hyperlink" Target="https://doi.org/10.1037/emo0000582" TargetMode="External"/><Relationship Id="rId91" Type="http://schemas.openxmlformats.org/officeDocument/2006/relationships/hyperlink" Target="https://doi.org/10.1097/PSY.0000000000000338" TargetMode="External"/><Relationship Id="rId145" Type="http://schemas.openxmlformats.org/officeDocument/2006/relationships/hyperlink" Target="https://doi.org/10.1177/0192513X14567957" TargetMode="External"/><Relationship Id="rId166" Type="http://schemas.openxmlformats.org/officeDocument/2006/relationships/hyperlink" Target="https://doi.org/10.33915/etd.474" TargetMode="External"/><Relationship Id="rId187" Type="http://schemas.openxmlformats.org/officeDocument/2006/relationships/hyperlink" Target="https://doi.org/10.1353/csd.2010.0011" TargetMode="External"/><Relationship Id="rId1" Type="http://schemas.openxmlformats.org/officeDocument/2006/relationships/customXml" Target="../customXml/item1.xml"/><Relationship Id="rId212" Type="http://schemas.openxmlformats.org/officeDocument/2006/relationships/hyperlink" Target="https://doi.org/10.1037/0022-3514.46.6.1313" TargetMode="External"/><Relationship Id="rId233" Type="http://schemas.openxmlformats.org/officeDocument/2006/relationships/hyperlink" Target="https://doi.org/10.1111/j.1475-6811.2006.00110.x" TargetMode="External"/><Relationship Id="rId254" Type="http://schemas.openxmlformats.org/officeDocument/2006/relationships/hyperlink" Target="https://doi.org/10.1111/1467-6494.7102004" TargetMode="External"/><Relationship Id="rId28" Type="http://schemas.openxmlformats.org/officeDocument/2006/relationships/hyperlink" Target="https://doi.org/10.1177/1948550614568682" TargetMode="External"/><Relationship Id="rId49" Type="http://schemas.openxmlformats.org/officeDocument/2006/relationships/hyperlink" Target="https://doi.org/10.1007/s10212-012-0106-9" TargetMode="External"/><Relationship Id="rId114" Type="http://schemas.openxmlformats.org/officeDocument/2006/relationships/hyperlink" Target="https://doi.org/10.1080/17439760903271108" TargetMode="External"/><Relationship Id="rId275" Type="http://schemas.openxmlformats.org/officeDocument/2006/relationships/hyperlink" Target="https://doi.org/10.1002/jocc.12055" TargetMode="External"/><Relationship Id="rId296" Type="http://schemas.openxmlformats.org/officeDocument/2006/relationships/hyperlink" Target="https://doi.org/10.1016/j.chb.2013.08.007" TargetMode="External"/><Relationship Id="rId300" Type="http://schemas.openxmlformats.org/officeDocument/2006/relationships/hyperlink" Target="https://doi.org/10.1037/a0029007" TargetMode="External"/><Relationship Id="rId60" Type="http://schemas.openxmlformats.org/officeDocument/2006/relationships/hyperlink" Target="https://doi.org/10.1002/jclp.20721" TargetMode="External"/><Relationship Id="rId81" Type="http://schemas.openxmlformats.org/officeDocument/2006/relationships/hyperlink" Target="https://doi.org/10.1177/0734282914548325" TargetMode="External"/><Relationship Id="rId135" Type="http://schemas.openxmlformats.org/officeDocument/2006/relationships/hyperlink" Target="https://doi.org/10.1111/j.1083-6101.2009.01478.x" TargetMode="External"/><Relationship Id="rId156" Type="http://schemas.openxmlformats.org/officeDocument/2006/relationships/hyperlink" Target="https://doi.org/10.1016/j.jrp.2016.02.002" TargetMode="External"/><Relationship Id="rId177" Type="http://schemas.openxmlformats.org/officeDocument/2006/relationships/hyperlink" Target="https://doi.org/10.1080/00223980309600619" TargetMode="External"/><Relationship Id="rId198" Type="http://schemas.openxmlformats.org/officeDocument/2006/relationships/hyperlink" Target="https://doi.org/10.1016/j.chb.2018.11.020" TargetMode="External"/><Relationship Id="rId202" Type="http://schemas.openxmlformats.org/officeDocument/2006/relationships/hyperlink" Target="https://doi.org/10.1177/0013164493053001026" TargetMode="External"/><Relationship Id="rId223" Type="http://schemas.openxmlformats.org/officeDocument/2006/relationships/hyperlink" Target="https://doi.org/10.2466/pms.1993.77.3f.1315" TargetMode="External"/><Relationship Id="rId244" Type="http://schemas.openxmlformats.org/officeDocument/2006/relationships/hyperlink" Target="https://doi.org/10.1016/j.jbtep.2014.04.001" TargetMode="External"/><Relationship Id="rId18" Type="http://schemas.openxmlformats.org/officeDocument/2006/relationships/hyperlink" Target="https://doi.org/10.1177/0146167299025004007" TargetMode="External"/><Relationship Id="rId39" Type="http://schemas.openxmlformats.org/officeDocument/2006/relationships/hyperlink" Target="https://doi.org/10.1177/0265407515617621" TargetMode="External"/><Relationship Id="rId265" Type="http://schemas.openxmlformats.org/officeDocument/2006/relationships/hyperlink" Target="https://doi.org/10.1007/s11469-018-9871-2" TargetMode="External"/><Relationship Id="rId286" Type="http://schemas.openxmlformats.org/officeDocument/2006/relationships/hyperlink" Target="https://www.who.int/hac/about/definitions/en/" TargetMode="External"/><Relationship Id="rId50" Type="http://schemas.openxmlformats.org/officeDocument/2006/relationships/hyperlink" Target="https://doi.org/10.2224/sbp.2007.35.6.835" TargetMode="External"/><Relationship Id="rId104" Type="http://schemas.openxmlformats.org/officeDocument/2006/relationships/hyperlink" Target="https://doi.org/10.1007/s10461-014-0892-y" TargetMode="External"/><Relationship Id="rId125" Type="http://schemas.openxmlformats.org/officeDocument/2006/relationships/hyperlink" Target="https://doi.org/10.1007/s10803-017-3315-x" TargetMode="External"/><Relationship Id="rId146" Type="http://schemas.openxmlformats.org/officeDocument/2006/relationships/hyperlink" Target="https://doi.org/10.1007/s10964-015-0395-9" TargetMode="External"/><Relationship Id="rId167" Type="http://schemas.openxmlformats.org/officeDocument/2006/relationships/hyperlink" Target="https://doi.org/10.1006/jado.2002.0464" TargetMode="External"/><Relationship Id="rId188" Type="http://schemas.openxmlformats.org/officeDocument/2006/relationships/hyperlink" Target="https://doi.org/10.1037/pspp0000038" TargetMode="External"/><Relationship Id="rId71" Type="http://schemas.openxmlformats.org/officeDocument/2006/relationships/hyperlink" Target="https://github.com/dsnlab/shwell" TargetMode="External"/><Relationship Id="rId92" Type="http://schemas.openxmlformats.org/officeDocument/2006/relationships/hyperlink" Target="https://doi.org/10.1007/s10608-008-9214-x" TargetMode="External"/><Relationship Id="rId213" Type="http://schemas.openxmlformats.org/officeDocument/2006/relationships/hyperlink" Target="https://doi.org/10.1037/0022-3514.39.3.472" TargetMode="External"/><Relationship Id="rId234" Type="http://schemas.openxmlformats.org/officeDocument/2006/relationships/hyperlink" Target="https://doi.org/10.1177/0020764017705895"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Times New Roman">
      <a:majorFont>
        <a:latin typeface="Times New Roman"/>
        <a:ea typeface="Arial"/>
        <a:cs typeface="Arial"/>
      </a:majorFont>
      <a:minorFont>
        <a:latin typeface="Times New Roman"/>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518954-6EA9-4B26-AE60-71C5A59420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16073</Words>
  <Characters>91620</Characters>
  <Application>Microsoft Office Word</Application>
  <DocSecurity>0</DocSecurity>
  <Lines>763</Lines>
  <Paragraphs>214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107479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Bevington, Cara</cp:lastModifiedBy>
  <cp:revision>2</cp:revision>
  <dcterms:created xsi:type="dcterms:W3CDTF">2021-09-20T16:31:00Z</dcterms:created>
  <dcterms:modified xsi:type="dcterms:W3CDTF">2021-09-20T16:31:00Z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zotero-version="5.0.89"&gt;&lt;session id="bb3J0mp5"/&gt;&lt;style id="http://www.zotero.org/styles/apa" locale="en-US"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