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A6" w:rsidRPr="00581AFF" w:rsidRDefault="00C05CA6" w:rsidP="00C05CA6">
      <w:pPr>
        <w:jc w:val="center"/>
        <w:rPr>
          <w:rFonts w:ascii="Times New Roman" w:hAnsi="Times New Roman" w:cs="Times New Roman"/>
          <w:sz w:val="24"/>
          <w:szCs w:val="24"/>
        </w:rPr>
      </w:pPr>
      <w:r w:rsidRPr="00581AFF">
        <w:rPr>
          <w:rFonts w:ascii="Times New Roman" w:hAnsi="Times New Roman" w:cs="Times New Roman"/>
          <w:sz w:val="24"/>
          <w:szCs w:val="24"/>
        </w:rPr>
        <w:t>Appendix</w:t>
      </w:r>
    </w:p>
    <w:p w:rsidR="00C05CA6" w:rsidRPr="003576AA" w:rsidRDefault="00C05CA6" w:rsidP="00C05CA6">
      <w:pPr>
        <w:spacing w:after="0" w:line="480" w:lineRule="auto"/>
        <w:jc w:val="center"/>
        <w:rPr>
          <w:rFonts w:ascii="Times New Roman" w:hAnsi="Times New Roman" w:cs="Times New Roman"/>
          <w:sz w:val="24"/>
          <w:szCs w:val="24"/>
        </w:rPr>
      </w:pPr>
      <w:r w:rsidRPr="003576AA">
        <w:rPr>
          <w:rFonts w:ascii="Times New Roman" w:hAnsi="Times New Roman" w:cs="Times New Roman"/>
          <w:sz w:val="24"/>
          <w:szCs w:val="24"/>
        </w:rPr>
        <w:t>Studies of Employee Referral Hiring by Phase of the Referring Process and Year of Publication</w:t>
      </w:r>
    </w:p>
    <w:tbl>
      <w:tblPr>
        <w:tblW w:w="12960" w:type="dxa"/>
        <w:tblInd w:w="93" w:type="dxa"/>
        <w:tblLayout w:type="fixed"/>
        <w:tblCellMar>
          <w:top w:w="14" w:type="dxa"/>
          <w:left w:w="14" w:type="dxa"/>
          <w:bottom w:w="72" w:type="dxa"/>
          <w:right w:w="43" w:type="dxa"/>
        </w:tblCellMar>
        <w:tblLook w:val="04A0" w:firstRow="1" w:lastRow="0" w:firstColumn="1" w:lastColumn="0" w:noHBand="0" w:noVBand="1"/>
      </w:tblPr>
      <w:tblGrid>
        <w:gridCol w:w="622"/>
        <w:gridCol w:w="1440"/>
        <w:gridCol w:w="810"/>
        <w:gridCol w:w="1755"/>
        <w:gridCol w:w="1755"/>
        <w:gridCol w:w="1080"/>
        <w:gridCol w:w="1350"/>
        <w:gridCol w:w="4128"/>
        <w:gridCol w:w="20"/>
      </w:tblGrid>
      <w:tr w:rsidR="00C05CA6" w:rsidRPr="00581AFF" w:rsidTr="00A90630">
        <w:trPr>
          <w:cantSplit/>
          <w:trHeight w:val="510"/>
          <w:tblHeader/>
        </w:trPr>
        <w:tc>
          <w:tcPr>
            <w:tcW w:w="622" w:type="dxa"/>
            <w:tcBorders>
              <w:top w:val="single" w:sz="4" w:space="0" w:color="auto"/>
              <w:bottom w:val="single" w:sz="4" w:space="0" w:color="auto"/>
            </w:tcBorders>
            <w:vAlign w:val="center"/>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Phase in Referring </w:t>
            </w:r>
          </w:p>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Model</w:t>
            </w:r>
          </w:p>
        </w:tc>
        <w:tc>
          <w:tcPr>
            <w:tcW w:w="1440" w:type="dxa"/>
            <w:tcBorders>
              <w:top w:val="single" w:sz="4" w:space="0" w:color="auto"/>
              <w:bottom w:val="single" w:sz="4" w:space="0" w:color="auto"/>
            </w:tcBorders>
            <w:shd w:val="clear" w:color="auto" w:fill="auto"/>
            <w:vAlign w:val="center"/>
            <w:hideMark/>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Study</w:t>
            </w:r>
          </w:p>
        </w:tc>
        <w:tc>
          <w:tcPr>
            <w:tcW w:w="810" w:type="dxa"/>
            <w:tcBorders>
              <w:top w:val="single" w:sz="4" w:space="0" w:color="auto"/>
              <w:bottom w:val="single" w:sz="4" w:space="0" w:color="auto"/>
            </w:tcBorders>
            <w:vAlign w:val="center"/>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Country</w:t>
            </w:r>
          </w:p>
        </w:tc>
        <w:tc>
          <w:tcPr>
            <w:tcW w:w="1755" w:type="dxa"/>
            <w:tcBorders>
              <w:top w:val="single" w:sz="4" w:space="0" w:color="auto"/>
              <w:bottom w:val="single" w:sz="4" w:space="0" w:color="auto"/>
            </w:tcBorders>
            <w:shd w:val="clear" w:color="auto" w:fill="auto"/>
            <w:vAlign w:val="center"/>
            <w:hideMark/>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Sample</w:t>
            </w:r>
          </w:p>
        </w:tc>
        <w:tc>
          <w:tcPr>
            <w:tcW w:w="1755" w:type="dxa"/>
            <w:tcBorders>
              <w:top w:val="single" w:sz="4" w:space="0" w:color="auto"/>
              <w:bottom w:val="single" w:sz="4" w:space="0" w:color="auto"/>
            </w:tcBorders>
            <w:shd w:val="clear" w:color="auto" w:fill="auto"/>
            <w:vAlign w:val="center"/>
            <w:hideMark/>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Key Theories or Constructs</w:t>
            </w:r>
          </w:p>
        </w:tc>
        <w:tc>
          <w:tcPr>
            <w:tcW w:w="1080" w:type="dxa"/>
            <w:tcBorders>
              <w:top w:val="single" w:sz="4" w:space="0" w:color="auto"/>
              <w:bottom w:val="single" w:sz="4" w:space="0" w:color="auto"/>
            </w:tcBorders>
            <w:shd w:val="clear" w:color="auto" w:fill="auto"/>
            <w:vAlign w:val="center"/>
            <w:hideMark/>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Stakeholder Focus</w:t>
            </w:r>
          </w:p>
        </w:tc>
        <w:tc>
          <w:tcPr>
            <w:tcW w:w="1350" w:type="dxa"/>
            <w:tcBorders>
              <w:top w:val="single" w:sz="4" w:space="0" w:color="auto"/>
              <w:bottom w:val="single" w:sz="4" w:space="0" w:color="auto"/>
            </w:tcBorders>
            <w:shd w:val="clear" w:color="auto" w:fill="auto"/>
            <w:vAlign w:val="center"/>
            <w:hideMark/>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Outcome(s) Investigated</w:t>
            </w:r>
          </w:p>
        </w:tc>
        <w:tc>
          <w:tcPr>
            <w:tcW w:w="4148" w:type="dxa"/>
            <w:gridSpan w:val="2"/>
            <w:tcBorders>
              <w:top w:val="single" w:sz="4" w:space="0" w:color="auto"/>
              <w:bottom w:val="single" w:sz="4" w:space="0" w:color="auto"/>
            </w:tcBorders>
            <w:shd w:val="clear" w:color="auto" w:fill="auto"/>
            <w:vAlign w:val="center"/>
            <w:hideMark/>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Key Finding(s)</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0" w:name="_Hlk529469655"/>
            <w:r w:rsidRPr="00581AFF">
              <w:rPr>
                <w:rFonts w:ascii="Times New Roman" w:eastAsia="Times New Roman" w:hAnsi="Times New Roman" w:cs="Times New Roman"/>
                <w:color w:val="000000"/>
                <w:sz w:val="14"/>
                <w:szCs w:val="20"/>
              </w:rPr>
              <w:t xml:space="preserve">Quaglieri (1982), </w:t>
            </w:r>
            <w:bookmarkEnd w:id="0"/>
            <w:r w:rsidRPr="00581AFF">
              <w:rPr>
                <w:rFonts w:ascii="Times New Roman" w:eastAsia="Times New Roman" w:hAnsi="Times New Roman" w:cs="Times New Roman"/>
                <w:i/>
                <w:iCs/>
                <w:color w:val="000000"/>
                <w:sz w:val="14"/>
                <w:szCs w:val="20"/>
              </w:rPr>
              <w:t>Journal of Occupational Psychology</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Unknown</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64 recently graduated business degree students </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Realism Hypothesis</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 information specificity and accuracy</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Individuals who located a job through informal sources or were a “walk-in” applicant had more complete information about the job than those who located the job through formal sources.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 w:name="_Hlk529469663"/>
            <w:r w:rsidRPr="00581AFF">
              <w:rPr>
                <w:rFonts w:ascii="Times New Roman" w:eastAsia="Times New Roman" w:hAnsi="Times New Roman" w:cs="Times New Roman"/>
                <w:color w:val="000000"/>
                <w:sz w:val="14"/>
                <w:szCs w:val="20"/>
              </w:rPr>
              <w:t xml:space="preserve">Aamodt &amp; Carr (1988 </w:t>
            </w:r>
            <w:bookmarkEnd w:id="1"/>
            <w:r w:rsidRPr="00581AFF">
              <w:rPr>
                <w:rFonts w:ascii="Times New Roman" w:eastAsia="Times New Roman" w:hAnsi="Times New Roman" w:cs="Times New Roman"/>
                <w:color w:val="000000"/>
                <w:sz w:val="14"/>
                <w:szCs w:val="20"/>
              </w:rPr>
              <w:t xml:space="preserve">– Study 1 of 2), </w:t>
            </w:r>
            <w:r w:rsidRPr="00581AFF">
              <w:rPr>
                <w:rFonts w:ascii="Times New Roman" w:eastAsia="Times New Roman" w:hAnsi="Times New Roman" w:cs="Times New Roman"/>
                <w:i/>
                <w:color w:val="000000"/>
                <w:sz w:val="14"/>
                <w:szCs w:val="20"/>
              </w:rPr>
              <w:t>Proceedings of the 1988 IPMAAC Conference on Personnel Assessment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Unknown</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104 students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 recalling each job that they had previously worked and how they heard about the job, no results were found between the use of referrals and personality, high school grade point average, sex, or family income.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 w:name="_Hlk529469669"/>
            <w:r w:rsidRPr="00581AFF">
              <w:rPr>
                <w:rFonts w:ascii="Times New Roman" w:eastAsia="Times New Roman" w:hAnsi="Times New Roman" w:cs="Times New Roman"/>
                <w:color w:val="000000"/>
                <w:sz w:val="14"/>
                <w:szCs w:val="20"/>
              </w:rPr>
              <w:t>Elliott (2001</w:t>
            </w:r>
            <w:bookmarkEnd w:id="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Social Science Research</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2,030 job entrants from the Multi-City survey of Urban Inequality (MCSUI) during 1992-1994</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Network Theory; Richer Pool Argument; Better Match Theory; Ethnic Differences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 from Inside Referrals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Insider referrals lead to ethnically homogeneous jobs.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 w:name="_Hlk529469684"/>
            <w:r w:rsidRPr="00581AFF">
              <w:rPr>
                <w:rFonts w:ascii="Times New Roman" w:eastAsia="Times New Roman" w:hAnsi="Times New Roman" w:cs="Times New Roman"/>
                <w:color w:val="000000"/>
                <w:sz w:val="14"/>
                <w:szCs w:val="20"/>
              </w:rPr>
              <w:t>Mouw (2002</w:t>
            </w:r>
            <w:bookmarkEnd w:id="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Demography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3,200 employers in Atlanta, Boston, Detroit, and Los Angeles included in the MCSUI</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Spatial-Mismatch Hypothesis; Alternative Theory (e.g., informal hiring practices)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When firms are highly composed of either white or Black employees, employee referrals increase the likelihood of continuing that trend.</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 w:name="_Hlk529469689"/>
            <w:r w:rsidRPr="00581AFF">
              <w:rPr>
                <w:rFonts w:ascii="Times New Roman" w:eastAsia="Times New Roman" w:hAnsi="Times New Roman" w:cs="Times New Roman"/>
                <w:color w:val="000000"/>
                <w:sz w:val="14"/>
                <w:szCs w:val="20"/>
              </w:rPr>
              <w:t>Taber &amp; Hendricks (2003</w:t>
            </w:r>
            <w:bookmarkEnd w:id="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Human Resource Development Quarterly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15,253 hired employees from 1990 through 1994 as well as about 33,000 current employees at a U.S.-based international products and services company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Better Match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w:t>
            </w:r>
            <w:r w:rsidRPr="00581AFF">
              <w:rPr>
                <w:rFonts w:ascii="Times New Roman" w:eastAsia="Times New Roman" w:hAnsi="Times New Roman" w:cs="Times New Roman"/>
                <w:color w:val="000000"/>
                <w:sz w:val="14"/>
                <w:szCs w:val="20"/>
              </w:rPr>
              <w:b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Probability of being recruited through an employee referral</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Given the demographic composition of the organization, greater gender and race similarity with the newly hired employee increases the likelihood that the employee was hired through an employee referral. Minorities and men use referrals more frequently than Whites and women.</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 w:name="_Hlk529469694"/>
            <w:r w:rsidRPr="00581AFF">
              <w:rPr>
                <w:rFonts w:ascii="Times New Roman" w:eastAsia="Times New Roman" w:hAnsi="Times New Roman" w:cs="Times New Roman"/>
                <w:color w:val="000000"/>
                <w:sz w:val="14"/>
                <w:szCs w:val="20"/>
              </w:rPr>
              <w:t>Fernandez &amp; Sosa (2005</w:t>
            </w:r>
            <w:bookmarkEnd w:id="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Journal of Sociology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4,316 applicants for a call service representative at a phone center during 1995-1996</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Supply-side account theories of gender differences in socialization; Demand-side account theories due to screeners’ preferences (queuing theory) and network theories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Gender differences in hiring</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 referral applicants were much more likely to be female than the pool of nonreferrals, suggesting that the process contributes to gender skewing of jobs.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Smith (2005), </w:t>
            </w:r>
            <w:r w:rsidRPr="00581AFF">
              <w:rPr>
                <w:rFonts w:ascii="Times New Roman" w:eastAsia="Times New Roman" w:hAnsi="Times New Roman" w:cs="Times New Roman"/>
                <w:i/>
                <w:iCs/>
                <w:color w:val="000000"/>
                <w:sz w:val="14"/>
                <w:szCs w:val="20"/>
              </w:rPr>
              <w:t>American Journal of Sociology</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105 low-income African American men located in southeastern Michigan (qualitative)</w:t>
            </w:r>
          </w:p>
        </w:tc>
        <w:tc>
          <w:tcPr>
            <w:tcW w:w="1755"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 Theory; Social Disorganization Theory</w:t>
            </w:r>
          </w:p>
        </w:tc>
        <w:tc>
          <w:tcPr>
            <w:tcW w:w="1080"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Choosing to refer</w:t>
            </w:r>
          </w:p>
        </w:tc>
        <w:tc>
          <w:tcPr>
            <w:tcW w:w="4128"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Many thought they would be worse off by assisting job seekers. Reputation of the potential job seeker affected willingness to help. Reputation outside of the work arena was a considerable factor. Respondents were fearful of making a poor referral. Prior referral behavior shaped willingness to assist in the future.</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1</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 w:name="_Hlk529469709"/>
            <w:r w:rsidRPr="00581AFF">
              <w:rPr>
                <w:rFonts w:ascii="Times New Roman" w:eastAsia="Times New Roman" w:hAnsi="Times New Roman" w:cs="Times New Roman"/>
                <w:color w:val="000000"/>
                <w:sz w:val="14"/>
                <w:szCs w:val="20"/>
              </w:rPr>
              <w:t>Van Hoye &amp; Lievens (2007</w:t>
            </w:r>
            <w:bookmarkEnd w:id="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Social Psychology</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171 graduate students in I/O psychology from a Belgian university</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Theory of reasoned action and the theory of planned behavior; Accessibility-Diagnosticity Model; Person-Organization Fit Perspective; Individual Differences Hypothesis</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Organizational Attractiveness</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Positive word-of-mouth had a more positive effect on organizational attractiveness than negative word-of-mouth. Negative word-of-mouth decreased the effect of recruitment advertising on organizational attractiveness.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 w:name="_Hlk529469714"/>
            <w:r w:rsidRPr="00581AFF">
              <w:rPr>
                <w:rFonts w:ascii="Times New Roman" w:eastAsia="Times New Roman" w:hAnsi="Times New Roman" w:cs="Times New Roman"/>
                <w:color w:val="000000"/>
                <w:sz w:val="14"/>
                <w:szCs w:val="20"/>
              </w:rPr>
              <w:t>Van Hoye (2008</w:t>
            </w:r>
            <w:bookmarkEnd w:id="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Advanced Nursing</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106 members of a nursing staff of four Belgian non-profit nursing homes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Instrumental-Symbolic Framework; Social Identity Theory</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Recommendation Intentions; Willingness to Testify</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When employees perceived their employer as competent and prestigious, they were more likely to recommend their organization to others.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 w:name="_Hlk529469720"/>
            <w:r w:rsidRPr="00581AFF">
              <w:rPr>
                <w:rFonts w:ascii="Times New Roman" w:eastAsia="Times New Roman" w:hAnsi="Times New Roman" w:cs="Times New Roman"/>
                <w:color w:val="000000"/>
                <w:sz w:val="14"/>
                <w:szCs w:val="20"/>
              </w:rPr>
              <w:t>Van Hoye &amp; Lievens (2009</w:t>
            </w:r>
            <w:bookmarkEnd w:id="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612 applicants targeted by the Belgian Defense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Recipient-Source framework; Accessibility-Diagnosticity Model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Time spent receiving word-of-mouth; Organizational Attractiveness; Application Decision</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Extraversion and conscientiousness both influenced amount of time receiving word-of-mouth. Time spent receiving positive word-of-mouth was associated with organizational attractiveness and application decisions.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9" w:name="_Hlk529469725"/>
            <w:r w:rsidRPr="00581AFF">
              <w:rPr>
                <w:rFonts w:ascii="Times New Roman" w:eastAsia="Times New Roman" w:hAnsi="Times New Roman" w:cs="Times New Roman"/>
                <w:color w:val="000000"/>
                <w:sz w:val="14"/>
                <w:szCs w:val="20"/>
              </w:rPr>
              <w:t>Bloemer (2010</w:t>
            </w:r>
            <w:bookmarkEnd w:id="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The International Journal of Human Resource Management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199 employees of a Flemish Bank in Belgium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 Loyalty; Organizational Commitment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Number of employee referrals made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Employees with strong affective commitment make more employee referrals than employees with weak affective commitment. Employees with strong calculative commitment make fewer employee referrals than employees with weak calculative commitment.</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Marin (2012), </w:t>
            </w:r>
            <w:r w:rsidRPr="00581AFF">
              <w:rPr>
                <w:rFonts w:ascii="Times New Roman" w:eastAsia="Times New Roman" w:hAnsi="Times New Roman" w:cs="Times New Roman"/>
                <w:i/>
                <w:iCs/>
                <w:color w:val="000000"/>
                <w:sz w:val="14"/>
                <w:szCs w:val="20"/>
              </w:rPr>
              <w:t>Social Networks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37 insurance agents employed at a Toronto call center (Qualitative)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Network Theory; Social Resources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Sharing of potential job openings with potential referrals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Information holders are more likely to forget to recall job openings that they don’t associate with anyone specifically. Respondents shared knowledge of 17.6% of the jobs they listed. Respondents told network members about job openings only 27% of the time when a pairing was thought. Differences in job sharing information among genders; Information sharing not inevitable.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Van Hoye (2012), </w:t>
            </w:r>
            <w:r w:rsidRPr="00581AFF">
              <w:rPr>
                <w:rFonts w:ascii="Times New Roman" w:eastAsia="Times New Roman" w:hAnsi="Times New Roman" w:cs="Times New Roman"/>
                <w:i/>
                <w:iCs/>
                <w:color w:val="000000"/>
                <w:sz w:val="14"/>
                <w:szCs w:val="20"/>
              </w:rPr>
              <w:t>European Journal of Work and Organizational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184 nurses approached at two job fairs in a major Belgian city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Cable and Turban’s (2001) theory-driven taxonomy for recruitment sources; Source credibility perspective</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Organizational Attractiveness; Credibility</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Word-of-mouth was more positively related to organizational attractiveness than recruitment advertising, recruitment events, and publicity. The relationship between word-of-mouth and organizational attractiveness was mediated by credibility.</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Van Hoye (2013), </w:t>
            </w:r>
            <w:r w:rsidRPr="00581AFF">
              <w:rPr>
                <w:rFonts w:ascii="Times New Roman" w:eastAsia="Times New Roman" w:hAnsi="Times New Roman" w:cs="Times New Roman"/>
                <w:i/>
                <w:color w:val="000000"/>
                <w:sz w:val="14"/>
                <w:szCs w:val="20"/>
              </w:rPr>
              <w:t>Human Performance</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232 employees from two Belgian manufacturing organizations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Work Motivation; Prosocial Behavior; Intrinsic Motivation; Extrinsic Motivation; Job Satisfaction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Offering of positive and negative employee referrals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offering of positive employee referrals was related to job satisfaction, a desire to help job seekers find good-fitting jobs, a desire to help the organization find good-fitting employees, and rewards. The offering of negative employee referrals was related to job dissatisfaction and a desire to help job seekers avoid bad-fitting jobs. Employees with a college degree made less positive and more negative referrals than employees with a high school degree. Employees that were paid a bonus for referrals made more positive referrals and less negative referrals than employees from the no bonus condition.</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0" w:name="_Hlk529469744"/>
            <w:r w:rsidRPr="00581AFF">
              <w:rPr>
                <w:rFonts w:ascii="Times New Roman" w:eastAsia="Times New Roman" w:hAnsi="Times New Roman" w:cs="Times New Roman"/>
                <w:color w:val="000000"/>
                <w:sz w:val="14"/>
                <w:szCs w:val="20"/>
              </w:rPr>
              <w:t>Fernandez &amp; Castilla (2017</w:t>
            </w:r>
            <w:bookmarkEnd w:id="10"/>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Social Capital: Theory and Research</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3,968 bank telephone customer-service representatives in the U.S. who had the opportunity to refer over a two-year period, during which 1,546 referral applications were submitted. </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Minorities are more likely to refer than non-minorities. Married individuals are more likely to refer than those that are not married. Younger workers are more likely to refer than older workers. Low-wage workers are more likely to refer than high-wage workers. Having been a referred worker previously increases the likelihood of referring. A referrer working in the job category that is being referred for is more likely to refer. </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1</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1" w:name="_Hlk529469754"/>
            <w:r w:rsidRPr="00581AFF">
              <w:rPr>
                <w:rFonts w:ascii="Times New Roman" w:eastAsia="Times New Roman" w:hAnsi="Times New Roman" w:cs="Times New Roman"/>
                <w:color w:val="000000"/>
                <w:sz w:val="14"/>
                <w:szCs w:val="20"/>
              </w:rPr>
              <w:t xml:space="preserve">Stockman et al., (2017 </w:t>
            </w:r>
            <w:bookmarkEnd w:id="11"/>
            <w:r w:rsidRPr="00581AFF">
              <w:rPr>
                <w:rFonts w:ascii="Times New Roman" w:eastAsia="Times New Roman" w:hAnsi="Times New Roman" w:cs="Times New Roman"/>
                <w:color w:val="000000"/>
                <w:sz w:val="14"/>
                <w:szCs w:val="20"/>
              </w:rPr>
              <w:t xml:space="preserve">– Study 1 of 2), </w:t>
            </w:r>
            <w:r w:rsidRPr="00581AFF">
              <w:rPr>
                <w:rFonts w:ascii="Times New Roman" w:eastAsia="Times New Roman" w:hAnsi="Times New Roman" w:cs="Times New Roman"/>
                <w:i/>
                <w:color w:val="000000"/>
                <w:sz w:val="14"/>
                <w:szCs w:val="20"/>
              </w:rPr>
              <w:t>Applied Psychology: An International Review</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450 Belgian students completing their final year of higher education</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Credibility Theory; Multiple Inference Model</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 Credibility; Organizational Attractiveness; Referral Bonus Characteristics</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candidates are less attracted to organizations when they are aware that a referrer is receiving a referral bonus. This effect is partially driven by a perceived lowered credibility of the referrer. Characteristics of the referral bonus (timing, size, type of incentive) did not affect perceived referrer credibility or referred candidates’ attractiveness to the organization. Whether the referral bonus would be given to both the referrer and the referred candidate also did not affect referrer credibility or referred candidate’s attractiveness to the organization.</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Stockman et al., (2017 – Study 2 of 2), </w:t>
            </w:r>
            <w:r w:rsidRPr="00581AFF">
              <w:rPr>
                <w:rFonts w:ascii="Times New Roman" w:eastAsia="Times New Roman" w:hAnsi="Times New Roman" w:cs="Times New Roman"/>
                <w:i/>
                <w:color w:val="000000"/>
                <w:sz w:val="14"/>
                <w:szCs w:val="20"/>
              </w:rPr>
              <w:t>Applied Psychology: An International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Belgium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127 Belgian college students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Credibility Theory; Multiple Inference Model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 Credibility; Organizational Attractiveness; Referrer Motivations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candidates are less attracted to organizations when they are aware that a referrer is receiving a referral bonus. This effect is partially driven by a perceived lowered credibility of the referrer. Candidates were less likely to perceive the referrer’s motive as helping a friend find a job when they knew about the referral bonus. This lowered inferred other-oriented motive mediated the effect of referral bonus awareness on organizational attractiveness.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12" w:name="_Hlk529469763"/>
            <w:r w:rsidRPr="00581AFF">
              <w:rPr>
                <w:rFonts w:ascii="Times New Roman" w:eastAsia="Times New Roman" w:hAnsi="Times New Roman" w:cs="Times New Roman"/>
                <w:color w:val="000000"/>
                <w:sz w:val="14"/>
                <w:szCs w:val="20"/>
              </w:rPr>
              <w:t>Bond et al., (2018</w:t>
            </w:r>
            <w:bookmarkEnd w:id="1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Sociological Science</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1,473 U.S. participants recruited through Amazon’s Mechanical Turk who completed an experimental survey vignette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Role Conflict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Candidate Quality</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use of referral bonuses increases the likelihood of low-quality candidates and candidates that the referrer does not know well.</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13" w:name="_Hlk529469767"/>
            <w:r w:rsidRPr="00581AFF">
              <w:rPr>
                <w:rFonts w:ascii="Times New Roman" w:eastAsia="Times New Roman" w:hAnsi="Times New Roman" w:cs="Times New Roman"/>
                <w:color w:val="000000"/>
                <w:sz w:val="14"/>
                <w:szCs w:val="20"/>
              </w:rPr>
              <w:t>Beaman et al., (2018</w:t>
            </w:r>
            <w:bookmarkEnd w:id="1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Journal of Labor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Malawi</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480 individuals who then could potentially refer other individuals in Malawi</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Incentives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 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Qualified women are often not referred through their network as men are more likely to refer other men and women are more likely to refer unqualified candidates. Men have greater potential to screen other men than to screen women. Effect is not entirely driven by the number of social connections between genders in social networks.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4" w:name="_Hlk529469773"/>
            <w:r w:rsidRPr="00581AFF">
              <w:rPr>
                <w:rFonts w:ascii="Times New Roman" w:eastAsia="Times New Roman" w:hAnsi="Times New Roman" w:cs="Times New Roman"/>
                <w:color w:val="000000"/>
                <w:sz w:val="14"/>
                <w:szCs w:val="20"/>
              </w:rPr>
              <w:t>Pieper, Greenwald</w:t>
            </w:r>
            <w:r>
              <w:rPr>
                <w:rFonts w:ascii="Times New Roman" w:eastAsia="Times New Roman" w:hAnsi="Times New Roman" w:cs="Times New Roman"/>
                <w:color w:val="000000"/>
                <w:sz w:val="14"/>
                <w:szCs w:val="20"/>
              </w:rPr>
              <w:t>,</w:t>
            </w:r>
            <w:r w:rsidRPr="00581AFF">
              <w:rPr>
                <w:rFonts w:ascii="Times New Roman" w:eastAsia="Times New Roman" w:hAnsi="Times New Roman" w:cs="Times New Roman"/>
                <w:color w:val="000000"/>
                <w:sz w:val="14"/>
                <w:szCs w:val="20"/>
              </w:rPr>
              <w:t xml:space="preserve"> et al</w:t>
            </w:r>
            <w:r>
              <w:rPr>
                <w:rFonts w:ascii="Times New Roman" w:eastAsia="Times New Roman" w:hAnsi="Times New Roman" w:cs="Times New Roman"/>
                <w:color w:val="000000"/>
                <w:sz w:val="14"/>
                <w:szCs w:val="20"/>
              </w:rPr>
              <w:t>.</w:t>
            </w:r>
            <w:r w:rsidRPr="00581AFF">
              <w:rPr>
                <w:rFonts w:ascii="Times New Roman" w:eastAsia="Times New Roman" w:hAnsi="Times New Roman" w:cs="Times New Roman"/>
                <w:color w:val="000000"/>
                <w:sz w:val="14"/>
                <w:szCs w:val="20"/>
              </w:rPr>
              <w:t>, (</w:t>
            </w:r>
            <w:r>
              <w:rPr>
                <w:rFonts w:ascii="Times New Roman" w:eastAsia="Times New Roman" w:hAnsi="Times New Roman" w:cs="Times New Roman"/>
                <w:color w:val="000000"/>
                <w:sz w:val="14"/>
                <w:szCs w:val="20"/>
              </w:rPr>
              <w:t>2018</w:t>
            </w:r>
            <w:bookmarkEnd w:id="1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Human Resource Management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186 full-time professionals in the United States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Expectancy Theory; Social Exchange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Choosing to refer; Risk in referring; Affective Commitment; Referral Bonus Effects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Referral bonus presence, referral bonus amount, and levels of affective commitment all positively relate to the likelihood of referring. Perceptions of risk in referring negatively affect likelihood of referring. Large referral bonuses can offset perceptions of risk in referring and lower affective commitment levels for referrers.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Context</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5" w:name="_Hlk529469782"/>
            <w:r w:rsidRPr="00581AFF">
              <w:rPr>
                <w:rFonts w:ascii="Times New Roman" w:eastAsia="Times New Roman" w:hAnsi="Times New Roman" w:cs="Times New Roman"/>
                <w:color w:val="000000"/>
                <w:sz w:val="14"/>
                <w:szCs w:val="20"/>
              </w:rPr>
              <w:t>Braddock &amp; McPartland (1987</w:t>
            </w:r>
            <w:bookmarkEnd w:id="1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Journal of Social Issues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4078 workers and their employing organizations in both public and private sector jobs across the U.S. drawn from a survey conducted by the authors and the National Longitudinal Survey of Individuals (NLS) of 1976 and 1979</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Employment Discrimination; Social Network Segregation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Organization</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Probability of new hire being White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6" w:name="OLE_LINK2"/>
            <w:r w:rsidRPr="00581AFF">
              <w:rPr>
                <w:rFonts w:ascii="Times New Roman" w:eastAsia="Times New Roman" w:hAnsi="Times New Roman" w:cs="Times New Roman"/>
                <w:color w:val="000000"/>
                <w:sz w:val="14"/>
                <w:szCs w:val="20"/>
              </w:rPr>
              <w:t>Jobs requiring a college degree are more likely to be filled with a White applicant when firms use social networks to advertise vacancies than firms who do not use employee social networks. No differences were found between firms using and firms not using employee social networks for jobs requiring some college education and jobs requiring only a high school degree. Authors conclude that segregated social networks contribute to the quality of jobs located by minority applicants.</w:t>
            </w:r>
            <w:bookmarkEnd w:id="16"/>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7" w:name="_Hlk529469787"/>
            <w:r w:rsidRPr="00581AFF">
              <w:rPr>
                <w:rFonts w:ascii="Times New Roman" w:eastAsia="Times New Roman" w:hAnsi="Times New Roman" w:cs="Times New Roman"/>
                <w:color w:val="000000"/>
                <w:sz w:val="14"/>
                <w:szCs w:val="20"/>
              </w:rPr>
              <w:t>Caldwell &amp; Spivey (1983</w:t>
            </w:r>
            <w:bookmarkEnd w:id="1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Personnel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1400 store clerks hired during 1979</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Labor market mobility argument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 success; Turnover; Individual Differences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While there was not necessarily a relationship between referred workers and success, they did tend to have a longer employment. Potential racial differences in recruiting sources.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8" w:name="_Hlk529469791"/>
            <w:r w:rsidRPr="00581AFF">
              <w:rPr>
                <w:rFonts w:ascii="Times New Roman" w:eastAsia="Times New Roman" w:hAnsi="Times New Roman" w:cs="Times New Roman"/>
                <w:color w:val="000000"/>
                <w:sz w:val="14"/>
                <w:szCs w:val="20"/>
              </w:rPr>
              <w:t>Breaugh &amp; Mann (1984</w:t>
            </w:r>
            <w:bookmarkEnd w:id="1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Occupational Psychology</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98 social service workers</w:t>
            </w:r>
          </w:p>
        </w:tc>
        <w:tc>
          <w:tcPr>
            <w:tcW w:w="1755"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Hypothesis; Individual Differences Hypothesis</w:t>
            </w:r>
          </w:p>
        </w:tc>
        <w:tc>
          <w:tcPr>
            <w:tcW w:w="1080"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Job Expectations; Performance; Retention</w:t>
            </w:r>
          </w:p>
        </w:tc>
        <w:tc>
          <w:tcPr>
            <w:tcW w:w="4128" w:type="dxa"/>
            <w:tcBorders>
              <w:top w:val="dashSmallGap" w:sz="4" w:space="0" w:color="auto"/>
              <w:left w:val="nil"/>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 referrals reported having had more realistic expectations than individuals who directly applied to the organization. Direct applicants had higher performance ratings. Referred workers were less likely to be terminated than those from newspaper ads. Some support for referred workers showing higher retention rate.</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1 &amp; 3</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19" w:name="_Hlk529469802"/>
            <w:r w:rsidRPr="00581AFF">
              <w:rPr>
                <w:rFonts w:ascii="Times New Roman" w:eastAsia="Times New Roman" w:hAnsi="Times New Roman" w:cs="Times New Roman"/>
                <w:color w:val="000000"/>
                <w:sz w:val="14"/>
                <w:szCs w:val="20"/>
              </w:rPr>
              <w:t>Swaroff et al., (1985</w:t>
            </w:r>
            <w:bookmarkEnd w:id="1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Psychology</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618 male technical sales trainees hired by a large corporation involved in the manufacture and sale of a technical product</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Hypothesis; Individual Differences Hypothesis</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Turnover; Productivity</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Showed partial support for individual differences hypothesis in that individuals recruited through referrals differed on demographic characteristics. Informal methods did not show longer tenure than formal methods. No relationship between recruitment source and productivity.</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0" w:name="_Hlk529469807"/>
            <w:r w:rsidRPr="00581AFF">
              <w:rPr>
                <w:rFonts w:ascii="Times New Roman" w:eastAsia="Times New Roman" w:hAnsi="Times New Roman" w:cs="Times New Roman"/>
                <w:color w:val="000000"/>
                <w:sz w:val="14"/>
                <w:szCs w:val="20"/>
              </w:rPr>
              <w:t>Holzer (1987</w:t>
            </w:r>
            <w:bookmarkEnd w:id="20"/>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Hiring Procedures in the firm: Their economic determinants and outcomes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3500 firms contacted during a 1982 phone survey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Turnover; Demographics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had higher performance ratings and lower turnover compared to other recruitment methods. Referred workers were different from other recruitment sources in that they were more likely to be young, female, and have insignificant work experience.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1" w:name="_Hlk529469811"/>
            <w:r w:rsidRPr="00581AFF">
              <w:rPr>
                <w:rFonts w:ascii="Times New Roman" w:eastAsia="Times New Roman" w:hAnsi="Times New Roman" w:cs="Times New Roman"/>
                <w:color w:val="000000"/>
                <w:sz w:val="14"/>
                <w:szCs w:val="20"/>
              </w:rPr>
              <w:t>Blau (1990</w:t>
            </w:r>
            <w:bookmarkEnd w:id="21"/>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Vocational Behavior</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162 full-time bank tellers in the greater Philadelphia area</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 Theory; Realistic Job Information Theories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Realistic Job Expectations; Motivation to Apply; Ability</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have higher realistic job expectations than newspaper ad or walk-in recruits but this did not relate to performance. Only ability significantly mediates the relationship between recruitment source and performance. Self-initiated walk-in applicants usually perform better than newspaper ad or employee referrals.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2" w:name="_Hlk529469816"/>
            <w:r w:rsidRPr="00581AFF">
              <w:rPr>
                <w:rFonts w:ascii="Times New Roman" w:eastAsia="Times New Roman" w:hAnsi="Times New Roman" w:cs="Times New Roman"/>
                <w:color w:val="000000"/>
                <w:sz w:val="14"/>
                <w:szCs w:val="20"/>
              </w:rPr>
              <w:t>Williams et al., (1993</w:t>
            </w:r>
            <w:bookmarkEnd w:id="2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97 nurses hired between February and April of 1987 across 32 hospitals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Differential Information Hypothesis; Individual Differences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Voluntary Turnover; Performance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Found that variance can occur when assigning multiple recruitment source individuals to only one recruitment source. Notable differences in prehire knowledge across recruitment sources. Recruitment source not tied to voluntary turnover or performance.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3" w:name="_Hlk529469824"/>
            <w:r w:rsidRPr="00581AFF">
              <w:rPr>
                <w:rFonts w:ascii="Times New Roman" w:eastAsia="Times New Roman" w:hAnsi="Times New Roman" w:cs="Times New Roman"/>
                <w:color w:val="000000"/>
                <w:sz w:val="14"/>
                <w:szCs w:val="20"/>
              </w:rPr>
              <w:t>Taylor (1994</w:t>
            </w:r>
            <w:bookmarkEnd w:id="2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The Journal of Social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812 long-haul truck drivers from six different companies located in various regions of the United States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Hypothesis; Individual Differences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Expectations; Attitude Toward Dispatcher; Attitude Toward the Company; Intent to Leave; Attitude Toward Other Carriers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 difference in job performance across recruitment sources. Realistic preview varied with recruitment source. Referred workers had lower turnover than other recruitment sources.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4" w:name="_Hlk529469829"/>
            <w:r w:rsidRPr="00581AFF">
              <w:rPr>
                <w:rFonts w:ascii="Times New Roman" w:eastAsia="Times New Roman" w:hAnsi="Times New Roman" w:cs="Times New Roman"/>
                <w:color w:val="000000"/>
                <w:sz w:val="14"/>
                <w:szCs w:val="20"/>
              </w:rPr>
              <w:t>Vecchio (1995</w:t>
            </w:r>
            <w:bookmarkEnd w:id="2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Management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702 interviews as part of the 1991 General Social Survey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Expectations Theory; Prescreening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Satisfaction; Loyalty; Pride in Organization; Anti-Union Stance; Demographics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Recruitment source does not influence attitudes including job satisfaction, loyalty, pride in organization, anti-union stance; Referrals may be associated with different demographic categories.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5" w:name="_Hlk529469837"/>
            <w:r w:rsidRPr="00581AFF">
              <w:rPr>
                <w:rFonts w:ascii="Times New Roman" w:eastAsia="Times New Roman" w:hAnsi="Times New Roman" w:cs="Times New Roman"/>
                <w:color w:val="000000"/>
                <w:sz w:val="14"/>
                <w:szCs w:val="20"/>
              </w:rPr>
              <w:t>Werbel &amp; Landau (1996</w:t>
            </w:r>
            <w:bookmarkEnd w:id="2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Social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234 members of a Fortune 500 financial services organization</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Person-job Fit; Realistic Expectations; Individual Differences</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Person-Job Fit; Realistic Expectations; Job Performance; Turnover</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and self-initiated applicants felt greater person-job fit than those from other sources. Referred workers had less positive realistic expectations than other sources. Referred workers and self-initiated applications did not show higher performance or lower turnover.</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&amp; 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6" w:name="_Hlk529469853"/>
            <w:r w:rsidRPr="00581AFF">
              <w:rPr>
                <w:rFonts w:ascii="Times New Roman" w:eastAsia="Times New Roman" w:hAnsi="Times New Roman" w:cs="Times New Roman"/>
                <w:color w:val="000000"/>
                <w:sz w:val="14"/>
                <w:szCs w:val="20"/>
              </w:rPr>
              <w:t>Beaman &amp; Magruder (2012</w:t>
            </w:r>
            <w:bookmarkEnd w:id="2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The American Economic Review</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India</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561 original participants who then recruited their friends and family in Kolkata, India</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Networking Theory</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r w:rsidRPr="00581AFF">
              <w:rPr>
                <w:rFonts w:ascii="Times New Roman" w:eastAsia="Times New Roman" w:hAnsi="Times New Roman" w:cs="Times New Roman"/>
                <w:color w:val="000000"/>
                <w:sz w:val="14"/>
                <w:szCs w:val="20"/>
              </w:rPr>
              <w:br/>
              <w:t>Referrers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Incentive effects; Ability prediction; Performance</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High ability people refer high ability people only when properly incentivized. Low ability original performers have difficulty predicting referred worker’s performance. High ability referrers are better able to predict performance but are less likely to be overly optimistic about their referred worker’s performance when incentivized.</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1 &amp; 3</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7" w:name="_Hlk529469863"/>
            <w:r w:rsidRPr="00581AFF">
              <w:rPr>
                <w:rFonts w:ascii="Times New Roman" w:eastAsia="Times New Roman" w:hAnsi="Times New Roman" w:cs="Times New Roman"/>
                <w:color w:val="000000"/>
                <w:sz w:val="14"/>
                <w:szCs w:val="20"/>
              </w:rPr>
              <w:t>González &amp; Rivarés (2018</w:t>
            </w:r>
            <w:bookmarkEnd w:id="2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Employee Relations</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Multiple</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76 workers, of which 31 were referred workers through a “bring a friend” method offered by the employing temporary work agency. The workers obtained jobs in industrial production </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 Hypothesis; Intrinsic Motivation; Reputation Protection; Feeling of Obligation</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Recruitment Perceptions; Group Commitment; Task Commitment; Group Satisfaction; General Job Satisfaction; Job Involvement; Turnover</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authors explored a “bring a friend” recruitment program in which individuals who are being assessed for a job position are queried if they know anyone else who would also be good for the position. Workers recruited through this “bring a friend” method showed lower turnover than individuals recruited through standard recruitment procedures. Workers recruited through this method also showed higher group commitment, task commitment, task satisfaction, and general job satisfaction. Workers recruited through this method perceived that they were chosen because of the referrer’s belief that they would perform well.</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8" w:name="_Hlk529469868"/>
            <w:r w:rsidRPr="00581AFF">
              <w:rPr>
                <w:rFonts w:ascii="Times New Roman" w:eastAsia="Times New Roman" w:hAnsi="Times New Roman" w:cs="Times New Roman"/>
                <w:color w:val="000000"/>
                <w:sz w:val="14"/>
                <w:szCs w:val="20"/>
              </w:rPr>
              <w:t>Kirnan et al., (1989</w:t>
            </w:r>
            <w:bookmarkEnd w:id="2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Personnel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Applicant pool of 20,576 for the position of insurance agent at a major insurance company in 1981</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Hypothesis; Realistic Job Information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Applicant Quality; Job Survival; Sales Performance; Individual Differences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showed higher applicant quality on background questionnaire scores. Significant group differences do exist in the relative proportions of individuals using the various recruiting sources. When grouped into formal and informal categories, informal individuals had a higher survival rate. Referrals may decrease diversity.</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29" w:name="_Hlk529469878"/>
            <w:r w:rsidRPr="00581AFF">
              <w:rPr>
                <w:rFonts w:ascii="Times New Roman" w:eastAsia="Times New Roman" w:hAnsi="Times New Roman" w:cs="Times New Roman"/>
                <w:color w:val="000000"/>
                <w:sz w:val="14"/>
                <w:szCs w:val="20"/>
              </w:rPr>
              <w:t>Granovetter (1995</w:t>
            </w:r>
            <w:bookmarkEnd w:id="2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Getting a job: A study of contacts and careers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100 interviews and 182 mail surveys with men in Newton, Massachusetts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Labor Market Economics; Social Networks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Sharing of potential job openings with potential referrals; Individual Differences; Satisfaction with Job; Income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Respondents preferred the use of personal contacts to other sources. Those who use personal contacts are more likely to say they are very satisfied with their job and least likely to express dissatisfaction. Newly created jobs, rather than vacated jobs, are more likely to be found using contacts. Religious background, ethnicity, and education were not related to search method, but age was. Jobs offering highest salary more likely to be found through personal contacts.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0" w:name="_Hlk529469883"/>
            <w:r w:rsidRPr="00581AFF">
              <w:rPr>
                <w:rFonts w:ascii="Times New Roman" w:eastAsia="Times New Roman" w:hAnsi="Times New Roman" w:cs="Times New Roman"/>
                <w:color w:val="000000"/>
                <w:sz w:val="14"/>
                <w:szCs w:val="20"/>
              </w:rPr>
              <w:t>Fernandez et al., (2000</w:t>
            </w:r>
            <w:bookmarkEnd w:id="30"/>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Journal of Sociology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4,165 applicants for a phone center service representative position at a large Midwestern phone center</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Richer Pool; Better Match; Social Enrichment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r w:rsidRPr="00581AFF">
              <w:rPr>
                <w:rFonts w:ascii="Times New Roman" w:eastAsia="Times New Roman" w:hAnsi="Times New Roman" w:cs="Times New Roman"/>
                <w:color w:val="000000"/>
                <w:sz w:val="14"/>
                <w:szCs w:val="20"/>
              </w:rPr>
              <w:b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Interviewing Process; Job Offers;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presented more appropriate applications than nonreferrals. Human capital characteristics of referrers and referred workers displayed above-chance levels of homophily. Referred worker’s turnover should be affected by the turnover of the referrer. No support for referred workers timing their applications better, reporting greater levels of understanding of job content, or accepting job offers at a higher rate.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1" w:name="_Hlk529469888"/>
            <w:r w:rsidRPr="00581AFF">
              <w:rPr>
                <w:rFonts w:ascii="Times New Roman" w:eastAsia="Times New Roman" w:hAnsi="Times New Roman" w:cs="Times New Roman"/>
                <w:color w:val="000000"/>
                <w:sz w:val="14"/>
                <w:szCs w:val="20"/>
              </w:rPr>
              <w:t>Bartus (2001</w:t>
            </w:r>
            <w:bookmarkEnd w:id="31"/>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Dissertation</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Hungary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620 individuals who had a serious job opportunity from 75 school registers in Hungary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Resources Theory; Strength of Weak Ties Hypothesis; Human Capital Theory; Social Capital; Meritocracy; Particularism; Individual Differences; Social Enrichment; Realistic Information Hypothesis; Prescreening</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Finding; Income;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Informal search decreases unemployment duration by one month. Men more likely to use informal sources. Network resources do not increase the productivity of informal searches. People with unemployed family members are less likely to search informally. High status family members discourage formal searches. Formal and informal methods are substitutes for each other in the search process. High status contacts and referrers provide information about better jobs than other sources in the context of earnings. Employee referrals increase tenure. No evidence of job locating source on long-term salary growth. Evidence for social resources theory and theories underlying employee referrals.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2" w:name="_Hlk529469897"/>
            <w:r w:rsidRPr="00581AFF">
              <w:rPr>
                <w:rFonts w:ascii="Times New Roman" w:eastAsia="Times New Roman" w:hAnsi="Times New Roman" w:cs="Times New Roman"/>
                <w:color w:val="000000"/>
                <w:sz w:val="14"/>
                <w:szCs w:val="20"/>
              </w:rPr>
              <w:t>Castilla (2005</w:t>
            </w:r>
            <w:bookmarkEnd w:id="3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Journal of Sociology</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290 customer service representatives at a U.S. call enter from January 1995-December 1996</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Better Match Theory; Sociological Theory</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r w:rsidRPr="00581AFF">
              <w:rPr>
                <w:rFonts w:ascii="Times New Roman" w:eastAsia="Times New Roman" w:hAnsi="Times New Roman" w:cs="Times New Roman"/>
                <w:color w:val="000000"/>
                <w:sz w:val="14"/>
                <w:szCs w:val="20"/>
              </w:rPr>
              <w:br/>
              <w:t>Referrers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Turnover Effects; Hire event</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show higher performance measured by productivity. No support for better match theory in long-run. Referred workers perform worse than nonreferred employees do if their referrer leaves the organization. No support for referrer’s presence improving referred worker’s performance trajectory. Referred workers more likely to be hired and complete training. No support for homophily mechanism.</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1, 2, &amp; 3</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3" w:name="_Hlk529469908"/>
            <w:r w:rsidRPr="00581AFF">
              <w:rPr>
                <w:rFonts w:ascii="Times New Roman" w:eastAsia="Times New Roman" w:hAnsi="Times New Roman" w:cs="Times New Roman"/>
                <w:color w:val="000000"/>
                <w:sz w:val="14"/>
                <w:szCs w:val="20"/>
              </w:rPr>
              <w:t>Brown et al., (2012</w:t>
            </w:r>
            <w:bookmarkEnd w:id="3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 xml:space="preserve">FRB of New York Staff Report 568 </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62,127 job applicants (340 hires) at a U.S. corporation</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Learning-based models of labor market referrals; Economic Model</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r w:rsidRPr="00581AFF">
              <w:rPr>
                <w:rFonts w:ascii="Times New Roman" w:eastAsia="Times New Roman" w:hAnsi="Times New Roman" w:cs="Times New Roman"/>
                <w:color w:val="000000"/>
                <w:sz w:val="14"/>
                <w:szCs w:val="20"/>
              </w:rPr>
              <w:br/>
              <w:t>Referrers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Hire event; Income; Turnover; Promotion Rates; Job Offer; Referred Worker-Referrer Similarities</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candidates more likely to be hired. Referred candidates more likely to have initial wage advantage which shrinks over time. Referred workers have less turnover. No average differences in promotion rates. Probability of a job offer follows a “U-shape” dependent on job title. Referred workers and referrers are similar in age, gender, ethnicity, education, and division / staff level within organization. Referred workers may be more productive for some types of match dependent on staff level.</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4" w:name="_Hlk529469918"/>
            <w:r w:rsidRPr="00581AFF">
              <w:rPr>
                <w:rFonts w:ascii="Times New Roman" w:eastAsia="Times New Roman" w:hAnsi="Times New Roman" w:cs="Times New Roman"/>
                <w:color w:val="000000"/>
                <w:sz w:val="14"/>
                <w:szCs w:val="20"/>
              </w:rPr>
              <w:t xml:space="preserve">Burks et al., (2015 </w:t>
            </w:r>
            <w:bookmarkEnd w:id="34"/>
            <w:r w:rsidRPr="00581AFF">
              <w:rPr>
                <w:rFonts w:ascii="Times New Roman" w:eastAsia="Times New Roman" w:hAnsi="Times New Roman" w:cs="Times New Roman"/>
                <w:color w:val="000000"/>
                <w:sz w:val="14"/>
                <w:szCs w:val="20"/>
              </w:rPr>
              <w:t xml:space="preserve">– Study 1 of 3), </w:t>
            </w:r>
            <w:r w:rsidRPr="00581AFF">
              <w:rPr>
                <w:rFonts w:ascii="Times New Roman" w:eastAsia="Times New Roman" w:hAnsi="Times New Roman" w:cs="Times New Roman"/>
                <w:i/>
                <w:color w:val="000000"/>
                <w:sz w:val="14"/>
                <w:szCs w:val="20"/>
              </w:rPr>
              <w:t>The Quarterly Journal of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350,000 applicants and 50,000 employees from a U.S. call-center</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Hypothesis; Homophily; Being Treated Differently (Support and Coaching); Social Monitoring (Reputation); Social Enrichment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Interviewing Process; Job Offers; Performance; Turnover; Wages; Individual Differences; Bonus Effects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applicants are more likely to be hired and accept job offers compared to nonreferred applicants. Referred applicants show small differences from nonreferred applicants in regard to schooling, intelligence, and personality. No significant differences between referred and nonreferred workers for four of five productivity measures—slightly below average on schedule adherence. There are no significant gains in productivity or salary for referrers making referrals. Referred workers are significantly less likely to quit than nonreferred workers. Likelihood of referred worker quitting after bonus is distributed shows no difference compared to other moments in time. No differences between referred worker and nonreferred wages. Authors conclude that referred workers result in higher profits</w:t>
            </w:r>
            <w:r>
              <w:rPr>
                <w:rFonts w:ascii="Times New Roman" w:eastAsia="Times New Roman" w:hAnsi="Times New Roman" w:cs="Times New Roman"/>
                <w:color w:val="000000"/>
                <w:sz w:val="14"/>
                <w:szCs w:val="20"/>
              </w:rPr>
              <w:t>/</w:t>
            </w:r>
            <w:r w:rsidRPr="00581AFF">
              <w:rPr>
                <w:rFonts w:ascii="Times New Roman" w:eastAsia="Times New Roman" w:hAnsi="Times New Roman" w:cs="Times New Roman"/>
                <w:color w:val="000000"/>
                <w:sz w:val="14"/>
                <w:szCs w:val="20"/>
              </w:rPr>
              <w:t>worker compared to nonreferred workers due to reduced turnover and recruiting costs.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Burks et al., (2015 – Study 2 of 3), </w:t>
            </w:r>
            <w:r w:rsidRPr="00581AFF">
              <w:rPr>
                <w:rFonts w:ascii="Times New Roman" w:eastAsia="Times New Roman" w:hAnsi="Times New Roman" w:cs="Times New Roman"/>
                <w:i/>
                <w:color w:val="000000"/>
                <w:sz w:val="14"/>
                <w:szCs w:val="20"/>
              </w:rPr>
              <w:t>The Quarterly Journal of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1.18 million applicants and about 25,000 employees from a high-tech firm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Hypothesis; Homophily; Being Treated Differently (Support and Coaching); Social Monitoring (Reputation); Social Enrichment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Interviewing Process; Job Offers; Performance; Turnover; Wages; Individual Differences; Bonus Effects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applicants are more likely to be hired and accept job offers compared to nonreferred applicants. Referred applicants and workers show no differences in schooling, IQ, or the big 5 indices. While referred workers do not differ from nonreferred workers on objective performance, they do have higher subjective performance. Referred workers are significantly more likely to file patent applications. There are no significant gains in productivity or salary for referrers making referrals. Referred workers are significantly less likely to quit than nonreferred workers. Referred workers earn around 1.7% higher wages.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 2, &amp; 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Burks et al., (2015 – Study 3 of 3), </w:t>
            </w:r>
            <w:r w:rsidRPr="00581AFF">
              <w:rPr>
                <w:rFonts w:ascii="Times New Roman" w:eastAsia="Times New Roman" w:hAnsi="Times New Roman" w:cs="Times New Roman"/>
                <w:i/>
                <w:color w:val="000000"/>
                <w:sz w:val="14"/>
                <w:szCs w:val="20"/>
              </w:rPr>
              <w:t>The Quarterly Journal of Economics</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Undisclosed N from a U.S. trucking firm</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Hypothesis; Homophily; Being Treated Differently (Support and Coaching); Social Monitoring (Reputation); Social Enrichment</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Interviewing Process; Job Offers; Performance; Turnover; Wages; Individual Differences; Bonus Effects</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applicants are more likely to be hired and accept job offers compared to nonreferred applicants, a finding that is greater when unemployment is low. Referred applicants show no significant difference in schooling, SAT score, or the big 5 indices. No significant differences between referred and nonreferred workers on miles, a primary performance indicator. Referred workers were 11% less likely to be in a preventable accident. There are no significant gains in productivity or salary for referrers making referrals. Referred workers are significantly less likely to quit or be fired than nonreferred workers. Likelihood of referred worker quitting after bonus is distributed shows no difference compared to other moments in time. No significant differences between referred worker and nonreferred wages. Referred and nonreferred workers do not significantly differ on benefit utilization, measured by holiday time and vacation time. Authors conclude that hiring referred workers results in higher profits per worker compared to nonreferred workers primarily due to reduced turnover and recruiting costs, as well as a small attribution to reduced accidents. Workers with higher productivity are more likely make a referral. Referred workers tend to have similar performance to referrers on mile productivity and accident likelihood. Referrers refer similarly productive drivers.</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1, 2, &amp; Context</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5" w:name="_Hlk529469931"/>
            <w:r w:rsidRPr="00581AFF">
              <w:rPr>
                <w:rFonts w:ascii="Times New Roman" w:eastAsia="Times New Roman" w:hAnsi="Times New Roman" w:cs="Times New Roman"/>
                <w:color w:val="000000"/>
                <w:sz w:val="14"/>
                <w:szCs w:val="20"/>
              </w:rPr>
              <w:t>Iversen &amp; Torsvik</w:t>
            </w:r>
            <w:r>
              <w:rPr>
                <w:rFonts w:ascii="Times New Roman" w:eastAsia="Times New Roman" w:hAnsi="Times New Roman" w:cs="Times New Roman"/>
                <w:color w:val="000000"/>
                <w:sz w:val="14"/>
                <w:szCs w:val="20"/>
              </w:rPr>
              <w:t xml:space="preserve"> (2011</w:t>
            </w:r>
            <w:bookmarkEnd w:id="35"/>
            <w:r>
              <w:rPr>
                <w:rFonts w:ascii="Times New Roman" w:eastAsia="Times New Roman" w:hAnsi="Times New Roman" w:cs="Times New Roman"/>
                <w:color w:val="000000"/>
                <w:sz w:val="14"/>
                <w:szCs w:val="20"/>
              </w:rPr>
              <w:t>)</w:t>
            </w:r>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Unpublished Manuscript</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India</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287 migrants from two villages in India with work histories ranging from 1950 to 2009.</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Moral Hazard</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Organizations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Moral Hazard / Workplace Misbehavior</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Results do not support that referrers identify hidden referred worker traits. Strong ties through family are most important for obtaining entry into a first migrant job. Support for the argument that organizations employ referrals because referrers enforce workplace discipline and/or reduce moral hazard.</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6" w:name="_Hlk529469940"/>
            <w:r w:rsidRPr="00581AFF">
              <w:rPr>
                <w:rFonts w:ascii="Times New Roman" w:eastAsia="Times New Roman" w:hAnsi="Times New Roman" w:cs="Times New Roman"/>
                <w:color w:val="000000"/>
                <w:sz w:val="14"/>
                <w:szCs w:val="20"/>
              </w:rPr>
              <w:t>Bridges &amp; Villemez (1986</w:t>
            </w:r>
            <w:bookmarkEnd w:id="3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Sociological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2,483 workers from the Metropolitan Employer-Worker Survey (MEWS)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Network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Income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After including additional variables (race, gender, highest year of school completed, number of years worked either full- or part-time since age 18, and a term for work experience squared) the way in which a job is located has virtually no effect on income. Internal referrals may still hold value.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7" w:name="_Hlk529469945"/>
            <w:r w:rsidRPr="00581AFF">
              <w:rPr>
                <w:rFonts w:ascii="Times New Roman" w:eastAsia="Times New Roman" w:hAnsi="Times New Roman" w:cs="Times New Roman"/>
                <w:color w:val="000000"/>
                <w:sz w:val="14"/>
                <w:szCs w:val="20"/>
              </w:rPr>
              <w:t>De Graaf &amp; Flap (1988</w:t>
            </w:r>
            <w:bookmarkEnd w:id="3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Social Forces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Multiple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628 individuals from the Wohlfahrts survey 1980 in West Germany; 466 males from a Dutch sample; United States data from Lin et al.</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Resources 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Occupational prestige; Income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higher the occupational prestige of the contact person, the better the job the respondent is likely to get. In the Netherlands, education or occupational prestige for the first job is stronger than the influence of contact’s prestige, though reversed in the United States. Prestige of contact person has positive but insignificant impact on income.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8" w:name="_Hlk529469951"/>
            <w:r w:rsidRPr="00581AFF">
              <w:rPr>
                <w:rFonts w:ascii="Times New Roman" w:eastAsia="Times New Roman" w:hAnsi="Times New Roman" w:cs="Times New Roman"/>
                <w:color w:val="000000"/>
                <w:sz w:val="14"/>
                <w:szCs w:val="20"/>
              </w:rPr>
              <w:t>Fernandez &amp; Weinberg (1997</w:t>
            </w:r>
            <w:bookmarkEnd w:id="3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Sociological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5,568 employment inquiries for four entry-level branch office jobs at a retail bank in the western region of the United States between January 1993 and March 1995</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Networks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Interviewing Process; Job Offers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External referrals present more appropriate resumes than do external nonreferrals. External referrals are more likely to be granted an interview than are external nonreferrals, but this cannot be explained by more appropriate resumes and behavior. Conditional on interviews, referred workers are more likely to receive a job offer than are external nonreferrals but this cannot be explained by more appropriate resumes, application behavior, and interview selection process. Offer four possible explanations for referred workers’ advantages and found evidence that referred workers display more appropriate job qualifications than nonreferrals.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39" w:name="_Hlk529469960"/>
            <w:r w:rsidRPr="00581AFF">
              <w:rPr>
                <w:rFonts w:ascii="Times New Roman" w:eastAsia="Times New Roman" w:hAnsi="Times New Roman" w:cs="Times New Roman"/>
                <w:color w:val="000000"/>
                <w:sz w:val="14"/>
                <w:szCs w:val="20"/>
              </w:rPr>
              <w:t>Bartus (2003</w:t>
            </w:r>
            <w:bookmarkEnd w:id="3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Review of Sociology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Hungary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620 individuals who had a serious job opportunity from 75 school registers in Hungary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Resources Theory; Strength of Weak Ties Hypothesis; Individual Differences; Social Enrichment; Realistic Information Hypothesis; Prescreening</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Finding; Income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As explored in part in Bartus (2001), high status contacts and employee referrals help find jobs in firms with attractive characteristics. High-status contacts increase earnings associated with the job. Evidence for social resources theory and theories underlying employee referrals.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0" w:name="_Hlk529469970"/>
            <w:r w:rsidRPr="00581AFF">
              <w:rPr>
                <w:rFonts w:ascii="Times New Roman" w:eastAsia="Times New Roman" w:hAnsi="Times New Roman" w:cs="Times New Roman"/>
                <w:color w:val="000000"/>
                <w:sz w:val="14"/>
                <w:szCs w:val="20"/>
              </w:rPr>
              <w:t>Breaugh et al., (2003</w:t>
            </w:r>
            <w:bookmarkEnd w:id="40"/>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Social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1,337 applicants at an entry-level job at a large Midwestern organization</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Realistic information; Ease of movement; Treated differently; Met expectations; Individual-Differences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offer; Interview withdrawal; Interview score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Likelihood of receiving a job offer was direct applicants, employee referrals, job-fair recruits, newspapers, then colleges. Employee referrals and direct applicants yielded highest amount of (judged) qualified candidates and those that were actually hired. Recruiting source not tied to withdrawal behavior from job applicant process.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1" w:name="_Hlk529469975"/>
            <w:r w:rsidRPr="00581AFF">
              <w:rPr>
                <w:rFonts w:ascii="Times New Roman" w:eastAsia="Times New Roman" w:hAnsi="Times New Roman" w:cs="Times New Roman"/>
                <w:color w:val="000000"/>
                <w:sz w:val="14"/>
                <w:szCs w:val="20"/>
              </w:rPr>
              <w:t>Kugler (2003</w:t>
            </w:r>
            <w:bookmarkEnd w:id="41"/>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Labour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2,142 employees from the 1982 National Longitudinal Survey of Youth and 1984 Current Population Survey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Equilibrium Matching Model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Wages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After controlling for industry variables, there was no indication that being referred results in a higher industry wage. Thus, variation in referral wage premiums is between, and not within, industry sectors.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2" w:name="_Hlk529469983"/>
            <w:r w:rsidRPr="00581AFF">
              <w:rPr>
                <w:rFonts w:ascii="Times New Roman" w:eastAsia="Times New Roman" w:hAnsi="Times New Roman" w:cs="Times New Roman"/>
                <w:color w:val="000000"/>
                <w:sz w:val="14"/>
                <w:szCs w:val="20"/>
              </w:rPr>
              <w:t>McManus &amp; Ferguson (2003</w:t>
            </w:r>
            <w:bookmarkEnd w:id="4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International Journal of Selection and Assessment</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19,578 individuals applying to 1 of 16 U.S. financial services companies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Hypothesis; Individual Differences Hypothesis</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Applicant Quality</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applicants scored higher on the biodata selection questionnaire than applicants who found the job through the internet or other recruitment sources. There were no differences in terms of personality characteristics.</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2</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3" w:name="_Hlk529469993"/>
            <w:r w:rsidRPr="00581AFF">
              <w:rPr>
                <w:rFonts w:ascii="Times New Roman" w:eastAsia="Times New Roman" w:hAnsi="Times New Roman" w:cs="Times New Roman"/>
                <w:color w:val="000000"/>
                <w:sz w:val="14"/>
                <w:szCs w:val="20"/>
              </w:rPr>
              <w:t xml:space="preserve">Mouw (2003 </w:t>
            </w:r>
            <w:bookmarkEnd w:id="43"/>
            <w:r w:rsidRPr="00581AFF">
              <w:rPr>
                <w:rFonts w:ascii="Times New Roman" w:eastAsia="Times New Roman" w:hAnsi="Times New Roman" w:cs="Times New Roman"/>
                <w:color w:val="000000"/>
                <w:sz w:val="14"/>
                <w:szCs w:val="20"/>
              </w:rPr>
              <w:t xml:space="preserve">– Study 1 of 4), </w:t>
            </w:r>
            <w:r w:rsidRPr="00581AFF">
              <w:rPr>
                <w:rFonts w:ascii="Times New Roman" w:eastAsia="Times New Roman" w:hAnsi="Times New Roman" w:cs="Times New Roman"/>
                <w:i/>
                <w:color w:val="000000"/>
                <w:sz w:val="14"/>
                <w:szCs w:val="20"/>
              </w:rPr>
              <w:t>American Sociological Review</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3,383 individuals in the National Longitudinal Study of Youth</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Wages; Job Satisfaction Unemployment Duration</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 evidence that the use of social contacts affects wages or job satisfaction, regardless of strength of tie, use of previous contacts earlier in the career, the individual’s perception of the importance of contacts, or by profession. In addition, no evidence that using a contact to find work decreases unemployment duration.</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Mouw (2003 – Study 2 of 4), </w:t>
            </w:r>
            <w:r w:rsidRPr="00581AFF">
              <w:rPr>
                <w:rFonts w:ascii="Times New Roman" w:eastAsia="Times New Roman" w:hAnsi="Times New Roman" w:cs="Times New Roman"/>
                <w:i/>
                <w:color w:val="000000"/>
                <w:sz w:val="14"/>
                <w:szCs w:val="20"/>
              </w:rPr>
              <w:t>American Sociological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332 male respondents in the 1970 Detroit Area Study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Prestige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 evidence that contacts with higher prestige result in an unemployed worker finding employment with higher prestige when the worker’s education and prestige of previous job is controlled for.</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Mouw (2003 – Study 3 of 4), </w:t>
            </w:r>
            <w:r w:rsidRPr="00581AFF">
              <w:rPr>
                <w:rFonts w:ascii="Times New Roman" w:eastAsia="Times New Roman" w:hAnsi="Times New Roman" w:cs="Times New Roman"/>
                <w:i/>
                <w:color w:val="000000"/>
                <w:sz w:val="14"/>
                <w:szCs w:val="20"/>
              </w:rPr>
              <w:t>American Sociological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1,266 observations in the 1987 Urban Poverty and Family Live Study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Prestige; Use of Contacts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unemployment, education, and welfare status of a contact’s social network does not affect the propensity to use contacts to find employment or labor market outcomes.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Mouw (2003 – Study 4 of 4), </w:t>
            </w:r>
            <w:r w:rsidRPr="00581AFF">
              <w:rPr>
                <w:rFonts w:ascii="Times New Roman" w:eastAsia="Times New Roman" w:hAnsi="Times New Roman" w:cs="Times New Roman"/>
                <w:i/>
                <w:color w:val="000000"/>
                <w:sz w:val="14"/>
                <w:szCs w:val="20"/>
              </w:rPr>
              <w:t>American Sociological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1,434 observations in the 1994 Multi-City Study of Urban Inequality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Prestige; Use of Contacts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unemployment, education, and welfare status of a contact’s social network does not affect the propensity to use contacts to find employment or labor market outcomes.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4" w:name="_Hlk529470002"/>
            <w:r w:rsidRPr="00581AFF">
              <w:rPr>
                <w:rFonts w:ascii="Times New Roman" w:eastAsia="Times New Roman" w:hAnsi="Times New Roman" w:cs="Times New Roman"/>
                <w:color w:val="000000"/>
                <w:sz w:val="14"/>
                <w:szCs w:val="20"/>
              </w:rPr>
              <w:t>Yakubovich &amp; Lup (2006</w:t>
            </w:r>
            <w:bookmarkEnd w:id="4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Organization Science</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9,008 sales agents in a virtual U.S.-based call center</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Better Match Argument</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r w:rsidRPr="00581AFF">
              <w:rPr>
                <w:rFonts w:ascii="Times New Roman" w:eastAsia="Times New Roman" w:hAnsi="Times New Roman" w:cs="Times New Roman"/>
                <w:color w:val="000000"/>
                <w:sz w:val="14"/>
                <w:szCs w:val="20"/>
              </w:rPr>
              <w:br/>
              <w:t>Referrers</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Likelihood of self-selecting through hiring process</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Likelihood of a referred worker being approved through application process increases with the referrer’s performance. Likelihood of passing the training stage increases with the referrer’s performance.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45" w:name="_Hlk529470006"/>
            <w:r w:rsidRPr="00581AFF">
              <w:rPr>
                <w:rFonts w:ascii="Times New Roman" w:eastAsia="Times New Roman" w:hAnsi="Times New Roman" w:cs="Times New Roman"/>
                <w:color w:val="000000"/>
                <w:sz w:val="14"/>
                <w:szCs w:val="20"/>
              </w:rPr>
              <w:t>Mano et al., (2011</w:t>
            </w:r>
            <w:bookmarkEnd w:id="4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World Development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Ethiopia</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320 workers from 64 farms in Ethiopia’s cut flower industry surveyed between 2007 and 2008</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Hypothesis; Peer-Pressure Hypothesis (Reputation); Information-Cost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Wages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Workers referred by friends/relatives working at the farm were paid significantly less at time of hiring than non-referred workers born outside the village where the farm was located but not significantly less than non-referred workers born in the village. This effect diminished over time.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6" w:name="_Hlk529470011"/>
            <w:r w:rsidRPr="00581AFF">
              <w:rPr>
                <w:rFonts w:ascii="Times New Roman" w:eastAsia="Times New Roman" w:hAnsi="Times New Roman" w:cs="Times New Roman"/>
                <w:color w:val="000000"/>
                <w:sz w:val="14"/>
                <w:szCs w:val="20"/>
              </w:rPr>
              <w:t>Diaz (2012</w:t>
            </w:r>
            <w:bookmarkEnd w:id="4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Labour</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Columbia</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Roughly 18,000 individuals that were interviewed in Colombia as part of the Living Standards Survey in 2003</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Information Improving Mechanism; Reduced Search Cost Hypothesis; Poor Match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Wages; Search Methods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Individuals who use informal search methods are moderately more successful at locating a job than individuals who use formal search methods. After controlling for both observed and unobserved individual attributes, individuals who used informal methods earn less wages.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7" w:name="_Hlk529470015"/>
            <w:r w:rsidRPr="00581AFF">
              <w:rPr>
                <w:rFonts w:ascii="Times New Roman" w:eastAsia="Times New Roman" w:hAnsi="Times New Roman" w:cs="Times New Roman"/>
                <w:color w:val="000000"/>
                <w:sz w:val="14"/>
                <w:szCs w:val="20"/>
              </w:rPr>
              <w:t>Obukhova &amp; Lan (2013</w:t>
            </w:r>
            <w:bookmarkEnd w:id="4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Management Science</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291 students who completed in a five-wave study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Capital</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Interviewing Process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activation of social capital is a more likely predictor of positive outcomes than its availability. Individuals who sought a job through an informal source were more likely to receive an interview, an offer, and an acceptance when compared to formal sources.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48" w:name="_Hlk529470025"/>
            <w:r w:rsidRPr="00581AFF">
              <w:rPr>
                <w:rFonts w:ascii="Times New Roman" w:eastAsia="Times New Roman" w:hAnsi="Times New Roman" w:cs="Times New Roman"/>
                <w:color w:val="000000"/>
                <w:sz w:val="14"/>
                <w:szCs w:val="20"/>
              </w:rPr>
              <w:t xml:space="preserve">Derfler-Rozin et al., (2018 </w:t>
            </w:r>
            <w:bookmarkEnd w:id="48"/>
            <w:r w:rsidRPr="00581AFF">
              <w:rPr>
                <w:rFonts w:ascii="Times New Roman" w:eastAsia="Times New Roman" w:hAnsi="Times New Roman" w:cs="Times New Roman"/>
                <w:color w:val="000000"/>
                <w:sz w:val="14"/>
                <w:szCs w:val="20"/>
              </w:rPr>
              <w:t xml:space="preserve">– Study 1 of 4), </w:t>
            </w:r>
            <w:r w:rsidRPr="00581AFF">
              <w:rPr>
                <w:rFonts w:ascii="Times New Roman" w:eastAsia="Times New Roman" w:hAnsi="Times New Roman" w:cs="Times New Roman"/>
                <w:i/>
                <w:color w:val="000000"/>
                <w:sz w:val="14"/>
                <w:szCs w:val="20"/>
              </w:rPr>
              <w:t>Academy of Management Journal</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148 students at a large university in the United States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Power; Attribution of Motives</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 Hiring Manager; Other Employees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Inferred Hiring Manager Motives; Moral Judgments of the Hiring Manager; Hiring Decision Support</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Employees infer self-interested and counter-organizational motives of the hiring manager when the referrer holds a higher-power position than the hiring manager and these inferences lead to harsher moral judgments of the hiring manager. Harsher moral judgments of the hiring manager decrease the likelihood of employees supporting the hiring decision.</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2</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Derfler-Rozin et al., (2018 – Study 2 of 4), </w:t>
            </w:r>
            <w:r w:rsidRPr="00581AFF">
              <w:rPr>
                <w:rFonts w:ascii="Times New Roman" w:eastAsia="Times New Roman" w:hAnsi="Times New Roman" w:cs="Times New Roman"/>
                <w:i/>
                <w:color w:val="000000"/>
                <w:sz w:val="14"/>
                <w:szCs w:val="20"/>
              </w:rPr>
              <w:t>Academy of Management Journal</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78 working adults across a variety of U.S. organizations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Power; Attribution of Motives</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 Hiring Manager; Other Employees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Inferred Hiring Manager Motives; Moral Judgments of the Hiring Manager; Hiring Decision Support</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Employees infer self-interested and counter-organizational motives of the hiring manager when the referrer holds a higher-power position than the hiring manager and these inferences lead to harsher moral judgments of the hiring manager. Harsher moral judgments of the hiring manager decrease the likelihood of employees supporting the hiring decision. Eliminated lack of agency and legitimacy as mediators for the relationship between referrer power and hiring decision support.</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Derfler-Rozin et al., (2018 – Study 3 of 4), </w:t>
            </w:r>
            <w:r w:rsidRPr="00581AFF">
              <w:rPr>
                <w:rFonts w:ascii="Times New Roman" w:eastAsia="Times New Roman" w:hAnsi="Times New Roman" w:cs="Times New Roman"/>
                <w:i/>
                <w:color w:val="000000"/>
                <w:sz w:val="14"/>
                <w:szCs w:val="20"/>
              </w:rPr>
              <w:t>Academy of Management Journal</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164 employees across a variety of U.S. organizations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Power; Attribution of Motives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 Hiring Manager; Other Employees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Inferred Hiring Manager Motives; Moral Judgments of the Hiring Manager; Hiring Decision Support</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Employees inferred self-interested motives to a hiring manager accepting a referral when the referrer held a higher-power position, and these inferences led to harsher moral judgments of the hiring manager. Harsher moral judgments of the hiring manager resulted in lower likelihood to support the hiring decision.</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Derfler-Rozin et al., (2018 – Study 4 of 4), </w:t>
            </w:r>
            <w:r w:rsidRPr="00581AFF">
              <w:rPr>
                <w:rFonts w:ascii="Times New Roman" w:eastAsia="Times New Roman" w:hAnsi="Times New Roman" w:cs="Times New Roman"/>
                <w:i/>
                <w:color w:val="000000"/>
                <w:sz w:val="14"/>
                <w:szCs w:val="20"/>
              </w:rPr>
              <w:t>Academy of Management Journal</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190 full-time employees in the United States across a variety of organizations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Power; Attribution of Motives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 Hiring Manager; Other Employees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Inferred Hiring Manager Motives; Moral Judgments of the Hiring Manager; Hiring Decision Support</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Employees infer self-interested and counter-organizational motives of the hiring manager when the referrer holds a higher-power position than the hiring manager and these inferences lead to harsher moral judgments of the hiring manager. Harsher moral judgments of the hiring manager decrease the likelihood of employees supporting the hiring decision.</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49" w:name="_Hlk529470037"/>
            <w:r w:rsidRPr="00581AFF">
              <w:rPr>
                <w:rFonts w:ascii="Times New Roman" w:eastAsia="Times New Roman" w:hAnsi="Times New Roman" w:cs="Times New Roman"/>
                <w:color w:val="000000"/>
                <w:sz w:val="14"/>
                <w:szCs w:val="20"/>
              </w:rPr>
              <w:t xml:space="preserve">Schlachter (2018 </w:t>
            </w:r>
            <w:bookmarkEnd w:id="49"/>
            <w:r w:rsidRPr="00581AFF">
              <w:rPr>
                <w:rFonts w:ascii="Times New Roman" w:eastAsia="Times New Roman" w:hAnsi="Times New Roman" w:cs="Times New Roman"/>
                <w:color w:val="000000"/>
                <w:sz w:val="14"/>
                <w:szCs w:val="20"/>
              </w:rPr>
              <w:t xml:space="preserve">– Study 1 of 2), </w:t>
            </w:r>
            <w:r w:rsidRPr="00581AFF">
              <w:rPr>
                <w:rFonts w:ascii="Times New Roman" w:eastAsia="Times New Roman" w:hAnsi="Times New Roman" w:cs="Times New Roman"/>
                <w:i/>
                <w:color w:val="000000"/>
                <w:sz w:val="14"/>
                <w:szCs w:val="20"/>
              </w:rPr>
              <w:t>Dissertation</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78 respondents recruited through social media each completing 12 vignettes, totaling 936 vignettes.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Power; Social Enrichment Perspective; Reputation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Hiring Likelihood</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are less likely to be hired if their referrer had previously referred a poor performing referred worker. The job-level of the referrer can affect the likelihood of hiring for a referred worker. Gender of the referrer did not affect hiring likelihood for the referred worker.</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50" w:name="_Hlk529470045"/>
            <w:bookmarkStart w:id="51" w:name="OLE_LINK8"/>
            <w:r w:rsidRPr="00581AFF">
              <w:rPr>
                <w:rFonts w:ascii="Times New Roman" w:eastAsia="Times New Roman" w:hAnsi="Times New Roman" w:cs="Times New Roman"/>
                <w:color w:val="000000"/>
                <w:sz w:val="14"/>
                <w:szCs w:val="20"/>
              </w:rPr>
              <w:t>Morimoto, (2018</w:t>
            </w:r>
            <w:bookmarkEnd w:id="50"/>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ISS Discussion Paper Series</w:t>
            </w:r>
            <w:bookmarkEnd w:id="51"/>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Japan</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2" w:name="OLE_LINK9"/>
            <w:r w:rsidRPr="00581AFF">
              <w:rPr>
                <w:rFonts w:ascii="Times New Roman" w:eastAsia="Times New Roman" w:hAnsi="Times New Roman" w:cs="Times New Roman"/>
                <w:color w:val="000000"/>
                <w:sz w:val="14"/>
                <w:szCs w:val="20"/>
              </w:rPr>
              <w:t>774 job applicants for the Aso Fujidana Second Coal Mine in the years 1902 to 1907</w:t>
            </w:r>
            <w:bookmarkEnd w:id="52"/>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Adverse Selection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Applicant Quality</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Applicants selected through referrals differed in the types of skills they had compared to applicants selected through the organization. Findings suggest context effects for when employee referrals are most beneficial to organizations, such as in the absence of complete information about where to find employees with unique skills. </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53" w:name="_Hlk529470050"/>
            <w:bookmarkStart w:id="54" w:name="OLE_LINK11"/>
            <w:r w:rsidRPr="00581AFF">
              <w:rPr>
                <w:rFonts w:ascii="Times New Roman" w:eastAsia="Times New Roman" w:hAnsi="Times New Roman" w:cs="Times New Roman"/>
                <w:color w:val="000000"/>
                <w:sz w:val="14"/>
                <w:szCs w:val="20"/>
              </w:rPr>
              <w:t>Larsen et al., (2011</w:t>
            </w:r>
            <w:bookmarkEnd w:id="5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Review of Development Economics</w:t>
            </w:r>
            <w:bookmarkEnd w:id="54"/>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Vietnam</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753 employees of 426 small and medium enterprises in Vietnam conducted in 2007</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Efficiency Wage Theory; Information Asymmetry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 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Wages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While other criteria contribute, such as education and experience, use of a referrer increases wages for referred workers. The authors distinguish between referrals from managers and non-manager employees, which explains differences in the wage effect. Referrals from managerial referrers receive an occupational effect in that they become employed in higher organizational positions. Referred workers from non-manager employees still experience a higher wage within their occupation, but not due to this occupational effect.</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5" w:name="_Hlk529470059"/>
            <w:r w:rsidRPr="00581AFF">
              <w:rPr>
                <w:rFonts w:ascii="Times New Roman" w:eastAsia="Times New Roman" w:hAnsi="Times New Roman" w:cs="Times New Roman"/>
                <w:color w:val="000000"/>
                <w:sz w:val="14"/>
                <w:szCs w:val="20"/>
              </w:rPr>
              <w:t>Simon &amp; Warner (1992</w:t>
            </w:r>
            <w:bookmarkEnd w:id="5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Journal of Labor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9,603 males between the ages of 25 and 55 (as of 1972) that had completed the 1972 Survey of Natural and Social Scientists and Engineers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Matching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Income;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which includes all individuals who used a third party to provide information about the firm, earned significantly higher starting salaries than nonreferred workers. Results largely indicated that referred workers experienced lower wage growth on the job; referred workers had longest tenures.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 &amp; 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6" w:name="_Hlk529470063"/>
            <w:r w:rsidRPr="00581AFF">
              <w:rPr>
                <w:rFonts w:ascii="Times New Roman" w:eastAsia="Times New Roman" w:hAnsi="Times New Roman" w:cs="Times New Roman"/>
                <w:color w:val="000000"/>
                <w:sz w:val="14"/>
                <w:szCs w:val="20"/>
              </w:rPr>
              <w:t>Heath (201</w:t>
            </w:r>
            <w:bookmarkEnd w:id="56"/>
            <w:r>
              <w:rPr>
                <w:rFonts w:ascii="Times New Roman" w:eastAsia="Times New Roman" w:hAnsi="Times New Roman" w:cs="Times New Roman"/>
                <w:color w:val="000000"/>
                <w:sz w:val="14"/>
                <w:szCs w:val="20"/>
              </w:rPr>
              <w:t>8</w:t>
            </w:r>
            <w:r w:rsidRPr="00581AFF">
              <w:rPr>
                <w:rFonts w:ascii="Times New Roman" w:eastAsia="Times New Roman" w:hAnsi="Times New Roman" w:cs="Times New Roman"/>
                <w:color w:val="000000"/>
                <w:sz w:val="14"/>
                <w:szCs w:val="20"/>
              </w:rPr>
              <w:t xml:space="preserve">), </w:t>
            </w:r>
            <w:r>
              <w:rPr>
                <w:rFonts w:ascii="Times New Roman" w:eastAsia="Times New Roman" w:hAnsi="Times New Roman" w:cs="Times New Roman"/>
                <w:i/>
                <w:color w:val="000000"/>
                <w:sz w:val="14"/>
                <w:szCs w:val="20"/>
              </w:rPr>
              <w:t>Journal of Political Economy</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Bangladesh</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972 garment workers surveyed outside of Dhaka, Bangladesh in 2009</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Moral Hazard</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 Referred Workers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Turnover; Wages</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 have lower turnover than non-referrers. There are no differences in wages for referred workers once controls are added. Results also indicate that a referrer’s wage is reflective of the referred worker’s output, suggesting that organizations use the referrer’s wages as leverage for reducing moral hazard. When taken together, the author provides evidence that these effects cannot be caused by the referrer providing information about the referred worker’s ability prior to hire.</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2 &amp; 3</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7" w:name="_Hlk529470072"/>
            <w:r w:rsidRPr="00581AFF">
              <w:rPr>
                <w:rFonts w:ascii="Times New Roman" w:eastAsia="Times New Roman" w:hAnsi="Times New Roman" w:cs="Times New Roman"/>
                <w:color w:val="000000"/>
                <w:sz w:val="14"/>
                <w:szCs w:val="20"/>
              </w:rPr>
              <w:t>Pinkston (2012</w:t>
            </w:r>
            <w:bookmarkEnd w:id="5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Industrial Relations: A Journal of Economy and Society</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650 establishments from the 1982 survey of the Employment Opportunity Pilot Project that reported on the last 1-2 workers hired.</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Job Information Hypothesis</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Income; Interviewing Process; Productivity</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Insignificant wage effects between a referred worker and non-referral. Referred workers have higher productivity than non-referrals. Employees referred specifically by friends and family of the employer experience a wage advantage but no increase in productivity, suggesting the possibility of favoritism in the hiring process.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8" w:name="_Hlk529470077"/>
            <w:r w:rsidRPr="00581AFF">
              <w:rPr>
                <w:rFonts w:ascii="Times New Roman" w:eastAsia="Times New Roman" w:hAnsi="Times New Roman" w:cs="Times New Roman"/>
                <w:color w:val="000000"/>
                <w:sz w:val="14"/>
                <w:szCs w:val="20"/>
              </w:rPr>
              <w:t>Dustman et al., (2016</w:t>
            </w:r>
            <w:bookmarkEnd w:id="5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The Review of Economic Studies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Germany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753 workers drawn from two surveys paired with a matched employer-employee data set which covers four metropolitan areas in West Germany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Productivity Signaling and Noise</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Wages;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Given the context of this paper, the individuals examined in this paper are more appropriately termed as informal recruitment sources rather than referrals. Provide</w:t>
            </w:r>
            <w:r>
              <w:rPr>
                <w:rFonts w:ascii="Times New Roman" w:eastAsia="Times New Roman" w:hAnsi="Times New Roman" w:cs="Times New Roman"/>
                <w:color w:val="000000"/>
                <w:sz w:val="14"/>
                <w:szCs w:val="20"/>
              </w:rPr>
              <w:t>d</w:t>
            </w:r>
            <w:r w:rsidRPr="00581AFF">
              <w:rPr>
                <w:rFonts w:ascii="Times New Roman" w:eastAsia="Times New Roman" w:hAnsi="Times New Roman" w:cs="Times New Roman"/>
                <w:color w:val="000000"/>
                <w:sz w:val="14"/>
                <w:szCs w:val="20"/>
              </w:rPr>
              <w:t xml:space="preserve"> evidence that using these informal sources raises wages and reduces turnover, but the effects quickly decline with firm tenure.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59" w:name="_Hlk529470083"/>
            <w:r w:rsidRPr="00581AFF">
              <w:rPr>
                <w:rFonts w:ascii="Times New Roman" w:eastAsia="Times New Roman" w:hAnsi="Times New Roman" w:cs="Times New Roman"/>
                <w:color w:val="000000"/>
                <w:sz w:val="14"/>
                <w:szCs w:val="20"/>
              </w:rPr>
              <w:t>Pallais &amp; Sands (2016</w:t>
            </w:r>
            <w:bookmarkEnd w:id="5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Journal of Political Economy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Multiple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Individuals from three groups: referred workers, nonreferred workers, and referrals. 1,246 referred someone (455 hires), 1,867 referred none. N varied by treatment.</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Peer Monitoring; Complete Information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Team Performance;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Referrals reveal unobservable information about worker quality independent of information present on resumes. Referred workers had higher performance and lower turnover than nonreferrals. “Monitoring” effect of referrers on referred workers did not influence performance, though with caveats. Referrer-referred worker working interdependently makes the referred worker more productive. High performers referred high-performing referrals.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0" w:name="_Hlk529470091"/>
            <w:r w:rsidRPr="00581AFF">
              <w:rPr>
                <w:rFonts w:ascii="Times New Roman" w:eastAsia="Times New Roman" w:hAnsi="Times New Roman" w:cs="Times New Roman"/>
                <w:color w:val="000000"/>
                <w:sz w:val="14"/>
                <w:szCs w:val="20"/>
              </w:rPr>
              <w:t xml:space="preserve">Merluzzi &amp; Sterling, (2017 </w:t>
            </w:r>
            <w:bookmarkEnd w:id="60"/>
            <w:r w:rsidRPr="00581AFF">
              <w:rPr>
                <w:rFonts w:ascii="Times New Roman" w:eastAsia="Times New Roman" w:hAnsi="Times New Roman" w:cs="Times New Roman"/>
                <w:color w:val="000000"/>
                <w:sz w:val="14"/>
                <w:szCs w:val="20"/>
              </w:rPr>
              <w:t xml:space="preserve">– Study 1 of 4) </w:t>
            </w:r>
            <w:r w:rsidRPr="00581AFF">
              <w:rPr>
                <w:rFonts w:ascii="Times New Roman" w:eastAsia="Times New Roman" w:hAnsi="Times New Roman" w:cs="Times New Roman"/>
                <w:i/>
                <w:color w:val="000000"/>
                <w:sz w:val="14"/>
                <w:szCs w:val="20"/>
              </w:rPr>
              <w:t>ILR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15,382 sales employees from a large private employer hired between 2003 and 2013</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Selection Explanation; Treatment Explanation; Quality Signals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Promotion Opportunities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Employees hired through referrals did not experience greater upward mobility outcomes post-entry compared to nonreferred workers. Additional analysis did not support any significant relationship for women either. However, Black workers did receive a promotion advantage when using a referral as a recruitment source compared to nonreferred Black workers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 &amp; 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Merluzzi &amp; Sterling, (2017 – Study 2 of 4) </w:t>
            </w:r>
            <w:r w:rsidRPr="00581AFF">
              <w:rPr>
                <w:rFonts w:ascii="Times New Roman" w:eastAsia="Times New Roman" w:hAnsi="Times New Roman" w:cs="Times New Roman"/>
                <w:i/>
                <w:color w:val="000000"/>
                <w:sz w:val="14"/>
                <w:szCs w:val="20"/>
              </w:rPr>
              <w:t>ILR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Exploratory analysis with 80 MBA graduate students at a United States university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Selection Explanation; Treatment Explanation; Quality Signals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Promotion and Termination Judgments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Black workers received a promotion advantage when using a referral as a recruitment source compared to nonreferred Black workers. Participants were less likely to use hard data for promotion and termination decisions with Black employees that were referred.</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1" w:name="_Hlk529470097"/>
            <w:r w:rsidRPr="00581AFF">
              <w:rPr>
                <w:rFonts w:ascii="Times New Roman" w:eastAsia="Times New Roman" w:hAnsi="Times New Roman" w:cs="Times New Roman"/>
                <w:color w:val="000000"/>
                <w:sz w:val="14"/>
                <w:szCs w:val="20"/>
              </w:rPr>
              <w:t>Hill (1970</w:t>
            </w:r>
            <w:bookmarkEnd w:id="61"/>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Personnel Journal</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203 employees from three organizations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None</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Rating</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 statistically significant results were found to suggest that referred workers exhibited higher performance ratings than nonreferrals (but was in the expected direction). Quality of referred workers may depend on the morale of the employees, accuracy of information conveyed, and strength of tie.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2" w:name="_Hlk529470104"/>
            <w:r w:rsidRPr="00581AFF">
              <w:rPr>
                <w:rFonts w:ascii="Times New Roman" w:eastAsia="Times New Roman" w:hAnsi="Times New Roman" w:cs="Times New Roman"/>
                <w:color w:val="000000"/>
                <w:sz w:val="14"/>
                <w:szCs w:val="20"/>
              </w:rPr>
              <w:t>Gannon (1971</w:t>
            </w:r>
            <w:bookmarkEnd w:id="6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6,390 employees who were hired in the years 1961-1964 at a New York bank</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None</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Quit Rate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Reemployed individuals, individuals referred by their school, referred employees, and walk-in applicants provided employees who were less likely to quit.</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3" w:name="_Hlk529470110"/>
            <w:r w:rsidRPr="00581AFF">
              <w:rPr>
                <w:rFonts w:ascii="Times New Roman" w:eastAsia="Times New Roman" w:hAnsi="Times New Roman" w:cs="Times New Roman"/>
                <w:color w:val="000000"/>
                <w:sz w:val="14"/>
                <w:szCs w:val="20"/>
              </w:rPr>
              <w:t>Decker &amp; Cornelius (1979</w:t>
            </w:r>
            <w:bookmarkEnd w:id="6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2,446 hired employees from three organizations between 1972 and 1974</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Perceived Ease of Movement; Realistic Information</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tended to have lower turnover.</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4" w:name="_Hlk529470114"/>
            <w:r w:rsidRPr="00581AFF">
              <w:rPr>
                <w:rFonts w:ascii="Times New Roman" w:eastAsia="Times New Roman" w:hAnsi="Times New Roman" w:cs="Times New Roman"/>
                <w:color w:val="000000"/>
                <w:sz w:val="14"/>
                <w:szCs w:val="20"/>
              </w:rPr>
              <w:t>Datcher (1983</w:t>
            </w:r>
            <w:bookmarkEnd w:id="6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The Review of Economics and Statistics</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1472 household heads between the ages of 25 and 44 contacted through the University of Michigan Panel Study of Income Dynamics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“Clout” Theory (Particularism)</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Turnover</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Data suggests that it is the providing of realistic information about the firm that decreases turnover for referred workers, rather than the “clout” (e.g., power) of the referrer in providing opportunities at the firm once hired. Argues that African-American and college-educated workers may most benefit from realistic information.</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3</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5" w:name="_Hlk529470124"/>
            <w:r w:rsidRPr="00581AFF">
              <w:rPr>
                <w:rFonts w:ascii="Times New Roman" w:eastAsia="Times New Roman" w:hAnsi="Times New Roman" w:cs="Times New Roman"/>
                <w:color w:val="000000"/>
                <w:sz w:val="14"/>
                <w:szCs w:val="20"/>
              </w:rPr>
              <w:t>Taylor &amp; Schmidt (1983</w:t>
            </w:r>
            <w:bookmarkEnd w:id="6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Personnel Psychology</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300 individuals hired by a Midwestern packaging plant for seasonal work</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Hypothesis; Individual Differences Hypothesis</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Organizational Tenure; Attendance</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The sources used varied in their effectiveness in relation to job performance, job tenure, and attendance. Rehires were the best in comparison to most categories. Employee referrals did not show as one of the most effective recruiting sources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6" w:name="_Hlk529470129"/>
            <w:r w:rsidRPr="00581AFF">
              <w:rPr>
                <w:rFonts w:ascii="Times New Roman" w:eastAsia="Times New Roman" w:hAnsi="Times New Roman" w:cs="Times New Roman"/>
                <w:color w:val="000000"/>
                <w:sz w:val="14"/>
                <w:szCs w:val="20"/>
              </w:rPr>
              <w:t>Latham &amp; Leddy (1987</w:t>
            </w:r>
            <w:bookmarkEnd w:id="6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Business and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68 individuals at Oldsmobile dealerships in two Midwestern cities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None</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Involvement; Organizational Commitment; Job Satisfaction</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reported significantly higher levels of job involvement, organizational commitment, and job satisfaction compared to non-referred workers.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7" w:name="_Hlk529470134"/>
            <w:r w:rsidRPr="00581AFF">
              <w:rPr>
                <w:rFonts w:ascii="Times New Roman" w:eastAsia="Times New Roman" w:hAnsi="Times New Roman" w:cs="Times New Roman"/>
                <w:color w:val="000000"/>
                <w:sz w:val="14"/>
                <w:szCs w:val="20"/>
              </w:rPr>
              <w:t xml:space="preserve">Aamodt &amp; Carr (1988 </w:t>
            </w:r>
            <w:bookmarkEnd w:id="67"/>
            <w:r w:rsidRPr="00581AFF">
              <w:rPr>
                <w:rFonts w:ascii="Times New Roman" w:eastAsia="Times New Roman" w:hAnsi="Times New Roman" w:cs="Times New Roman"/>
                <w:color w:val="000000"/>
                <w:sz w:val="14"/>
                <w:szCs w:val="20"/>
              </w:rPr>
              <w:t xml:space="preserve">– Study 2 of 2), </w:t>
            </w:r>
            <w:r w:rsidRPr="00581AFF">
              <w:rPr>
                <w:rFonts w:ascii="Times New Roman" w:eastAsia="Times New Roman" w:hAnsi="Times New Roman" w:cs="Times New Roman"/>
                <w:i/>
                <w:color w:val="000000"/>
                <w:sz w:val="14"/>
                <w:szCs w:val="20"/>
              </w:rPr>
              <w:t>Proceedings of the 1988 IPMAAC Conference on Personnel Assessment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Unknown</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141 former retail and restaurant employees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None</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 Tenure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referred by family members and high-tenure employees, defined as working for the organization for at least 7 months, had longer tenure than referred workers from low-tenure employees.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8" w:name="_Hlk529470140"/>
            <w:r w:rsidRPr="00581AFF">
              <w:rPr>
                <w:rFonts w:ascii="Times New Roman" w:eastAsia="Times New Roman" w:hAnsi="Times New Roman" w:cs="Times New Roman"/>
                <w:color w:val="000000"/>
                <w:sz w:val="14"/>
                <w:szCs w:val="20"/>
              </w:rPr>
              <w:t>Bishop &amp; Abraham (1993</w:t>
            </w:r>
            <w:bookmarkEnd w:id="6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Brookings Papers on Economic Activity: Microeconomics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Multiple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2,599 responses to a four-page questionnaire conducted in 1987</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Preview Theory; Screening Hypothesis; The “Showing the Ropes” Hypothesis; “Teaches-you-the-limits” Hypothesis; Individual Differences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Productivity;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Recruitment source, divided into informal and formal sources, did not seem to have significant effects on improving fit as judged by productivity and turnover.</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69" w:name="_Hlk529470148"/>
            <w:r w:rsidRPr="00581AFF">
              <w:rPr>
                <w:rFonts w:ascii="Times New Roman" w:eastAsia="Times New Roman" w:hAnsi="Times New Roman" w:cs="Times New Roman"/>
                <w:color w:val="000000"/>
                <w:sz w:val="14"/>
                <w:szCs w:val="20"/>
              </w:rPr>
              <w:t>Saks (1994</w:t>
            </w:r>
            <w:bookmarkEnd w:id="6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Organizational Behavior</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208 seasonal employees of a large amusement park employed in a number of entry level positions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Realism Theory; Met Expectations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Organizational information; Met Expectations; Job Satisfaction; Organizational Commitment; Role Clarity; Ability to Cope; Intention to Quit; Job Survival</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Greater job survival for informal sources. Higher intention to quit for formal sources. No significant differences between formal and informal sources for information received from the organization. Rehires showed greatest ability to cope.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0" w:name="_Hlk529470152"/>
            <w:r w:rsidRPr="00581AFF">
              <w:rPr>
                <w:rFonts w:ascii="Times New Roman" w:eastAsia="Times New Roman" w:hAnsi="Times New Roman" w:cs="Times New Roman"/>
                <w:color w:val="000000"/>
                <w:sz w:val="14"/>
                <w:szCs w:val="20"/>
              </w:rPr>
              <w:t>Sommerville (1996</w:t>
            </w:r>
            <w:bookmarkEnd w:id="70"/>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Construction Management and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Scotland</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2,448 current and past employees of 5 organizations in the Scottish construction industry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Theory; Individual Differences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Quit Rate; Tenure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Each organization had a different recruitment source that was deemed most effective based on quit rates and tenure. Disparity in quit rates and tenure was found between organizations' preferred recruitment source and those shown to be more effective, meaning certain sources are more effective.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71" w:name="_Hlk529470157"/>
            <w:r w:rsidRPr="00581AFF">
              <w:rPr>
                <w:rFonts w:ascii="Times New Roman" w:eastAsia="Times New Roman" w:hAnsi="Times New Roman" w:cs="Times New Roman"/>
                <w:color w:val="000000"/>
                <w:sz w:val="14"/>
                <w:szCs w:val="20"/>
              </w:rPr>
              <w:t>Griffeth et al., (1997</w:t>
            </w:r>
            <w:bookmarkEnd w:id="71"/>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Journal of Management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Unknown</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221 recently hired nurses at a large metropolitan medical center</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 Hypothesis; Realism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Absences, Turnover, Job Satisfaction</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Results indicated that an integrated model that incorporates realism processes and individual differences as mediators, as well as a direct pathway from recruiting sources to work outcomes, achieved the best fit. This indicates that realistic information and individual differences do not fully explain referred worker outcomes.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2" w:name="_Hlk529470165"/>
            <w:r w:rsidRPr="00581AFF">
              <w:rPr>
                <w:rFonts w:ascii="Times New Roman" w:eastAsia="Times New Roman" w:hAnsi="Times New Roman" w:cs="Times New Roman"/>
                <w:color w:val="000000"/>
                <w:sz w:val="14"/>
                <w:szCs w:val="20"/>
              </w:rPr>
              <w:t>Linnehan &amp; Blau (2003</w:t>
            </w:r>
            <w:bookmarkEnd w:id="7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Psychology: An International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Mexico</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345 new employees in a coupon processing plant in Acuna, Mexico</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Preview Theory; Turnover Theory</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Voluntary Turnover; Job Search Behavior</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 the reverse of the predicted hypothesis, referred workers were positively related to voluntary turnover beyond controlled-for variables.</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3" w:name="_Hlk529470171"/>
            <w:r w:rsidRPr="00581AFF">
              <w:rPr>
                <w:rFonts w:ascii="Times New Roman" w:eastAsia="Times New Roman" w:hAnsi="Times New Roman" w:cs="Times New Roman"/>
                <w:color w:val="000000"/>
                <w:sz w:val="14"/>
                <w:szCs w:val="20"/>
              </w:rPr>
              <w:t>Shinnar et al., (2004</w:t>
            </w:r>
            <w:bookmarkEnd w:id="7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Business and Psychology</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75 students from a large urban university’s hotel administration college</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Cognitive Dissonance Theory; Self-Perception Theory</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 Normative Commitment</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Engaging in an employment recommendation will lead to an increase in normative commitment for the recommender immediately after engaging in a referral. No support for the normative commitment remaining evident a week after the referral.</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3</w:t>
            </w:r>
          </w:p>
        </w:tc>
        <w:tc>
          <w:tcPr>
            <w:tcW w:w="1440" w:type="dxa"/>
            <w:tcBorders>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4" w:name="_Hlk529470181"/>
            <w:r w:rsidRPr="00581AFF">
              <w:rPr>
                <w:rFonts w:ascii="Times New Roman" w:eastAsia="Times New Roman" w:hAnsi="Times New Roman" w:cs="Times New Roman"/>
                <w:color w:val="000000"/>
                <w:sz w:val="14"/>
                <w:szCs w:val="20"/>
              </w:rPr>
              <w:t>Moser (2005</w:t>
            </w:r>
            <w:bookmarkEnd w:id="7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International Journal of Selection and Assessment</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767 new employees, largely engineers, in a large German electronic company</w:t>
            </w:r>
          </w:p>
        </w:tc>
        <w:tc>
          <w:tcPr>
            <w:tcW w:w="1755" w:type="dxa"/>
            <w:tcBorders>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Unmet Expectations Theory</w:t>
            </w:r>
          </w:p>
        </w:tc>
        <w:tc>
          <w:tcPr>
            <w:tcW w:w="1080" w:type="dxa"/>
            <w:tcBorders>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Unmet Expectations; Job Satisfaction; Organizational Commitment</w:t>
            </w:r>
          </w:p>
        </w:tc>
        <w:tc>
          <w:tcPr>
            <w:tcW w:w="4128" w:type="dxa"/>
            <w:tcBorders>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 Internally recruited employees had higher job satisfaction and organizational commitment. The relationships between recruitment source (internal vs. external source) and both job satisfaction and organizational commitment are mediated by unmet expectations. </w:t>
            </w:r>
          </w:p>
        </w:tc>
      </w:tr>
      <w:tr w:rsidR="00C05CA6" w:rsidRPr="00581AFF" w:rsidTr="00A90630">
        <w:trPr>
          <w:gridAfter w:val="1"/>
          <w:wAfter w:w="20" w:type="dxa"/>
          <w:cantSplit/>
          <w:trHeight w:val="543"/>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5" w:name="_Hlk529470187"/>
            <w:r w:rsidRPr="00581AFF">
              <w:rPr>
                <w:rFonts w:ascii="Times New Roman" w:eastAsia="Times New Roman" w:hAnsi="Times New Roman" w:cs="Times New Roman"/>
                <w:color w:val="000000"/>
                <w:sz w:val="14"/>
                <w:szCs w:val="20"/>
              </w:rPr>
              <w:t>Wiley (2011</w:t>
            </w:r>
            <w:bookmarkEnd w:id="7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Journal of Applied Business Research</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199 individuals in eight small and mid-sized businesses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Realistic Information Hypothesis; Individual Difference Hypothesis</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Majority of individuals from employee referrals, private employment agencies/search firms, and newspaper/special ads performed at high levels. No referred workers were poor performers.</w:t>
            </w:r>
          </w:p>
        </w:tc>
      </w:tr>
      <w:tr w:rsidR="00C05CA6" w:rsidRPr="00581AFF" w:rsidTr="00A90630">
        <w:trPr>
          <w:gridAfter w:val="1"/>
          <w:wAfter w:w="20" w:type="dxa"/>
          <w:cantSplit/>
          <w:trHeight w:val="705"/>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76" w:name="_Hlk529470191"/>
            <w:r w:rsidRPr="00581AFF">
              <w:rPr>
                <w:rFonts w:ascii="Times New Roman" w:eastAsia="Times New Roman" w:hAnsi="Times New Roman" w:cs="Times New Roman"/>
                <w:color w:val="000000"/>
                <w:sz w:val="14"/>
                <w:szCs w:val="20"/>
              </w:rPr>
              <w:t>Shwed &amp; Kalev (2014</w:t>
            </w:r>
            <w:bookmarkEnd w:id="7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American Behavioral Scientist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Multiple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357 sales employees who started employment between 1997 and 2011 in a global information technology firm </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Better match Theory; Social Enrichment; Favoritism</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Evaluations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receive preferential evaluations in performance when performance measures are informal and at the discretion of the manager, suggesting bias.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7" w:name="_Hlk529470195"/>
            <w:r w:rsidRPr="00581AFF">
              <w:rPr>
                <w:rFonts w:ascii="Times New Roman" w:eastAsia="Times New Roman" w:hAnsi="Times New Roman" w:cs="Times New Roman"/>
                <w:color w:val="000000"/>
                <w:sz w:val="14"/>
                <w:szCs w:val="20"/>
              </w:rPr>
              <w:t>Fafchamps &amp; Moradi (2015</w:t>
            </w:r>
            <w:bookmarkEnd w:id="77"/>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Economic Development and Cultural Change</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Ghana</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7,507 fighting troops and 844 motor drivers in the Gold Cost Regiment (GCR) of Ghana in the early 20</w:t>
            </w:r>
            <w:r w:rsidRPr="00581AFF">
              <w:rPr>
                <w:rFonts w:ascii="Times New Roman" w:eastAsia="Times New Roman" w:hAnsi="Times New Roman" w:cs="Times New Roman"/>
                <w:color w:val="000000"/>
                <w:sz w:val="14"/>
                <w:szCs w:val="20"/>
                <w:vertAlign w:val="superscript"/>
              </w:rPr>
              <w:t>th</w:t>
            </w:r>
            <w:r w:rsidRPr="00581AFF">
              <w:rPr>
                <w:rFonts w:ascii="Times New Roman" w:eastAsia="Times New Roman" w:hAnsi="Times New Roman" w:cs="Times New Roman"/>
                <w:color w:val="000000"/>
                <w:sz w:val="14"/>
                <w:szCs w:val="20"/>
              </w:rPr>
              <w:t xml:space="preserve"> century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Opportunism; Realistic Information/Better Match Theory; Screening</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from organizational members did not seem to possess desirable unobserved qualities given their increased rate of desertion and/or being deemed unfit for duty by commanding officers. Referrer performance (measured by referrer rank) had a negative relationship with referred worker performance.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78" w:name="_Hlk529470203"/>
            <w:r w:rsidRPr="00581AFF">
              <w:rPr>
                <w:rFonts w:ascii="Times New Roman" w:eastAsia="Times New Roman" w:hAnsi="Times New Roman" w:cs="Times New Roman"/>
                <w:color w:val="000000"/>
                <w:sz w:val="14"/>
                <w:szCs w:val="20"/>
              </w:rPr>
              <w:t>Pieper (2015</w:t>
            </w:r>
            <w:bookmarkEnd w:id="7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Personnel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386 referrer-referral hire pairs in a U.S. call center over 2 years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Better Match; Social Enrichment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r w:rsidRPr="00581AFF">
              <w:rPr>
                <w:rFonts w:ascii="Times New Roman" w:eastAsia="Times New Roman" w:hAnsi="Times New Roman" w:cs="Times New Roman"/>
                <w:color w:val="000000"/>
                <w:sz w:val="14"/>
                <w:szCs w:val="20"/>
              </w:rPr>
              <w:b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Turnover</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Referred workers from high-performers performed better but were more likely to turnover than referred workers from low-performers. Referred workers from longer-tenured employees tended to produce higher-performing employees. Given that the referrer remained employed, referred workers were less likely to leave. When the referrer and referred worker were in congruent jobs, referred worker performed worse. Referral bonuses paid out in smaller increments across time compared to large lump-sum bonuses negatively influenced referred worker productivity, indicating that referral bonuses may motivate referrers to socialize with their referral hires in ways detrimental to their productivity. </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79" w:name="_Hlk529470210"/>
            <w:r w:rsidRPr="00581AFF">
              <w:rPr>
                <w:rFonts w:ascii="Times New Roman" w:eastAsia="Times New Roman" w:hAnsi="Times New Roman" w:cs="Times New Roman"/>
                <w:color w:val="000000"/>
                <w:sz w:val="14"/>
                <w:szCs w:val="20"/>
              </w:rPr>
              <w:t>Wang &amp; Seifert (2017</w:t>
            </w:r>
            <w:bookmarkEnd w:id="79"/>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European Management Journal</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China</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4030 employees from a textile manufacturer in China</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Guanxi; Social Capital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Job Tenure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 comparison to employees recruited through formal recruitment sources, individuals recruited through referrals had longer job tenures. This relationship was stronger when there was close guanxi, or influence, between the referrer and referred worker. Referred workers are more likely to attain managerial roles than those recruited through more formal methods.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bookmarkStart w:id="80" w:name="_Hlk529470218"/>
            <w:r w:rsidRPr="00581AFF">
              <w:rPr>
                <w:rFonts w:ascii="Times New Roman" w:eastAsia="Times New Roman" w:hAnsi="Times New Roman" w:cs="Times New Roman"/>
                <w:color w:val="000000"/>
                <w:sz w:val="14"/>
                <w:szCs w:val="20"/>
              </w:rPr>
              <w:t xml:space="preserve">Merluzzi &amp; Sterling (2017 </w:t>
            </w:r>
            <w:bookmarkEnd w:id="80"/>
            <w:r w:rsidRPr="00581AFF">
              <w:rPr>
                <w:rFonts w:ascii="Times New Roman" w:eastAsia="Times New Roman" w:hAnsi="Times New Roman" w:cs="Times New Roman"/>
                <w:color w:val="000000"/>
                <w:sz w:val="14"/>
                <w:szCs w:val="20"/>
              </w:rPr>
              <w:t xml:space="preserve">– Study 3 of 4), </w:t>
            </w:r>
            <w:r w:rsidRPr="00581AFF">
              <w:rPr>
                <w:rFonts w:ascii="Times New Roman" w:eastAsia="Times New Roman" w:hAnsi="Times New Roman" w:cs="Times New Roman"/>
                <w:i/>
                <w:color w:val="000000"/>
                <w:sz w:val="14"/>
                <w:szCs w:val="20"/>
              </w:rPr>
              <w:t>ILR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15,382 employee personnel records from a large U.S. based employer with offices throughout the world</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Selection and Treatment Theories of Referrals; </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Upward Mobility (Promotions)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 support for the hypothesis that employees hired through referrals experience greater upward mobility outcomes than those hired through formal methods. However, results indicated that Black employees recruited through referrals do experience greater upward mobility in comparison to Black employees recruited through more formal methods.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Merluzzi &amp; Sterling (2017 – Study 4 of 4), </w:t>
            </w:r>
            <w:r w:rsidRPr="00581AFF">
              <w:rPr>
                <w:rFonts w:ascii="Times New Roman" w:eastAsia="Times New Roman" w:hAnsi="Times New Roman" w:cs="Times New Roman"/>
                <w:i/>
                <w:color w:val="000000"/>
                <w:sz w:val="14"/>
                <w:szCs w:val="20"/>
              </w:rPr>
              <w:t>ILR Review</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89 MBA graduate students from a U.S. university</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Selection and Treatment Theories of Referrals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Promotion and Termination Decisions of Employees</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Respondents were more likely to use hard statistical data to assess employee quality for Black employees compared to White employees. However, when a Black employee was referred, hard data was less likely to be relied upon.</w:t>
            </w:r>
          </w:p>
        </w:tc>
      </w:tr>
      <w:tr w:rsidR="00C05CA6" w:rsidRPr="00581AFF" w:rsidTr="00A90630">
        <w:trPr>
          <w:gridAfter w:val="1"/>
          <w:wAfter w:w="20" w:type="dxa"/>
          <w:cantSplit/>
          <w:trHeight w:val="720"/>
        </w:trPr>
        <w:tc>
          <w:tcPr>
            <w:tcW w:w="622"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lastRenderedPageBreak/>
              <w:t>3</w:t>
            </w:r>
          </w:p>
        </w:tc>
        <w:tc>
          <w:tcPr>
            <w:tcW w:w="144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i/>
                <w:color w:val="000000"/>
                <w:sz w:val="14"/>
                <w:szCs w:val="20"/>
              </w:rPr>
            </w:pPr>
            <w:r w:rsidRPr="00581AFF">
              <w:rPr>
                <w:rFonts w:ascii="Times New Roman" w:eastAsia="Times New Roman" w:hAnsi="Times New Roman" w:cs="Times New Roman"/>
                <w:color w:val="000000"/>
                <w:sz w:val="14"/>
                <w:szCs w:val="20"/>
              </w:rPr>
              <w:t xml:space="preserve">Schlachter (2018 – Study 2 of 2), </w:t>
            </w:r>
            <w:r w:rsidRPr="00581AFF">
              <w:rPr>
                <w:rFonts w:ascii="Times New Roman" w:eastAsia="Times New Roman" w:hAnsi="Times New Roman" w:cs="Times New Roman"/>
                <w:i/>
                <w:color w:val="000000"/>
                <w:sz w:val="14"/>
                <w:szCs w:val="20"/>
              </w:rPr>
              <w:t>Dissertation</w:t>
            </w:r>
          </w:p>
        </w:tc>
        <w:tc>
          <w:tcPr>
            <w:tcW w:w="810" w:type="dxa"/>
            <w:tcBorders>
              <w:top w:val="dashSmallGap" w:sz="4" w:space="0" w:color="auto"/>
              <w:left w:val="nil"/>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62 MBA graduate students from a U.S. university each completing 8 vignettes totaling 496 vignettes</w:t>
            </w:r>
          </w:p>
        </w:tc>
        <w:tc>
          <w:tcPr>
            <w:tcW w:w="1755"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Enrichment; Constituent Attachment</w:t>
            </w:r>
          </w:p>
        </w:tc>
        <w:tc>
          <w:tcPr>
            <w:tcW w:w="108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Turnover Intent; Affective Commitment</w:t>
            </w:r>
          </w:p>
        </w:tc>
        <w:tc>
          <w:tcPr>
            <w:tcW w:w="4128" w:type="dxa"/>
            <w:tcBorders>
              <w:top w:val="dashSmallGap" w:sz="4" w:space="0" w:color="auto"/>
              <w:left w:val="nil"/>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When a referred worker is rejected for employment, referrers experience an increase in turnover intent. The rejection of a referred worker for employment negatively impacts a referrer’s affective commitment to the organization. Both effects are attenuated by higher procedural justice perceptions of the referrer.</w:t>
            </w:r>
          </w:p>
        </w:tc>
      </w:tr>
      <w:tr w:rsidR="00C05CA6" w:rsidRPr="00581AFF" w:rsidTr="00A90630">
        <w:trPr>
          <w:gridAfter w:val="1"/>
          <w:wAfter w:w="20" w:type="dxa"/>
          <w:cantSplit/>
          <w:trHeight w:val="720"/>
        </w:trPr>
        <w:tc>
          <w:tcPr>
            <w:tcW w:w="622"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1" w:name="_Hlk529470229"/>
            <w:r w:rsidRPr="00581AFF">
              <w:rPr>
                <w:rFonts w:ascii="Times New Roman" w:eastAsia="Times New Roman" w:hAnsi="Times New Roman" w:cs="Times New Roman"/>
                <w:color w:val="000000"/>
                <w:sz w:val="14"/>
                <w:szCs w:val="20"/>
              </w:rPr>
              <w:t>Pieper, Trevor</w:t>
            </w:r>
            <w:r>
              <w:rPr>
                <w:rFonts w:ascii="Times New Roman" w:eastAsia="Times New Roman" w:hAnsi="Times New Roman" w:cs="Times New Roman"/>
                <w:color w:val="000000"/>
                <w:sz w:val="14"/>
                <w:szCs w:val="20"/>
              </w:rPr>
              <w:t>,</w:t>
            </w:r>
            <w:r w:rsidRPr="00581AFF">
              <w:rPr>
                <w:rFonts w:ascii="Times New Roman" w:eastAsia="Times New Roman" w:hAnsi="Times New Roman" w:cs="Times New Roman"/>
                <w:color w:val="000000"/>
                <w:sz w:val="14"/>
                <w:szCs w:val="20"/>
              </w:rPr>
              <w:t xml:space="preserve"> et al., (</w:t>
            </w:r>
            <w:r>
              <w:rPr>
                <w:rFonts w:ascii="Times New Roman" w:eastAsia="Times New Roman" w:hAnsi="Times New Roman" w:cs="Times New Roman"/>
                <w:color w:val="000000"/>
                <w:sz w:val="14"/>
                <w:szCs w:val="20"/>
              </w:rPr>
              <w:t>2017</w:t>
            </w:r>
            <w:r w:rsidRPr="00581AFF">
              <w:rPr>
                <w:rFonts w:ascii="Times New Roman" w:eastAsia="Times New Roman" w:hAnsi="Times New Roman" w:cs="Times New Roman"/>
                <w:color w:val="000000"/>
                <w:sz w:val="14"/>
                <w:szCs w:val="20"/>
              </w:rPr>
              <w:t xml:space="preserve"> </w:t>
            </w:r>
            <w:bookmarkEnd w:id="81"/>
            <w:r w:rsidRPr="00581AFF">
              <w:rPr>
                <w:rFonts w:ascii="Times New Roman" w:eastAsia="Times New Roman" w:hAnsi="Times New Roman" w:cs="Times New Roman"/>
                <w:color w:val="000000"/>
                <w:sz w:val="14"/>
                <w:szCs w:val="20"/>
              </w:rPr>
              <w:t xml:space="preserve">– Study 1 of 2) </w:t>
            </w:r>
            <w:r w:rsidRPr="00581AFF">
              <w:rPr>
                <w:rFonts w:ascii="Times New Roman" w:eastAsia="Times New Roman" w:hAnsi="Times New Roman" w:cs="Times New Roman"/>
                <w:i/>
                <w:color w:val="000000"/>
                <w:sz w:val="14"/>
                <w:szCs w:val="20"/>
              </w:rPr>
              <w:t>Journal of Management</w:t>
            </w:r>
          </w:p>
        </w:tc>
        <w:tc>
          <w:tcPr>
            <w:tcW w:w="810" w:type="dxa"/>
            <w:tcBorders>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265 referrers in a call center</w:t>
            </w:r>
          </w:p>
        </w:tc>
        <w:tc>
          <w:tcPr>
            <w:tcW w:w="1755"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Enrichment</w:t>
            </w:r>
          </w:p>
        </w:tc>
        <w:tc>
          <w:tcPr>
            <w:tcW w:w="108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Performance; Turnover</w:t>
            </w:r>
          </w:p>
        </w:tc>
        <w:tc>
          <w:tcPr>
            <w:tcW w:w="4128" w:type="dxa"/>
            <w:tcBorders>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 xml:space="preserve">Referral hire presence was positively related to referrers’ performance and negatively related to referrers’ turnover propensity. Referrer-referral hire job similarity was negatively related to referrer performance. The turnover of a referral hire put the referrer at greater turnover risk than what was present prior to experiencing the referral hire’s presence. </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Pieper, Trevor</w:t>
            </w:r>
            <w:r>
              <w:rPr>
                <w:rFonts w:ascii="Times New Roman" w:eastAsia="Times New Roman" w:hAnsi="Times New Roman" w:cs="Times New Roman"/>
                <w:color w:val="000000"/>
                <w:sz w:val="14"/>
                <w:szCs w:val="20"/>
              </w:rPr>
              <w:t>,</w:t>
            </w:r>
            <w:r w:rsidRPr="00581AFF">
              <w:rPr>
                <w:rFonts w:ascii="Times New Roman" w:eastAsia="Times New Roman" w:hAnsi="Times New Roman" w:cs="Times New Roman"/>
                <w:color w:val="000000"/>
                <w:sz w:val="14"/>
                <w:szCs w:val="20"/>
              </w:rPr>
              <w:t xml:space="preserve"> et al., (</w:t>
            </w:r>
            <w:r>
              <w:rPr>
                <w:rFonts w:ascii="Times New Roman" w:eastAsia="Times New Roman" w:hAnsi="Times New Roman" w:cs="Times New Roman"/>
                <w:color w:val="000000"/>
                <w:sz w:val="14"/>
                <w:szCs w:val="20"/>
              </w:rPr>
              <w:t>2017</w:t>
            </w:r>
            <w:r w:rsidRPr="00581AFF">
              <w:rPr>
                <w:rFonts w:ascii="Times New Roman" w:eastAsia="Times New Roman" w:hAnsi="Times New Roman" w:cs="Times New Roman"/>
                <w:color w:val="000000"/>
                <w:sz w:val="14"/>
                <w:szCs w:val="20"/>
              </w:rPr>
              <w:t xml:space="preserve"> – Study 2 of 2) </w:t>
            </w:r>
            <w:r w:rsidRPr="00581AFF">
              <w:rPr>
                <w:rFonts w:ascii="Times New Roman" w:eastAsia="Times New Roman" w:hAnsi="Times New Roman" w:cs="Times New Roman"/>
                <w:i/>
                <w:color w:val="000000"/>
                <w:sz w:val="14"/>
                <w:szCs w:val="20"/>
              </w:rPr>
              <w:t>Journal of Management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489 participants (169 students from a Midwestern university and 329 employees recruited online)</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Enrichment</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Enrichment; Precursors to Turnover and Performance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Social enrichment is greater for stronger social ties. Referral hire presence creates an enriched social environment. Social enrichment reduces turnover intentions and increases job engagement.</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 &amp; Context</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2" w:name="_Hlk529470234"/>
            <w:r w:rsidRPr="00581AFF">
              <w:rPr>
                <w:rFonts w:ascii="Times New Roman" w:eastAsia="Times New Roman" w:hAnsi="Times New Roman" w:cs="Times New Roman"/>
                <w:color w:val="000000"/>
                <w:sz w:val="14"/>
                <w:szCs w:val="20"/>
              </w:rPr>
              <w:t>Ullman (1966</w:t>
            </w:r>
            <w:bookmarkEnd w:id="82"/>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Personnel</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80 personnel managers of Chicago organizations in the years 1963 to 1965</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Prescreening Hypothesis</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Recruitment Channel Use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Many expressed that referrals were of high quality except two who mentioned the issue of cliques and quality of the current workforce. Quit rate was relatively similar across groups though referred workers had the lowest attrition rate.</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3 &amp; Context</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3" w:name="_Hlk529470241"/>
            <w:r w:rsidRPr="00581AFF">
              <w:rPr>
                <w:rFonts w:ascii="Times New Roman" w:eastAsia="Times New Roman" w:hAnsi="Times New Roman" w:cs="Times New Roman"/>
                <w:color w:val="000000"/>
                <w:sz w:val="14"/>
                <w:szCs w:val="20"/>
              </w:rPr>
              <w:t>Taber &amp; Correa (2003</w:t>
            </w:r>
            <w:bookmarkEnd w:id="83"/>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color w:val="000000"/>
                <w:sz w:val="14"/>
                <w:szCs w:val="20"/>
              </w:rPr>
              <w:t>Industrial Relations Research Association: Proceedings of the 55</w:t>
            </w:r>
            <w:r w:rsidRPr="00581AFF">
              <w:rPr>
                <w:rFonts w:ascii="Times New Roman" w:eastAsia="Times New Roman" w:hAnsi="Times New Roman" w:cs="Times New Roman"/>
                <w:i/>
                <w:color w:val="000000"/>
                <w:sz w:val="14"/>
                <w:szCs w:val="20"/>
                <w:vertAlign w:val="superscript"/>
              </w:rPr>
              <w:t>th</w:t>
            </w:r>
            <w:r w:rsidRPr="00581AFF">
              <w:rPr>
                <w:rFonts w:ascii="Times New Roman" w:eastAsia="Times New Roman" w:hAnsi="Times New Roman" w:cs="Times New Roman"/>
                <w:i/>
                <w:color w:val="000000"/>
                <w:sz w:val="14"/>
                <w:szCs w:val="20"/>
              </w:rPr>
              <w:t xml:space="preserve"> Annual Meeting</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14,535 employees hired in a U.S. products and services company between 1989 and 1994</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Organizational Demography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Tenure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Referred workers were less likely to turnover than individuals recruited through formal channels, but if the referred worker was not in the race and/or gender majority of their workplace, they were more likely to turnover than non-referred workers who were in the majority.</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Context</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4" w:name="_Hlk529470246"/>
            <w:r w:rsidRPr="00581AFF">
              <w:rPr>
                <w:rFonts w:ascii="Times New Roman" w:eastAsia="Times New Roman" w:hAnsi="Times New Roman" w:cs="Times New Roman"/>
                <w:color w:val="000000"/>
                <w:sz w:val="14"/>
                <w:szCs w:val="20"/>
              </w:rPr>
              <w:t>Marsden (1994</w:t>
            </w:r>
            <w:bookmarkEnd w:id="84"/>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Behavioral Scientist</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469 U.S. employers in the National Organizations Study (NOS)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None</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Method of recruitment</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Newspaper advertisements and employee referrals most used methods of recruiting. Employee referrals and unsolicited inquiries are more often used for locating core employees than for finding managers/administrators. The referrals-only approach to locating employees tends to be found in smaller, less formalized, private-sector establishments. Applicants for high-prestige jobs are more often sought through advertisements and professional referrals than are lower prestige prospects.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Context</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5" w:name="_Hlk529470250"/>
            <w:r w:rsidRPr="00581AFF">
              <w:rPr>
                <w:rFonts w:ascii="Times New Roman" w:eastAsia="Times New Roman" w:hAnsi="Times New Roman" w:cs="Times New Roman"/>
                <w:color w:val="000000"/>
                <w:sz w:val="14"/>
                <w:szCs w:val="20"/>
              </w:rPr>
              <w:t>Mencken &amp; Winfield (1998</w:t>
            </w:r>
            <w:bookmarkEnd w:id="85"/>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American Journal of Economics and Sociology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U.S.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1,927 interviews with managers from the 1981 Metropolitan Employee-Worker Survey (MEWS) covering 2,333 employees</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Fit Theory; Expectations Theory</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Method of recruitment</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Hiring managers identified quality of applicants as the primary advantage of informal recruiting techniques. Hiring managers did not cite cost as a strong motivation for formal recruiting; Informal applications suffer from a small pool. Hiring managers in smaller and private firms were more likely to claim that informal recruiting generates better quality applicants.</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Context</w:t>
            </w:r>
          </w:p>
        </w:tc>
        <w:tc>
          <w:tcPr>
            <w:tcW w:w="1440" w:type="dxa"/>
            <w:tcBorders>
              <w:top w:val="dashSmallGap" w:sz="4" w:space="0" w:color="auto"/>
              <w:left w:val="nil"/>
              <w:bottom w:val="dashSmallGap" w:sz="4" w:space="0" w:color="auto"/>
              <w:right w:val="nil"/>
            </w:tcBorders>
            <w:shd w:val="clear" w:color="auto" w:fill="auto"/>
          </w:tcPr>
          <w:p w:rsidR="00C05CA6" w:rsidRPr="00581AFF" w:rsidRDefault="00C05CA6" w:rsidP="001A4706">
            <w:pPr>
              <w:spacing w:after="0" w:line="240" w:lineRule="auto"/>
              <w:rPr>
                <w:rFonts w:ascii="Times New Roman" w:eastAsia="Times New Roman" w:hAnsi="Times New Roman" w:cs="Times New Roman"/>
                <w:color w:val="000000"/>
                <w:sz w:val="14"/>
                <w:szCs w:val="20"/>
              </w:rPr>
            </w:pPr>
            <w:bookmarkStart w:id="86" w:name="_Hlk529470259"/>
            <w:r w:rsidRPr="00581AFF">
              <w:rPr>
                <w:rFonts w:ascii="Times New Roman" w:eastAsia="Times New Roman" w:hAnsi="Times New Roman" w:cs="Times New Roman"/>
                <w:color w:val="000000"/>
                <w:sz w:val="14"/>
                <w:szCs w:val="20"/>
              </w:rPr>
              <w:t>Russo</w:t>
            </w:r>
            <w:r w:rsidR="001A4706">
              <w:rPr>
                <w:rFonts w:ascii="Times New Roman" w:eastAsia="Times New Roman" w:hAnsi="Times New Roman" w:cs="Times New Roman"/>
                <w:color w:val="000000"/>
                <w:sz w:val="14"/>
                <w:szCs w:val="20"/>
              </w:rPr>
              <w:t>, Rietveld, Nijkam</w:t>
            </w:r>
            <w:bookmarkStart w:id="87" w:name="_GoBack"/>
            <w:bookmarkEnd w:id="87"/>
            <w:r w:rsidR="001A4706">
              <w:rPr>
                <w:rFonts w:ascii="Times New Roman" w:eastAsia="Times New Roman" w:hAnsi="Times New Roman" w:cs="Times New Roman"/>
                <w:color w:val="000000"/>
                <w:sz w:val="14"/>
                <w:szCs w:val="20"/>
              </w:rPr>
              <w:t>p, &amp; Gorter</w:t>
            </w:r>
            <w:r w:rsidRPr="00581AFF">
              <w:rPr>
                <w:rFonts w:ascii="Times New Roman" w:eastAsia="Times New Roman" w:hAnsi="Times New Roman" w:cs="Times New Roman"/>
                <w:color w:val="000000"/>
                <w:sz w:val="14"/>
                <w:szCs w:val="20"/>
              </w:rPr>
              <w:t xml:space="preserve"> (2000</w:t>
            </w:r>
            <w:bookmarkEnd w:id="86"/>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Empirical Economics</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Netherlands</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19,806 Dutch firms with 47,404 filled vacancies for the years 1991-1994</w:t>
            </w:r>
          </w:p>
        </w:tc>
        <w:tc>
          <w:tcPr>
            <w:tcW w:w="1755"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Individual Differences Theory; Better Match Theory</w:t>
            </w:r>
          </w:p>
        </w:tc>
        <w:tc>
          <w:tcPr>
            <w:tcW w:w="108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w:t>
            </w:r>
          </w:p>
        </w:tc>
        <w:tc>
          <w:tcPr>
            <w:tcW w:w="1350"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Recruitment Channel Use</w:t>
            </w:r>
          </w:p>
        </w:tc>
        <w:tc>
          <w:tcPr>
            <w:tcW w:w="4128" w:type="dxa"/>
            <w:tcBorders>
              <w:top w:val="dashSmallGap" w:sz="4" w:space="0" w:color="auto"/>
              <w:left w:val="nil"/>
              <w:bottom w:val="dashSmallGap" w:sz="4" w:space="0" w:color="auto"/>
              <w:right w:val="nil"/>
            </w:tcBorders>
            <w:shd w:val="clear" w:color="auto" w:fill="auto"/>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Economic conditions in the labor market influence employer search activity at the extensive margin. Use of more recruitment channels is associated with more applicants and a longer vacancy duration.</w:t>
            </w:r>
          </w:p>
        </w:tc>
      </w:tr>
      <w:tr w:rsidR="00C05CA6" w:rsidRPr="00581AFF" w:rsidTr="00A90630">
        <w:trPr>
          <w:gridAfter w:val="1"/>
          <w:wAfter w:w="20" w:type="dxa"/>
          <w:cantSplit/>
          <w:trHeight w:val="720"/>
        </w:trPr>
        <w:tc>
          <w:tcPr>
            <w:tcW w:w="622"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Context</w:t>
            </w:r>
          </w:p>
        </w:tc>
        <w:tc>
          <w:tcPr>
            <w:tcW w:w="144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bookmarkStart w:id="88" w:name="_Hlk529470264"/>
            <w:r w:rsidRPr="00581AFF">
              <w:rPr>
                <w:rFonts w:ascii="Times New Roman" w:eastAsia="Times New Roman" w:hAnsi="Times New Roman" w:cs="Times New Roman"/>
                <w:color w:val="000000"/>
                <w:sz w:val="14"/>
                <w:szCs w:val="20"/>
              </w:rPr>
              <w:t>Rafaeli et al., (2005</w:t>
            </w:r>
            <w:bookmarkEnd w:id="88"/>
            <w:r w:rsidRPr="00581AFF">
              <w:rPr>
                <w:rFonts w:ascii="Times New Roman" w:eastAsia="Times New Roman" w:hAnsi="Times New Roman" w:cs="Times New Roman"/>
                <w:color w:val="000000"/>
                <w:sz w:val="14"/>
                <w:szCs w:val="20"/>
              </w:rPr>
              <w:t xml:space="preserve">), </w:t>
            </w:r>
            <w:r w:rsidRPr="00581AFF">
              <w:rPr>
                <w:rFonts w:ascii="Times New Roman" w:eastAsia="Times New Roman" w:hAnsi="Times New Roman" w:cs="Times New Roman"/>
                <w:i/>
                <w:iCs/>
                <w:color w:val="000000"/>
                <w:sz w:val="14"/>
                <w:szCs w:val="20"/>
              </w:rPr>
              <w:t>European Journal of Work and Organizational Psychology</w:t>
            </w:r>
          </w:p>
        </w:tc>
        <w:tc>
          <w:tcPr>
            <w:tcW w:w="810" w:type="dxa"/>
            <w:tcBorders>
              <w:top w:val="dashSmallGap" w:sz="4" w:space="0" w:color="auto"/>
              <w:left w:val="nil"/>
              <w:bottom w:val="dashSmallGap" w:sz="4" w:space="0" w:color="auto"/>
              <w:right w:val="nil"/>
            </w:tcBorders>
          </w:tcPr>
          <w:p w:rsidR="00C05CA6" w:rsidRPr="00581AFF" w:rsidRDefault="00C05CA6" w:rsidP="00A90630">
            <w:pPr>
              <w:spacing w:after="0" w:line="240" w:lineRule="auto"/>
              <w:jc w:val="center"/>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Israel</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1,545 applicants at an international high-tech organization located in Israel</w:t>
            </w:r>
          </w:p>
        </w:tc>
        <w:tc>
          <w:tcPr>
            <w:tcW w:w="1755"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Fit Theory</w:t>
            </w:r>
          </w:p>
        </w:tc>
        <w:tc>
          <w:tcPr>
            <w:tcW w:w="108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Organization</w:t>
            </w:r>
          </w:p>
        </w:tc>
        <w:tc>
          <w:tcPr>
            <w:tcW w:w="1350"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Yield Ratio; Cost per new hire</w:t>
            </w:r>
          </w:p>
        </w:tc>
        <w:tc>
          <w:tcPr>
            <w:tcW w:w="4128" w:type="dxa"/>
            <w:tcBorders>
              <w:top w:val="dashSmallGap" w:sz="4" w:space="0" w:color="auto"/>
              <w:left w:val="nil"/>
              <w:bottom w:val="dashSmallGap" w:sz="4" w:space="0" w:color="auto"/>
              <w:right w:val="nil"/>
            </w:tcBorders>
            <w:shd w:val="clear" w:color="auto" w:fill="auto"/>
            <w:hideMark/>
          </w:tcPr>
          <w:p w:rsidR="00C05CA6" w:rsidRPr="00581AFF" w:rsidRDefault="00C05CA6" w:rsidP="00A90630">
            <w:pPr>
              <w:spacing w:after="0" w:line="240" w:lineRule="auto"/>
              <w:rPr>
                <w:rFonts w:ascii="Times New Roman" w:eastAsia="Times New Roman" w:hAnsi="Times New Roman" w:cs="Times New Roman"/>
                <w:color w:val="000000"/>
                <w:sz w:val="14"/>
                <w:szCs w:val="20"/>
              </w:rPr>
            </w:pPr>
            <w:r w:rsidRPr="00581AFF">
              <w:rPr>
                <w:rFonts w:ascii="Times New Roman" w:eastAsia="Times New Roman" w:hAnsi="Times New Roman" w:cs="Times New Roman"/>
                <w:color w:val="000000"/>
                <w:sz w:val="14"/>
                <w:szCs w:val="20"/>
              </w:rPr>
              <w:t>Recruiting through employee referrals was less costly than recruiting through employment advertising. Employee referrals produce a better yield ratio than employment advertising.</w:t>
            </w:r>
          </w:p>
        </w:tc>
      </w:tr>
      <w:tr w:rsidR="00C05CA6" w:rsidRPr="00581AFF" w:rsidTr="00A90630">
        <w:trPr>
          <w:gridAfter w:val="1"/>
          <w:wAfter w:w="20" w:type="dxa"/>
          <w:cantSplit/>
          <w:trHeight w:val="507"/>
        </w:trPr>
        <w:tc>
          <w:tcPr>
            <w:tcW w:w="12940" w:type="dxa"/>
            <w:gridSpan w:val="8"/>
            <w:tcBorders>
              <w:top w:val="dashSmallGap" w:sz="4" w:space="0" w:color="auto"/>
              <w:left w:val="nil"/>
              <w:right w:val="nil"/>
            </w:tcBorders>
          </w:tcPr>
          <w:p w:rsidR="00C05CA6" w:rsidRPr="001C7D94" w:rsidRDefault="00C05CA6" w:rsidP="00A9063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i/>
                <w:sz w:val="20"/>
                <w:szCs w:val="20"/>
              </w:rPr>
              <w:lastRenderedPageBreak/>
              <w:t xml:space="preserve">Note. </w:t>
            </w:r>
            <w:r w:rsidRPr="001C7D94">
              <w:rPr>
                <w:rFonts w:ascii="Times New Roman" w:hAnsi="Times New Roman" w:cs="Times New Roman"/>
                <w:sz w:val="20"/>
                <w:szCs w:val="20"/>
              </w:rPr>
              <w:t xml:space="preserve">Phase </w:t>
            </w:r>
            <w:r>
              <w:rPr>
                <w:rFonts w:ascii="Times New Roman" w:hAnsi="Times New Roman" w:cs="Times New Roman"/>
                <w:sz w:val="20"/>
                <w:szCs w:val="20"/>
              </w:rPr>
              <w:t>1</w:t>
            </w:r>
            <w:r w:rsidRPr="001C7D94">
              <w:rPr>
                <w:rFonts w:ascii="Times New Roman" w:hAnsi="Times New Roman" w:cs="Times New Roman"/>
                <w:sz w:val="20"/>
                <w:szCs w:val="20"/>
              </w:rPr>
              <w:t xml:space="preserve"> refers to pre-hire motivation and action. Phase 2 refers to application and </w:t>
            </w:r>
            <w:r>
              <w:rPr>
                <w:rFonts w:ascii="Times New Roman" w:hAnsi="Times New Roman" w:cs="Times New Roman"/>
                <w:sz w:val="20"/>
                <w:szCs w:val="20"/>
              </w:rPr>
              <w:t>hiring</w:t>
            </w:r>
            <w:r w:rsidRPr="001C7D94">
              <w:rPr>
                <w:rFonts w:ascii="Times New Roman" w:hAnsi="Times New Roman" w:cs="Times New Roman"/>
                <w:sz w:val="20"/>
                <w:szCs w:val="20"/>
              </w:rPr>
              <w:t>. Phase 3 refers to post-hire outcomes. Papers could be categorized into multiple phases.</w:t>
            </w:r>
          </w:p>
        </w:tc>
      </w:tr>
    </w:tbl>
    <w:p w:rsidR="00F56353" w:rsidRDefault="00F56353" w:rsidP="00C05CA6"/>
    <w:sectPr w:rsidR="00F56353" w:rsidSect="000E36B2">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BF" w:rsidRDefault="00CE7ABF" w:rsidP="00C05CA6">
      <w:pPr>
        <w:spacing w:after="0" w:line="240" w:lineRule="auto"/>
      </w:pPr>
      <w:r>
        <w:separator/>
      </w:r>
    </w:p>
  </w:endnote>
  <w:endnote w:type="continuationSeparator" w:id="0">
    <w:p w:rsidR="00CE7ABF" w:rsidRDefault="00CE7ABF" w:rsidP="00C0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BF" w:rsidRDefault="00CE7ABF" w:rsidP="00C05CA6">
      <w:pPr>
        <w:spacing w:after="0" w:line="240" w:lineRule="auto"/>
      </w:pPr>
      <w:r>
        <w:separator/>
      </w:r>
    </w:p>
  </w:footnote>
  <w:footnote w:type="continuationSeparator" w:id="0">
    <w:p w:rsidR="00CE7ABF" w:rsidRDefault="00CE7ABF" w:rsidP="00C0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160192"/>
      <w:docPartObj>
        <w:docPartGallery w:val="Page Numbers (Top of Page)"/>
        <w:docPartUnique/>
      </w:docPartObj>
    </w:sdtPr>
    <w:sdtEndPr>
      <w:rPr>
        <w:rFonts w:ascii="Times New Roman" w:hAnsi="Times New Roman" w:cs="Times New Roman"/>
        <w:noProof/>
        <w:sz w:val="24"/>
        <w:szCs w:val="24"/>
      </w:rPr>
    </w:sdtEndPr>
    <w:sdtContent>
      <w:p w:rsidR="00826803" w:rsidRPr="007D5A5E" w:rsidRDefault="00117081" w:rsidP="00017016">
        <w:pPr>
          <w:pStyle w:val="Header"/>
          <w:rPr>
            <w:rFonts w:ascii="Times New Roman" w:hAnsi="Times New Roman" w:cs="Times New Roman"/>
            <w:sz w:val="24"/>
            <w:szCs w:val="24"/>
          </w:rPr>
        </w:pPr>
        <w:r w:rsidRPr="007D5A5E">
          <w:rPr>
            <w:rFonts w:ascii="Times New Roman" w:hAnsi="Times New Roman" w:cs="Times New Roman"/>
            <w:sz w:val="24"/>
            <w:szCs w:val="24"/>
          </w:rPr>
          <w:t>EMPLOYEE REFERRAL HIRING</w:t>
        </w:r>
        <w:r w:rsidR="00C05CA6">
          <w:rPr>
            <w:rFonts w:ascii="Times New Roman" w:hAnsi="Times New Roman" w:cs="Times New Roman"/>
            <w:sz w:val="24"/>
            <w:szCs w:val="24"/>
          </w:rPr>
          <w:tab/>
        </w:r>
        <w:r w:rsidR="00C05CA6">
          <w:rPr>
            <w:rFonts w:ascii="Times New Roman" w:hAnsi="Times New Roman" w:cs="Times New Roman"/>
            <w:sz w:val="24"/>
            <w:szCs w:val="24"/>
          </w:rPr>
          <w:tab/>
          <w:t xml:space="preserve">                                                                                       Online Supplemental File      </w:t>
        </w:r>
        <w:r w:rsidRPr="007D5A5E">
          <w:rPr>
            <w:rFonts w:ascii="Times New Roman" w:hAnsi="Times New Roman" w:cs="Times New Roman"/>
            <w:sz w:val="24"/>
            <w:szCs w:val="24"/>
          </w:rPr>
          <w:fldChar w:fldCharType="begin"/>
        </w:r>
        <w:r w:rsidRPr="007D5A5E">
          <w:rPr>
            <w:rFonts w:ascii="Times New Roman" w:hAnsi="Times New Roman" w:cs="Times New Roman"/>
            <w:sz w:val="24"/>
            <w:szCs w:val="24"/>
          </w:rPr>
          <w:instrText xml:space="preserve"> PAGE   \* MERGEFORMAT </w:instrText>
        </w:r>
        <w:r w:rsidRPr="007D5A5E">
          <w:rPr>
            <w:rFonts w:ascii="Times New Roman" w:hAnsi="Times New Roman" w:cs="Times New Roman"/>
            <w:sz w:val="24"/>
            <w:szCs w:val="24"/>
          </w:rPr>
          <w:fldChar w:fldCharType="separate"/>
        </w:r>
        <w:r w:rsidR="001A4706">
          <w:rPr>
            <w:rFonts w:ascii="Times New Roman" w:hAnsi="Times New Roman" w:cs="Times New Roman"/>
            <w:noProof/>
            <w:sz w:val="24"/>
            <w:szCs w:val="24"/>
          </w:rPr>
          <w:t>14</w:t>
        </w:r>
        <w:r w:rsidRPr="007D5A5E">
          <w:rPr>
            <w:rFonts w:ascii="Times New Roman" w:hAnsi="Times New Roman" w:cs="Times New Roman"/>
            <w:noProof/>
            <w:sz w:val="24"/>
            <w:szCs w:val="24"/>
          </w:rPr>
          <w:fldChar w:fldCharType="end"/>
        </w:r>
      </w:p>
    </w:sdtContent>
  </w:sdt>
  <w:p w:rsidR="00826803" w:rsidRDefault="00CE7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9DF"/>
    <w:multiLevelType w:val="hybridMultilevel"/>
    <w:tmpl w:val="FB7E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10AE"/>
    <w:multiLevelType w:val="hybridMultilevel"/>
    <w:tmpl w:val="E39C6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24F2"/>
    <w:multiLevelType w:val="hybridMultilevel"/>
    <w:tmpl w:val="D7F0B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447"/>
    <w:multiLevelType w:val="hybridMultilevel"/>
    <w:tmpl w:val="8544EC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194C37"/>
    <w:multiLevelType w:val="hybridMultilevel"/>
    <w:tmpl w:val="2728B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17C69"/>
    <w:multiLevelType w:val="hybridMultilevel"/>
    <w:tmpl w:val="402E73C0"/>
    <w:lvl w:ilvl="0" w:tplc="4DA058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F5DE3"/>
    <w:multiLevelType w:val="hybridMultilevel"/>
    <w:tmpl w:val="28C0A4BE"/>
    <w:lvl w:ilvl="0" w:tplc="78B6565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F666B"/>
    <w:multiLevelType w:val="hybridMultilevel"/>
    <w:tmpl w:val="6B168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93D51"/>
    <w:multiLevelType w:val="hybridMultilevel"/>
    <w:tmpl w:val="F830EDAC"/>
    <w:lvl w:ilvl="0" w:tplc="116A7F3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7E781E"/>
    <w:multiLevelType w:val="hybridMultilevel"/>
    <w:tmpl w:val="EC2CF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D4637"/>
    <w:multiLevelType w:val="hybridMultilevel"/>
    <w:tmpl w:val="FBA69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660F7"/>
    <w:multiLevelType w:val="hybridMultilevel"/>
    <w:tmpl w:val="CDB67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35377"/>
    <w:multiLevelType w:val="hybridMultilevel"/>
    <w:tmpl w:val="A6A46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17393D"/>
    <w:multiLevelType w:val="hybridMultilevel"/>
    <w:tmpl w:val="08B4520A"/>
    <w:lvl w:ilvl="0" w:tplc="4178F77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C5A03"/>
    <w:multiLevelType w:val="hybridMultilevel"/>
    <w:tmpl w:val="50902E06"/>
    <w:lvl w:ilvl="0" w:tplc="209C825A">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F3BE0"/>
    <w:multiLevelType w:val="hybridMultilevel"/>
    <w:tmpl w:val="46549574"/>
    <w:lvl w:ilvl="0" w:tplc="D56295BE">
      <w:start w:val="1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A32B5"/>
    <w:multiLevelType w:val="hybridMultilevel"/>
    <w:tmpl w:val="DC7E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E623B"/>
    <w:multiLevelType w:val="hybridMultilevel"/>
    <w:tmpl w:val="D6E81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17"/>
  </w:num>
  <w:num w:numId="5">
    <w:abstractNumId w:val="11"/>
  </w:num>
  <w:num w:numId="6">
    <w:abstractNumId w:val="16"/>
  </w:num>
  <w:num w:numId="7">
    <w:abstractNumId w:val="10"/>
  </w:num>
  <w:num w:numId="8">
    <w:abstractNumId w:val="2"/>
  </w:num>
  <w:num w:numId="9">
    <w:abstractNumId w:val="4"/>
  </w:num>
  <w:num w:numId="10">
    <w:abstractNumId w:val="12"/>
  </w:num>
  <w:num w:numId="11">
    <w:abstractNumId w:val="0"/>
  </w:num>
  <w:num w:numId="12">
    <w:abstractNumId w:val="13"/>
  </w:num>
  <w:num w:numId="13">
    <w:abstractNumId w:val="1"/>
  </w:num>
  <w:num w:numId="14">
    <w:abstractNumId w:val="9"/>
  </w:num>
  <w:num w:numId="15">
    <w:abstractNumId w:val="7"/>
  </w:num>
  <w:num w:numId="16">
    <w:abstractNumId w:val="6"/>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A6"/>
    <w:rsid w:val="00117081"/>
    <w:rsid w:val="001A4706"/>
    <w:rsid w:val="00C05CA6"/>
    <w:rsid w:val="00CE7ABF"/>
    <w:rsid w:val="00F5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408A"/>
  <w15:chartTrackingRefBased/>
  <w15:docId w15:val="{40717E6B-8D77-4060-AED3-4B625227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5CA6"/>
    <w:rPr>
      <w:sz w:val="16"/>
      <w:szCs w:val="16"/>
    </w:rPr>
  </w:style>
  <w:style w:type="paragraph" w:styleId="CommentText">
    <w:name w:val="annotation text"/>
    <w:basedOn w:val="Normal"/>
    <w:link w:val="CommentTextChar"/>
    <w:uiPriority w:val="99"/>
    <w:unhideWhenUsed/>
    <w:rsid w:val="00C05CA6"/>
    <w:pPr>
      <w:spacing w:line="240" w:lineRule="auto"/>
    </w:pPr>
    <w:rPr>
      <w:sz w:val="20"/>
      <w:szCs w:val="20"/>
    </w:rPr>
  </w:style>
  <w:style w:type="character" w:customStyle="1" w:styleId="CommentTextChar">
    <w:name w:val="Comment Text Char"/>
    <w:basedOn w:val="DefaultParagraphFont"/>
    <w:link w:val="CommentText"/>
    <w:uiPriority w:val="99"/>
    <w:rsid w:val="00C05CA6"/>
    <w:rPr>
      <w:sz w:val="20"/>
      <w:szCs w:val="20"/>
    </w:rPr>
  </w:style>
  <w:style w:type="paragraph" w:styleId="CommentSubject">
    <w:name w:val="annotation subject"/>
    <w:basedOn w:val="CommentText"/>
    <w:next w:val="CommentText"/>
    <w:link w:val="CommentSubjectChar"/>
    <w:uiPriority w:val="99"/>
    <w:semiHidden/>
    <w:unhideWhenUsed/>
    <w:rsid w:val="00C05CA6"/>
    <w:rPr>
      <w:b/>
      <w:bCs/>
    </w:rPr>
  </w:style>
  <w:style w:type="character" w:customStyle="1" w:styleId="CommentSubjectChar">
    <w:name w:val="Comment Subject Char"/>
    <w:basedOn w:val="CommentTextChar"/>
    <w:link w:val="CommentSubject"/>
    <w:uiPriority w:val="99"/>
    <w:semiHidden/>
    <w:rsid w:val="00C05CA6"/>
    <w:rPr>
      <w:b/>
      <w:bCs/>
      <w:sz w:val="20"/>
      <w:szCs w:val="20"/>
    </w:rPr>
  </w:style>
  <w:style w:type="paragraph" w:styleId="BalloonText">
    <w:name w:val="Balloon Text"/>
    <w:basedOn w:val="Normal"/>
    <w:link w:val="BalloonTextChar"/>
    <w:uiPriority w:val="99"/>
    <w:semiHidden/>
    <w:unhideWhenUsed/>
    <w:rsid w:val="00C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CA6"/>
    <w:rPr>
      <w:rFonts w:ascii="Tahoma" w:hAnsi="Tahoma" w:cs="Tahoma"/>
      <w:sz w:val="16"/>
      <w:szCs w:val="16"/>
    </w:rPr>
  </w:style>
  <w:style w:type="paragraph" w:styleId="Revision">
    <w:name w:val="Revision"/>
    <w:hidden/>
    <w:uiPriority w:val="99"/>
    <w:semiHidden/>
    <w:rsid w:val="00C05CA6"/>
    <w:pPr>
      <w:spacing w:after="0" w:line="240" w:lineRule="auto"/>
    </w:pPr>
  </w:style>
  <w:style w:type="paragraph" w:styleId="Header">
    <w:name w:val="header"/>
    <w:basedOn w:val="Normal"/>
    <w:link w:val="HeaderChar"/>
    <w:uiPriority w:val="99"/>
    <w:unhideWhenUsed/>
    <w:rsid w:val="00C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A6"/>
  </w:style>
  <w:style w:type="paragraph" w:styleId="Footer">
    <w:name w:val="footer"/>
    <w:basedOn w:val="Normal"/>
    <w:link w:val="FooterChar"/>
    <w:uiPriority w:val="99"/>
    <w:unhideWhenUsed/>
    <w:rsid w:val="00C05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A6"/>
  </w:style>
  <w:style w:type="paragraph" w:styleId="ListParagraph">
    <w:name w:val="List Paragraph"/>
    <w:basedOn w:val="Normal"/>
    <w:uiPriority w:val="34"/>
    <w:qFormat/>
    <w:rsid w:val="00C05CA6"/>
    <w:pPr>
      <w:ind w:left="720"/>
      <w:contextualSpacing/>
    </w:pPr>
  </w:style>
  <w:style w:type="paragraph" w:customStyle="1" w:styleId="EndNoteBibliography">
    <w:name w:val="EndNote Bibliography"/>
    <w:basedOn w:val="Normal"/>
    <w:link w:val="EndNoteBibliographyChar"/>
    <w:rsid w:val="00C05CA6"/>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C05CA6"/>
    <w:rPr>
      <w:rFonts w:ascii="Times New Roman" w:eastAsia="Times New Roman" w:hAnsi="Times New Roman" w:cs="Times New Roman"/>
      <w:noProof/>
      <w:sz w:val="24"/>
      <w:szCs w:val="24"/>
    </w:rPr>
  </w:style>
  <w:style w:type="character" w:customStyle="1" w:styleId="apple-converted-space">
    <w:name w:val="apple-converted-space"/>
    <w:basedOn w:val="DefaultParagraphFont"/>
    <w:rsid w:val="00C05CA6"/>
  </w:style>
  <w:style w:type="paragraph" w:styleId="FootnoteText">
    <w:name w:val="footnote text"/>
    <w:basedOn w:val="Normal"/>
    <w:link w:val="FootnoteTextChar"/>
    <w:uiPriority w:val="99"/>
    <w:semiHidden/>
    <w:unhideWhenUsed/>
    <w:rsid w:val="00C05C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CA6"/>
    <w:rPr>
      <w:sz w:val="20"/>
      <w:szCs w:val="20"/>
    </w:rPr>
  </w:style>
  <w:style w:type="character" w:styleId="FootnoteReference">
    <w:name w:val="footnote reference"/>
    <w:basedOn w:val="DefaultParagraphFont"/>
    <w:uiPriority w:val="99"/>
    <w:semiHidden/>
    <w:unhideWhenUsed/>
    <w:rsid w:val="00C05CA6"/>
    <w:rPr>
      <w:vertAlign w:val="superscript"/>
    </w:rPr>
  </w:style>
  <w:style w:type="paragraph" w:styleId="Subtitle">
    <w:name w:val="Subtitle"/>
    <w:basedOn w:val="Normal"/>
    <w:next w:val="Normal"/>
    <w:link w:val="SubtitleChar"/>
    <w:uiPriority w:val="11"/>
    <w:qFormat/>
    <w:rsid w:val="00C05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5CA6"/>
    <w:rPr>
      <w:rFonts w:eastAsiaTheme="minorEastAsia"/>
      <w:color w:val="5A5A5A" w:themeColor="text1" w:themeTint="A5"/>
      <w:spacing w:val="15"/>
    </w:rPr>
  </w:style>
  <w:style w:type="character" w:styleId="Hyperlink">
    <w:name w:val="Hyperlink"/>
    <w:basedOn w:val="DefaultParagraphFont"/>
    <w:unhideWhenUsed/>
    <w:rsid w:val="00C05CA6"/>
    <w:rPr>
      <w:color w:val="0563C1" w:themeColor="hyperlink"/>
      <w:u w:val="single"/>
    </w:rPr>
  </w:style>
  <w:style w:type="character" w:customStyle="1" w:styleId="nlmstring-name">
    <w:name w:val="nlm_string-name"/>
    <w:basedOn w:val="DefaultParagraphFont"/>
    <w:rsid w:val="00C05CA6"/>
  </w:style>
  <w:style w:type="character" w:customStyle="1" w:styleId="highlight">
    <w:name w:val="highlight"/>
    <w:basedOn w:val="DefaultParagraphFont"/>
    <w:rsid w:val="00C05CA6"/>
  </w:style>
  <w:style w:type="paragraph" w:styleId="NormalWeb">
    <w:name w:val="Normal (Web)"/>
    <w:basedOn w:val="Normal"/>
    <w:uiPriority w:val="99"/>
    <w:semiHidden/>
    <w:unhideWhenUsed/>
    <w:rsid w:val="00C05CA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C05CA6"/>
    <w:rPr>
      <w:color w:val="808080"/>
      <w:shd w:val="clear" w:color="auto" w:fill="E6E6E6"/>
    </w:rPr>
  </w:style>
  <w:style w:type="table" w:styleId="TableGrid">
    <w:name w:val="Table Grid"/>
    <w:basedOn w:val="TableNormal"/>
    <w:uiPriority w:val="39"/>
    <w:rsid w:val="00C0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05CA6"/>
    <w:rPr>
      <w:color w:val="808080"/>
      <w:shd w:val="clear" w:color="auto" w:fill="E6E6E6"/>
    </w:rPr>
  </w:style>
  <w:style w:type="paragraph" w:styleId="EndnoteText">
    <w:name w:val="endnote text"/>
    <w:basedOn w:val="Normal"/>
    <w:link w:val="EndnoteTextChar"/>
    <w:uiPriority w:val="99"/>
    <w:semiHidden/>
    <w:unhideWhenUsed/>
    <w:rsid w:val="00C05C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5CA6"/>
    <w:rPr>
      <w:sz w:val="20"/>
      <w:szCs w:val="20"/>
    </w:rPr>
  </w:style>
  <w:style w:type="character" w:styleId="EndnoteReference">
    <w:name w:val="endnote reference"/>
    <w:basedOn w:val="DefaultParagraphFont"/>
    <w:uiPriority w:val="99"/>
    <w:semiHidden/>
    <w:unhideWhenUsed/>
    <w:rsid w:val="00C05CA6"/>
    <w:rPr>
      <w:vertAlign w:val="superscript"/>
    </w:rPr>
  </w:style>
  <w:style w:type="paragraph" w:styleId="HTMLPreformatted">
    <w:name w:val="HTML Preformatted"/>
    <w:basedOn w:val="Normal"/>
    <w:link w:val="HTMLPreformattedChar"/>
    <w:uiPriority w:val="99"/>
    <w:semiHidden/>
    <w:unhideWhenUsed/>
    <w:rsid w:val="00C05C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5CA6"/>
    <w:rPr>
      <w:rFonts w:ascii="Consolas" w:hAnsi="Consolas"/>
      <w:sz w:val="20"/>
      <w:szCs w:val="20"/>
    </w:rPr>
  </w:style>
  <w:style w:type="character" w:styleId="FollowedHyperlink">
    <w:name w:val="FollowedHyperlink"/>
    <w:basedOn w:val="DefaultParagraphFont"/>
    <w:uiPriority w:val="99"/>
    <w:semiHidden/>
    <w:unhideWhenUsed/>
    <w:rsid w:val="00C05C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8912</Words>
  <Characters>50804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59597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Pieper</dc:creator>
  <cp:keywords/>
  <dc:description/>
  <cp:lastModifiedBy>Steven D Schlachter </cp:lastModifiedBy>
  <cp:revision>2</cp:revision>
  <dcterms:created xsi:type="dcterms:W3CDTF">2019-04-17T14:36:00Z</dcterms:created>
  <dcterms:modified xsi:type="dcterms:W3CDTF">2019-04-17T14:36:00Z</dcterms:modified>
</cp:coreProperties>
</file>