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CF349" w14:textId="77777777" w:rsidR="00D90722" w:rsidRDefault="00D90722"/>
    <w:p w14:paraId="403E3C4B" w14:textId="77777777" w:rsidR="00D90722" w:rsidRDefault="00D90722"/>
    <w:p w14:paraId="2E9BE988" w14:textId="77777777" w:rsidR="00D90722" w:rsidRDefault="00D90722"/>
    <w:p w14:paraId="2E5AC98B" w14:textId="77777777" w:rsidR="00D90722" w:rsidRDefault="00D90722"/>
    <w:p w14:paraId="6BF2A9BE" w14:textId="77777777" w:rsidR="00D90722" w:rsidRDefault="00D90722"/>
    <w:p w14:paraId="5766CC77" w14:textId="77777777" w:rsidR="00D90722" w:rsidRDefault="00D90722">
      <w:pPr>
        <w:jc w:val="center"/>
      </w:pPr>
    </w:p>
    <w:p w14:paraId="1DBEE78B" w14:textId="77777777" w:rsidR="00D90722" w:rsidRDefault="00D90722"/>
    <w:p w14:paraId="3FC59211" w14:textId="77777777" w:rsidR="00D90722" w:rsidRDefault="00D90722">
      <w:pPr>
        <w:pStyle w:val="Title"/>
      </w:pPr>
      <w:bookmarkStart w:id="0" w:name="_3z9w8bfuhgbm" w:colFirst="0" w:colLast="0"/>
      <w:bookmarkEnd w:id="0"/>
    </w:p>
    <w:p w14:paraId="19817676" w14:textId="77777777" w:rsidR="00D90722" w:rsidRDefault="00D90722">
      <w:pPr>
        <w:pStyle w:val="Title"/>
      </w:pPr>
      <w:bookmarkStart w:id="1" w:name="_wzv94l5efkun" w:colFirst="0" w:colLast="0"/>
      <w:bookmarkEnd w:id="1"/>
    </w:p>
    <w:p w14:paraId="16AA5001" w14:textId="77777777" w:rsidR="00D90722" w:rsidRDefault="00D90722">
      <w:pPr>
        <w:pStyle w:val="Title"/>
      </w:pPr>
      <w:bookmarkStart w:id="2" w:name="_btuchb6y8sbn" w:colFirst="0" w:colLast="0"/>
      <w:bookmarkEnd w:id="2"/>
    </w:p>
    <w:p w14:paraId="1ECC069D" w14:textId="77777777" w:rsidR="00D90722" w:rsidRDefault="00000000">
      <w:pPr>
        <w:pStyle w:val="Title"/>
      </w:pPr>
      <w:bookmarkStart w:id="3" w:name="_k545mof77c74" w:colFirst="0" w:colLast="0"/>
      <w:bookmarkEnd w:id="3"/>
      <w:r>
        <w:t>SUPPLEMENTARY ONLINE MATERIALS FOR</w:t>
      </w:r>
    </w:p>
    <w:p w14:paraId="14267D1F" w14:textId="77777777" w:rsidR="00D90722" w:rsidRDefault="00000000">
      <w:pPr>
        <w:pStyle w:val="Title"/>
      </w:pPr>
      <w:bookmarkStart w:id="4" w:name="_jgqtqn9t342s" w:colFirst="0" w:colLast="0"/>
      <w:bookmarkEnd w:id="4"/>
      <w:r>
        <w:t>Verbal Behavior and the Future of Social Science</w:t>
      </w:r>
    </w:p>
    <w:p w14:paraId="239AB7B3" w14:textId="77777777" w:rsidR="00D90722" w:rsidRDefault="00D90722"/>
    <w:p w14:paraId="018612AA" w14:textId="77777777" w:rsidR="00D90722" w:rsidRDefault="00000000">
      <w:pPr>
        <w:jc w:val="center"/>
        <w:rPr>
          <w:vertAlign w:val="superscript"/>
        </w:rPr>
      </w:pPr>
      <w:r>
        <w:t>Ryan L. Boyd</w:t>
      </w:r>
      <w:r>
        <w:rPr>
          <w:vertAlign w:val="superscript"/>
        </w:rPr>
        <w:t>1</w:t>
      </w:r>
      <w:r>
        <w:t xml:space="preserve"> &amp; David M. Markowitz</w:t>
      </w:r>
      <w:r>
        <w:rPr>
          <w:vertAlign w:val="superscript"/>
        </w:rPr>
        <w:t>2</w:t>
      </w:r>
    </w:p>
    <w:p w14:paraId="0F86C5EC" w14:textId="77777777" w:rsidR="00D90722" w:rsidRDefault="00D90722"/>
    <w:p w14:paraId="4063B11F" w14:textId="77777777" w:rsidR="00D90722" w:rsidRDefault="00000000">
      <w:pPr>
        <w:rPr>
          <w:b/>
        </w:rPr>
      </w:pPr>
      <w:r>
        <w:rPr>
          <w:b/>
        </w:rPr>
        <w:t>Affiliations</w:t>
      </w:r>
    </w:p>
    <w:p w14:paraId="4B8ED50E" w14:textId="77777777" w:rsidR="00D90722" w:rsidRDefault="00000000">
      <w:r>
        <w:rPr>
          <w:vertAlign w:val="superscript"/>
        </w:rPr>
        <w:t>1</w:t>
      </w:r>
      <w:r>
        <w:t xml:space="preserve"> Department of Computer Science, Stony Brook University, Stony Brook, NY USA</w:t>
      </w:r>
    </w:p>
    <w:p w14:paraId="419053B3" w14:textId="77777777" w:rsidR="00D90722" w:rsidRDefault="00000000">
      <w:r>
        <w:rPr>
          <w:vertAlign w:val="superscript"/>
        </w:rPr>
        <w:t xml:space="preserve">2 </w:t>
      </w:r>
      <w:r>
        <w:t>Department of Communication, Michigan State University, East Lansing, MI USA</w:t>
      </w:r>
    </w:p>
    <w:p w14:paraId="58E7DD28" w14:textId="77777777" w:rsidR="00D90722" w:rsidRDefault="00D90722"/>
    <w:p w14:paraId="521C2D48" w14:textId="77777777" w:rsidR="00D90722" w:rsidRDefault="00D90722">
      <w:pPr>
        <w:ind w:firstLine="0"/>
        <w:rPr>
          <w:b/>
        </w:rPr>
      </w:pPr>
    </w:p>
    <w:p w14:paraId="1E0216A0" w14:textId="77777777" w:rsidR="00D90722" w:rsidRDefault="00000000">
      <w:pPr>
        <w:ind w:firstLine="0"/>
        <w:rPr>
          <w:b/>
        </w:rPr>
      </w:pPr>
      <w:r>
        <w:rPr>
          <w:b/>
        </w:rPr>
        <w:t>Author Notes</w:t>
      </w:r>
    </w:p>
    <w:p w14:paraId="512AA814" w14:textId="77777777" w:rsidR="00D90722" w:rsidRDefault="00000000">
      <w:pPr>
        <w:ind w:firstLine="0"/>
      </w:pPr>
      <w:r>
        <w:t xml:space="preserve">Ryan L. Boyd </w:t>
      </w:r>
      <w:r>
        <w:rPr>
          <w:noProof/>
        </w:rPr>
        <w:drawing>
          <wp:inline distT="114300" distB="114300" distL="114300" distR="114300" wp14:anchorId="0E938E1E" wp14:editId="4DBFCCF2">
            <wp:extent cx="190500" cy="190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0500" cy="190500"/>
                    </a:xfrm>
                    <a:prstGeom prst="rect">
                      <a:avLst/>
                    </a:prstGeom>
                    <a:ln/>
                  </pic:spPr>
                </pic:pic>
              </a:graphicData>
            </a:graphic>
          </wp:inline>
        </w:drawing>
      </w:r>
      <w:r>
        <w:t xml:space="preserve">  https://orcid.org/0000-0002-1876-6050</w:t>
      </w:r>
    </w:p>
    <w:p w14:paraId="6C7EEAB1" w14:textId="77777777" w:rsidR="00D90722" w:rsidRDefault="00000000">
      <w:pPr>
        <w:ind w:firstLine="0"/>
      </w:pPr>
      <w:r>
        <w:t xml:space="preserve">David M. Markowitz </w:t>
      </w:r>
      <w:r>
        <w:rPr>
          <w:noProof/>
        </w:rPr>
        <w:drawing>
          <wp:inline distT="114300" distB="114300" distL="114300" distR="114300" wp14:anchorId="522634A8" wp14:editId="1EBEFB95">
            <wp:extent cx="190500" cy="19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0500" cy="190500"/>
                    </a:xfrm>
                    <a:prstGeom prst="rect">
                      <a:avLst/>
                    </a:prstGeom>
                    <a:ln/>
                  </pic:spPr>
                </pic:pic>
              </a:graphicData>
            </a:graphic>
          </wp:inline>
        </w:drawing>
      </w:r>
      <w:r>
        <w:t xml:space="preserve"> https://orcid.org/0000-0002-7159-7014</w:t>
      </w:r>
    </w:p>
    <w:p w14:paraId="5BFE89ED" w14:textId="77777777" w:rsidR="00D90722" w:rsidRDefault="00000000">
      <w:pPr>
        <w:ind w:firstLine="0"/>
      </w:pPr>
      <w:r>
        <w:t>Correspondence should be addressed to Ryan L. Boyd (email: boyd@cs.stonybrook.edu) and David M. Markowitz (email: dmm@msu.edu).</w:t>
      </w:r>
      <w:r>
        <w:br w:type="page"/>
      </w:r>
    </w:p>
    <w:p w14:paraId="4EFE2C3A" w14:textId="77777777" w:rsidR="00D90722" w:rsidRDefault="00000000">
      <w:pPr>
        <w:pStyle w:val="Heading1"/>
      </w:pPr>
      <w:bookmarkStart w:id="5" w:name="_yga6jc2vhheg" w:colFirst="0" w:colLast="0"/>
      <w:bookmarkEnd w:id="5"/>
      <w:r>
        <w:lastRenderedPageBreak/>
        <w:t>Supplementary Materials A:</w:t>
      </w:r>
      <w:r>
        <w:br/>
        <w:t>Quantifying the Situation versus Quantifying “Discourse”</w:t>
      </w:r>
      <w:r>
        <w:br/>
      </w:r>
    </w:p>
    <w:p w14:paraId="07F392D4" w14:textId="77777777" w:rsidR="00D90722" w:rsidRDefault="00000000">
      <w:pPr>
        <w:spacing w:after="0" w:line="480" w:lineRule="auto"/>
      </w:pPr>
      <w:r>
        <w:t xml:space="preserve">The distinction between measuring “the social environment” and “the conversation” (i.e., the “social interaction” itself, or “discourse”) through NLP methods is </w:t>
      </w:r>
      <w:proofErr w:type="gramStart"/>
      <w:r>
        <w:t>nuanced, and</w:t>
      </w:r>
      <w:proofErr w:type="gramEnd"/>
      <w:r>
        <w:t xml:space="preserve"> may be especially unintuitive for some readers. As noted in the main manuscript, our primary focus is the incredibly rich and storied history of psychological research that uses verbal behavior to understand </w:t>
      </w:r>
      <w:r>
        <w:rPr>
          <w:i/>
        </w:rPr>
        <w:t>the individual</w:t>
      </w:r>
      <w:r>
        <w:t xml:space="preserve">. In its most fundamental form, this involves taking the language produced by a single person — a journal entry, a collection of social media posts, a speech, and so on — and trying to infer the psychological properties </w:t>
      </w:r>
      <w:r>
        <w:rPr>
          <w:i/>
        </w:rPr>
        <w:t>of the author</w:t>
      </w:r>
      <w:r>
        <w:t xml:space="preserve">. For a foundational reading on this paradigm, which has been a mainstay of psychological science since its formative days, we strongly recommend Allport’s (1942) seminal treatment of the topic: </w:t>
      </w:r>
      <w:r>
        <w:rPr>
          <w:i/>
        </w:rPr>
        <w:t>The Use of Personal Documents in Psychological Science</w:t>
      </w:r>
      <w:r>
        <w:t>.</w:t>
      </w:r>
    </w:p>
    <w:p w14:paraId="265475C1" w14:textId="77777777" w:rsidR="00D90722" w:rsidRDefault="00000000">
      <w:pPr>
        <w:spacing w:after="0" w:line="480" w:lineRule="auto"/>
      </w:pPr>
      <w:r>
        <w:t xml:space="preserve">More complicated, however, is the question quantifying “extra-personal” aspects that might influence the individual’s psychology, which can be approached from numerous perspectives. Here, we detail two specific approaches </w:t>
      </w:r>
      <w:proofErr w:type="gramStart"/>
      <w:r>
        <w:t>in order to</w:t>
      </w:r>
      <w:proofErr w:type="gramEnd"/>
      <w:r>
        <w:t xml:space="preserve"> help draw a clear distinction between what scholars may seek to measure, and the conceptual and pragmatic differences between these approaches. First, we briefly discuss the measurement of </w:t>
      </w:r>
      <w:r>
        <w:rPr>
          <w:i/>
        </w:rPr>
        <w:t>the situation</w:t>
      </w:r>
      <w:r>
        <w:t xml:space="preserve">: the measurement of things outside of the individual that may influence their internal psychological processes. Second, we touch upon the concept of </w:t>
      </w:r>
      <w:r>
        <w:rPr>
          <w:i/>
        </w:rPr>
        <w:t>discourse</w:t>
      </w:r>
      <w:r>
        <w:t xml:space="preserve">: the analysis of the interplay </w:t>
      </w:r>
      <w:r>
        <w:rPr>
          <w:i/>
        </w:rPr>
        <w:t>between</w:t>
      </w:r>
      <w:r>
        <w:t xml:space="preserve"> the individual and others.</w:t>
      </w:r>
    </w:p>
    <w:p w14:paraId="1136436F" w14:textId="77777777" w:rsidR="00D90722" w:rsidRDefault="00000000">
      <w:pPr>
        <w:pStyle w:val="Heading2"/>
        <w:spacing w:after="0" w:line="480" w:lineRule="auto"/>
      </w:pPr>
      <w:bookmarkStart w:id="6" w:name="_4oyyg9su2lzw" w:colFirst="0" w:colLast="0"/>
      <w:bookmarkEnd w:id="6"/>
      <w:r>
        <w:rPr>
          <w:rFonts w:ascii="Cardo" w:eastAsia="Cardo" w:hAnsi="Cardo" w:cs="Cardo"/>
        </w:rPr>
        <w:t>Situation → Person</w:t>
      </w:r>
    </w:p>
    <w:p w14:paraId="69C5B663" w14:textId="77777777" w:rsidR="00D90722" w:rsidRDefault="00000000">
      <w:pPr>
        <w:spacing w:after="0" w:line="480" w:lineRule="auto"/>
      </w:pPr>
      <w:r>
        <w:t xml:space="preserve">In much of psychology, "the situation" (or, in classical terms, “the field”) refers to the immediate context or environment in which individuals find themselves — a specific set of </w:t>
      </w:r>
      <w:r>
        <w:rPr>
          <w:i/>
        </w:rPr>
        <w:t>external conditions</w:t>
      </w:r>
      <w:r>
        <w:t xml:space="preserve"> that influence </w:t>
      </w:r>
      <w:r>
        <w:rPr>
          <w:i/>
        </w:rPr>
        <w:t>the individual’s</w:t>
      </w:r>
      <w:r>
        <w:t xml:space="preserve"> thoughts, feelings, behaviors, attitudes, </w:t>
      </w:r>
      <w:r>
        <w:lastRenderedPageBreak/>
        <w:t xml:space="preserve">perceptions, and so on (see, e.g., Lewin &amp; Cartwright, 1951). Researchers who pursue this line of inquiry emphasize the impact of external factors, such as social norms, specific events or conditions, and environmental cues, on shaping </w:t>
      </w:r>
      <w:r>
        <w:rPr>
          <w:i/>
        </w:rPr>
        <w:t xml:space="preserve">individual </w:t>
      </w:r>
      <w:r>
        <w:t xml:space="preserve">human thoughts, </w:t>
      </w:r>
      <w:proofErr w:type="gramStart"/>
      <w:r>
        <w:t>feelings</w:t>
      </w:r>
      <w:proofErr w:type="gramEnd"/>
      <w:r>
        <w:t xml:space="preserve"> and behaviors, within </w:t>
      </w:r>
      <w:r>
        <w:rPr>
          <w:i/>
        </w:rPr>
        <w:t>specific situations</w:t>
      </w:r>
      <w:r>
        <w:t xml:space="preserve">. A specific subdiscipline that has traditionally adopted this approach is that of </w:t>
      </w:r>
      <w:r>
        <w:rPr>
          <w:i/>
        </w:rPr>
        <w:t>social psychology</w:t>
      </w:r>
      <w:r>
        <w:t>, which often seeks to understand "the social situation" (real or perceived) as crucial for comprehending social behavior, as it helps researchers and theorists elucidate the intricate interplay between individuals and their surroundings.</w:t>
      </w:r>
    </w:p>
    <w:p w14:paraId="60F2F597" w14:textId="77777777" w:rsidR="00D90722" w:rsidRDefault="00000000">
      <w:pPr>
        <w:spacing w:after="0" w:line="480" w:lineRule="auto"/>
      </w:pPr>
      <w:r>
        <w:t>For a moment, let us forget everything that we know about verbal behavior, specifically. Given the definition of “the situation” above, how might we quantify a person’s environment within the context of psychological research? If we wanted to understand factors that cause a person to drink alcohol, for example, we might observe their behavior over the course of a week, counting how many units of alcohol they consume per hour — this is our measure of “the individual.” There are certain other intra-personal factors that we believe are relevant, such as the subjective experience of “craving” alcohol, and so, we ask the participant to report their level of alcohol craving randomly throughout the day as well.</w:t>
      </w:r>
    </w:p>
    <w:p w14:paraId="63C484D5" w14:textId="77777777" w:rsidR="00D90722" w:rsidRDefault="00000000">
      <w:pPr>
        <w:spacing w:after="0" w:line="480" w:lineRule="auto"/>
      </w:pPr>
      <w:r>
        <w:t xml:space="preserve">Now that we have clear measures of the </w:t>
      </w:r>
      <w:r>
        <w:rPr>
          <w:i/>
        </w:rPr>
        <w:t>individual</w:t>
      </w:r>
      <w:r>
        <w:t xml:space="preserve"> that we wish to understand (alcohol craving and consumption), which aspects of the immediate environment might we quantify in our quest to </w:t>
      </w:r>
      <w:r>
        <w:rPr>
          <w:i/>
        </w:rPr>
        <w:t>explain</w:t>
      </w:r>
      <w:r>
        <w:t xml:space="preserve"> said phenomena? To start, we might follow the </w:t>
      </w:r>
      <w:proofErr w:type="gramStart"/>
      <w:r>
        <w:t>participant</w:t>
      </w:r>
      <w:proofErr w:type="gramEnd"/>
      <w:r>
        <w:t xml:space="preserve"> around, coding each situation in which we find them for what </w:t>
      </w:r>
      <w:r>
        <w:rPr>
          <w:i/>
        </w:rPr>
        <w:t>type</w:t>
      </w:r>
      <w:r>
        <w:t xml:space="preserve"> of environment they are in: are they in a residential setting or a bar setting (Fromme &amp; Dunn, 1992)? We may also want to measure something about the ambience of each situation </w:t>
      </w:r>
      <w:proofErr w:type="gramStart"/>
      <w:r>
        <w:t>—  if</w:t>
      </w:r>
      <w:proofErr w:type="gramEnd"/>
      <w:r>
        <w:t xml:space="preserve"> there is music playing, how loud is it (</w:t>
      </w:r>
      <w:proofErr w:type="spellStart"/>
      <w:r>
        <w:t>Guéguen</w:t>
      </w:r>
      <w:proofErr w:type="spellEnd"/>
      <w:r>
        <w:t xml:space="preserve"> et al., 2008)? We might also jot down </w:t>
      </w:r>
      <w:r>
        <w:rPr>
          <w:i/>
        </w:rPr>
        <w:t>which</w:t>
      </w:r>
      <w:r>
        <w:t xml:space="preserve"> social group the participant is currently with: are they with friends, family, coworkers, or other? We might additionally believe that the </w:t>
      </w:r>
      <w:r>
        <w:lastRenderedPageBreak/>
        <w:t xml:space="preserve">day of the week is a key factor that influences drinking, and so we log that information as well (e.g., Fridays and weekends may create social/work-related contexts that allow for, or facilitate, increased alcohol consumption; </w:t>
      </w:r>
      <w:proofErr w:type="spellStart"/>
      <w:r>
        <w:t>Stanesby</w:t>
      </w:r>
      <w:proofErr w:type="spellEnd"/>
      <w:r>
        <w:t xml:space="preserve"> et al., 2019), and so on.</w:t>
      </w:r>
    </w:p>
    <w:p w14:paraId="0528DD90" w14:textId="77777777" w:rsidR="00D90722" w:rsidRDefault="00000000">
      <w:pPr>
        <w:spacing w:after="0" w:line="480" w:lineRule="auto"/>
      </w:pPr>
      <w:r>
        <w:t xml:space="preserve">In this example, it is important to appreciate that such environmental factors are measured </w:t>
      </w:r>
      <w:r>
        <w:rPr>
          <w:i/>
        </w:rPr>
        <w:t xml:space="preserve">independent from </w:t>
      </w:r>
      <w:r>
        <w:t xml:space="preserve">our measurements of the individual: we measure their alcohol cravings and consumption, and then we separately measure factors such as music loudness, social group, day of week, and so on. Ultimately, our goal is to try to understand how </w:t>
      </w:r>
      <w:r>
        <w:rPr>
          <w:i/>
        </w:rPr>
        <w:t>situational</w:t>
      </w:r>
      <w:r>
        <w:t xml:space="preserve"> factors exert some influence on the individual, which we might formalize in the following way:</w:t>
      </w:r>
      <w:r>
        <w:br/>
      </w:r>
    </w:p>
    <w:p w14:paraId="0BC88C4C" w14:textId="77777777" w:rsidR="00D90722" w:rsidRDefault="00000000">
      <w:pPr>
        <w:spacing w:after="0" w:line="480" w:lineRule="auto"/>
        <w:ind w:firstLine="0"/>
        <w:jc w:val="center"/>
        <w:rPr>
          <w:rFonts w:ascii="Roboto" w:eastAsia="Roboto" w:hAnsi="Roboto" w:cs="Roboto"/>
        </w:rPr>
      </w:pPr>
      <w:proofErr w:type="spellStart"/>
      <w:r>
        <w:rPr>
          <w:rFonts w:ascii="Roboto" w:eastAsia="Roboto" w:hAnsi="Roboto" w:cs="Roboto"/>
          <w:sz w:val="22"/>
          <w:szCs w:val="22"/>
        </w:rPr>
        <w:t>alcohol_consumed</w:t>
      </w:r>
      <w:r>
        <w:rPr>
          <w:rFonts w:ascii="Roboto" w:eastAsia="Roboto" w:hAnsi="Roboto" w:cs="Roboto"/>
          <w:sz w:val="22"/>
          <w:szCs w:val="22"/>
          <w:vertAlign w:val="subscript"/>
        </w:rPr>
        <w:t>Individual</w:t>
      </w:r>
      <w:proofErr w:type="spellEnd"/>
      <w:r>
        <w:rPr>
          <w:rFonts w:ascii="Nova Mono" w:eastAsia="Nova Mono" w:hAnsi="Nova Mono" w:cs="Nova Mono"/>
          <w:sz w:val="22"/>
          <w:szCs w:val="22"/>
        </w:rPr>
        <w:t xml:space="preserve"> ← </w:t>
      </w:r>
      <w:proofErr w:type="spellStart"/>
      <w:r>
        <w:rPr>
          <w:rFonts w:ascii="Nova Mono" w:eastAsia="Nova Mono" w:hAnsi="Nova Mono" w:cs="Nova Mono"/>
          <w:sz w:val="22"/>
          <w:szCs w:val="22"/>
        </w:rPr>
        <w:t>environment_type</w:t>
      </w:r>
      <w:r>
        <w:rPr>
          <w:rFonts w:ascii="Roboto" w:eastAsia="Roboto" w:hAnsi="Roboto" w:cs="Roboto"/>
          <w:sz w:val="22"/>
          <w:szCs w:val="22"/>
          <w:vertAlign w:val="subscript"/>
        </w:rPr>
        <w:t>situation</w:t>
      </w:r>
      <w:proofErr w:type="spellEnd"/>
      <w:r>
        <w:rPr>
          <w:rFonts w:ascii="Roboto" w:eastAsia="Roboto" w:hAnsi="Roboto" w:cs="Roboto"/>
          <w:sz w:val="22"/>
          <w:szCs w:val="22"/>
        </w:rPr>
        <w:t xml:space="preserve"> + </w:t>
      </w:r>
      <w:proofErr w:type="spellStart"/>
      <w:r>
        <w:rPr>
          <w:rFonts w:ascii="Roboto" w:eastAsia="Roboto" w:hAnsi="Roboto" w:cs="Roboto"/>
          <w:sz w:val="22"/>
          <w:szCs w:val="22"/>
        </w:rPr>
        <w:t>social_group</w:t>
      </w:r>
      <w:r>
        <w:rPr>
          <w:rFonts w:ascii="Roboto" w:eastAsia="Roboto" w:hAnsi="Roboto" w:cs="Roboto"/>
          <w:sz w:val="22"/>
          <w:szCs w:val="22"/>
          <w:vertAlign w:val="subscript"/>
        </w:rPr>
        <w:t>situation</w:t>
      </w:r>
      <w:proofErr w:type="spellEnd"/>
      <w:r>
        <w:rPr>
          <w:rFonts w:ascii="Roboto" w:eastAsia="Roboto" w:hAnsi="Roboto" w:cs="Roboto"/>
          <w:sz w:val="22"/>
          <w:szCs w:val="22"/>
        </w:rPr>
        <w:t xml:space="preserve"> + </w:t>
      </w:r>
      <w:proofErr w:type="spellStart"/>
      <w:r>
        <w:rPr>
          <w:rFonts w:ascii="Roboto" w:eastAsia="Roboto" w:hAnsi="Roboto" w:cs="Roboto"/>
          <w:sz w:val="22"/>
          <w:szCs w:val="22"/>
        </w:rPr>
        <w:t>music_loudness</w:t>
      </w:r>
      <w:r>
        <w:rPr>
          <w:rFonts w:ascii="Roboto" w:eastAsia="Roboto" w:hAnsi="Roboto" w:cs="Roboto"/>
          <w:sz w:val="22"/>
          <w:szCs w:val="22"/>
          <w:vertAlign w:val="subscript"/>
        </w:rPr>
        <w:t>situation</w:t>
      </w:r>
      <w:proofErr w:type="spellEnd"/>
      <w:r>
        <w:rPr>
          <w:rFonts w:ascii="Roboto" w:eastAsia="Roboto" w:hAnsi="Roboto" w:cs="Roboto"/>
          <w:sz w:val="22"/>
          <w:szCs w:val="22"/>
          <w:vertAlign w:val="subscript"/>
        </w:rPr>
        <w:br/>
      </w:r>
    </w:p>
    <w:p w14:paraId="27BAEED1" w14:textId="77777777" w:rsidR="00D90722" w:rsidRDefault="00000000">
      <w:pPr>
        <w:spacing w:after="0" w:line="480" w:lineRule="auto"/>
        <w:ind w:firstLine="0"/>
        <w:jc w:val="center"/>
        <w:rPr>
          <w:rFonts w:ascii="Roboto" w:eastAsia="Roboto" w:hAnsi="Roboto" w:cs="Roboto"/>
          <w:sz w:val="22"/>
          <w:szCs w:val="22"/>
          <w:vertAlign w:val="subscript"/>
        </w:rPr>
      </w:pPr>
      <w:proofErr w:type="spellStart"/>
      <w:r>
        <w:rPr>
          <w:rFonts w:ascii="Roboto" w:eastAsia="Roboto" w:hAnsi="Roboto" w:cs="Roboto"/>
          <w:sz w:val="22"/>
          <w:szCs w:val="22"/>
        </w:rPr>
        <w:t>alcohol_cravings</w:t>
      </w:r>
      <w:r>
        <w:rPr>
          <w:rFonts w:ascii="Roboto" w:eastAsia="Roboto" w:hAnsi="Roboto" w:cs="Roboto"/>
          <w:sz w:val="22"/>
          <w:szCs w:val="22"/>
          <w:vertAlign w:val="subscript"/>
        </w:rPr>
        <w:t>Individual</w:t>
      </w:r>
      <w:proofErr w:type="spellEnd"/>
      <w:r>
        <w:rPr>
          <w:rFonts w:ascii="Nova Mono" w:eastAsia="Nova Mono" w:hAnsi="Nova Mono" w:cs="Nova Mono"/>
          <w:sz w:val="22"/>
          <w:szCs w:val="22"/>
        </w:rPr>
        <w:t xml:space="preserve"> ← </w:t>
      </w:r>
      <w:proofErr w:type="spellStart"/>
      <w:r>
        <w:rPr>
          <w:rFonts w:ascii="Nova Mono" w:eastAsia="Nova Mono" w:hAnsi="Nova Mono" w:cs="Nova Mono"/>
          <w:sz w:val="22"/>
          <w:szCs w:val="22"/>
        </w:rPr>
        <w:t>environment_type</w:t>
      </w:r>
      <w:r>
        <w:rPr>
          <w:rFonts w:ascii="Roboto" w:eastAsia="Roboto" w:hAnsi="Roboto" w:cs="Roboto"/>
          <w:sz w:val="22"/>
          <w:szCs w:val="22"/>
          <w:vertAlign w:val="subscript"/>
        </w:rPr>
        <w:t>situation</w:t>
      </w:r>
      <w:proofErr w:type="spellEnd"/>
      <w:r>
        <w:rPr>
          <w:rFonts w:ascii="Roboto" w:eastAsia="Roboto" w:hAnsi="Roboto" w:cs="Roboto"/>
          <w:sz w:val="22"/>
          <w:szCs w:val="22"/>
        </w:rPr>
        <w:t xml:space="preserve"> + </w:t>
      </w:r>
      <w:proofErr w:type="spellStart"/>
      <w:r>
        <w:rPr>
          <w:rFonts w:ascii="Roboto" w:eastAsia="Roboto" w:hAnsi="Roboto" w:cs="Roboto"/>
          <w:sz w:val="22"/>
          <w:szCs w:val="22"/>
        </w:rPr>
        <w:t>social_group</w:t>
      </w:r>
      <w:r>
        <w:rPr>
          <w:rFonts w:ascii="Roboto" w:eastAsia="Roboto" w:hAnsi="Roboto" w:cs="Roboto"/>
          <w:sz w:val="22"/>
          <w:szCs w:val="22"/>
          <w:vertAlign w:val="subscript"/>
        </w:rPr>
        <w:t>situation</w:t>
      </w:r>
      <w:proofErr w:type="spellEnd"/>
      <w:r>
        <w:rPr>
          <w:rFonts w:ascii="Roboto" w:eastAsia="Roboto" w:hAnsi="Roboto" w:cs="Roboto"/>
          <w:sz w:val="22"/>
          <w:szCs w:val="22"/>
        </w:rPr>
        <w:t xml:space="preserve"> + </w:t>
      </w:r>
      <w:proofErr w:type="spellStart"/>
      <w:r>
        <w:rPr>
          <w:rFonts w:ascii="Roboto" w:eastAsia="Roboto" w:hAnsi="Roboto" w:cs="Roboto"/>
          <w:sz w:val="22"/>
          <w:szCs w:val="22"/>
        </w:rPr>
        <w:t>music_loudness</w:t>
      </w:r>
      <w:r>
        <w:rPr>
          <w:rFonts w:ascii="Roboto" w:eastAsia="Roboto" w:hAnsi="Roboto" w:cs="Roboto"/>
          <w:sz w:val="22"/>
          <w:szCs w:val="22"/>
          <w:vertAlign w:val="subscript"/>
        </w:rPr>
        <w:t>situation</w:t>
      </w:r>
      <w:proofErr w:type="spellEnd"/>
      <w:r>
        <w:rPr>
          <w:rFonts w:ascii="Roboto" w:eastAsia="Roboto" w:hAnsi="Roboto" w:cs="Roboto"/>
          <w:sz w:val="22"/>
          <w:szCs w:val="22"/>
          <w:vertAlign w:val="subscript"/>
        </w:rPr>
        <w:br/>
      </w:r>
    </w:p>
    <w:p w14:paraId="49688C09" w14:textId="77777777" w:rsidR="00D90722" w:rsidRDefault="00000000">
      <w:pPr>
        <w:spacing w:after="0" w:line="480" w:lineRule="auto"/>
        <w:ind w:firstLine="0"/>
      </w:pPr>
      <w:r>
        <w:t xml:space="preserve">Such a formulation, then takes the form of “alcohol consumption and cravings are </w:t>
      </w:r>
      <w:r>
        <w:rPr>
          <w:i/>
        </w:rPr>
        <w:t>influenced by</w:t>
      </w:r>
      <w:r>
        <w:t xml:space="preserve"> </w:t>
      </w:r>
      <w:r>
        <w:rPr>
          <w:i/>
        </w:rPr>
        <w:t>X</w:t>
      </w:r>
      <w:r>
        <w:t xml:space="preserve">, </w:t>
      </w:r>
      <w:r>
        <w:rPr>
          <w:i/>
        </w:rPr>
        <w:t>Y</w:t>
      </w:r>
      <w:r>
        <w:t xml:space="preserve">, and </w:t>
      </w:r>
      <w:r>
        <w:rPr>
          <w:i/>
        </w:rPr>
        <w:t>Z</w:t>
      </w:r>
      <w:r>
        <w:t xml:space="preserve"> factors in one’s environment.”</w:t>
      </w:r>
    </w:p>
    <w:p w14:paraId="4AD11361" w14:textId="77777777" w:rsidR="00D90722" w:rsidRDefault="00D90722">
      <w:pPr>
        <w:spacing w:after="0" w:line="480" w:lineRule="auto"/>
      </w:pPr>
    </w:p>
    <w:p w14:paraId="51E14F79" w14:textId="77777777" w:rsidR="00D90722" w:rsidRDefault="00000000">
      <w:pPr>
        <w:pStyle w:val="Heading2"/>
        <w:spacing w:after="0" w:line="480" w:lineRule="auto"/>
        <w:rPr>
          <w:rFonts w:ascii="Roboto" w:eastAsia="Roboto" w:hAnsi="Roboto" w:cs="Roboto"/>
          <w:sz w:val="22"/>
          <w:szCs w:val="22"/>
          <w:vertAlign w:val="subscript"/>
        </w:rPr>
      </w:pPr>
      <w:bookmarkStart w:id="7" w:name="_my9nu562k0e" w:colFirst="0" w:colLast="0"/>
      <w:bookmarkEnd w:id="7"/>
      <w:r>
        <w:rPr>
          <w:rFonts w:ascii="Cardo" w:eastAsia="Cardo" w:hAnsi="Cardo" w:cs="Cardo"/>
        </w:rPr>
        <w:t>The Situation ⇄ The Person</w:t>
      </w:r>
    </w:p>
    <w:p w14:paraId="4BB2A9A0" w14:textId="77777777" w:rsidR="00D90722" w:rsidRDefault="00000000">
      <w:pPr>
        <w:spacing w:after="0" w:line="480" w:lineRule="auto"/>
      </w:pPr>
      <w:r>
        <w:t xml:space="preserve">Note how, in example the above, the </w:t>
      </w:r>
      <w:r>
        <w:rPr>
          <w:i/>
        </w:rPr>
        <w:t>individual</w:t>
      </w:r>
      <w:r>
        <w:t xml:space="preserve"> level factors are explained as some function that combines </w:t>
      </w:r>
      <w:r>
        <w:rPr>
          <w:i/>
        </w:rPr>
        <w:t>situational</w:t>
      </w:r>
      <w:r>
        <w:t xml:space="preserve"> features — there is no mixing between the two, and the direction of causality flows </w:t>
      </w:r>
      <w:r>
        <w:rPr>
          <w:i/>
        </w:rPr>
        <w:t>from</w:t>
      </w:r>
      <w:r>
        <w:t xml:space="preserve"> the situation </w:t>
      </w:r>
      <w:r>
        <w:rPr>
          <w:i/>
        </w:rPr>
        <w:t>to</w:t>
      </w:r>
      <w:r>
        <w:t xml:space="preserve"> the individual. Put another way, we are not out to directly explain the </w:t>
      </w:r>
      <w:r>
        <w:rPr>
          <w:i/>
        </w:rPr>
        <w:t>interaction</w:t>
      </w:r>
      <w:r>
        <w:t xml:space="preserve"> between a person and the environment, which might instead </w:t>
      </w:r>
      <w:r>
        <w:lastRenderedPageBreak/>
        <w:t>lead us to try to explain how person-level features intermingle with situational factors to cause some outcome, which might instead look like the following:</w:t>
      </w:r>
    </w:p>
    <w:p w14:paraId="202242B5" w14:textId="77777777" w:rsidR="00D90722" w:rsidRDefault="00000000">
      <w:pPr>
        <w:spacing w:after="0" w:line="480" w:lineRule="auto"/>
        <w:ind w:firstLine="0"/>
        <w:rPr>
          <w:rFonts w:ascii="Roboto" w:eastAsia="Roboto" w:hAnsi="Roboto" w:cs="Roboto"/>
          <w:sz w:val="22"/>
          <w:szCs w:val="22"/>
        </w:rPr>
      </w:pPr>
      <w:r>
        <w:rPr>
          <w:rFonts w:ascii="Roboto" w:eastAsia="Roboto" w:hAnsi="Roboto" w:cs="Roboto"/>
          <w:sz w:val="22"/>
          <w:szCs w:val="22"/>
        </w:rPr>
        <w:br/>
      </w:r>
      <w:proofErr w:type="spellStart"/>
      <w:r>
        <w:rPr>
          <w:rFonts w:ascii="Roboto" w:eastAsia="Roboto" w:hAnsi="Roboto" w:cs="Roboto"/>
          <w:sz w:val="22"/>
          <w:szCs w:val="22"/>
        </w:rPr>
        <w:t>alcohol_consumed</w:t>
      </w:r>
      <w:r>
        <w:rPr>
          <w:rFonts w:ascii="Roboto" w:eastAsia="Roboto" w:hAnsi="Roboto" w:cs="Roboto"/>
          <w:sz w:val="22"/>
          <w:szCs w:val="22"/>
          <w:vertAlign w:val="subscript"/>
        </w:rPr>
        <w:t>Individual</w:t>
      </w:r>
      <w:proofErr w:type="spellEnd"/>
      <w:r>
        <w:rPr>
          <w:rFonts w:ascii="Nova Mono" w:eastAsia="Nova Mono" w:hAnsi="Nova Mono" w:cs="Nova Mono"/>
          <w:sz w:val="22"/>
          <w:szCs w:val="22"/>
        </w:rPr>
        <w:t xml:space="preserve"> ← (</w:t>
      </w:r>
      <w:proofErr w:type="spellStart"/>
      <w:r>
        <w:rPr>
          <w:rFonts w:ascii="Nova Mono" w:eastAsia="Nova Mono" w:hAnsi="Nova Mono" w:cs="Nova Mono"/>
          <w:sz w:val="22"/>
          <w:szCs w:val="22"/>
        </w:rPr>
        <w:t>alcohol_cravings</w:t>
      </w:r>
      <w:r>
        <w:rPr>
          <w:rFonts w:ascii="Roboto" w:eastAsia="Roboto" w:hAnsi="Roboto" w:cs="Roboto"/>
          <w:sz w:val="22"/>
          <w:szCs w:val="22"/>
          <w:vertAlign w:val="subscript"/>
        </w:rPr>
        <w:t>Individual</w:t>
      </w:r>
      <w:proofErr w:type="spellEnd"/>
      <w:r>
        <w:rPr>
          <w:rFonts w:ascii="Roboto" w:eastAsia="Roboto" w:hAnsi="Roboto" w:cs="Roboto"/>
          <w:sz w:val="22"/>
          <w:szCs w:val="22"/>
          <w:vertAlign w:val="subscript"/>
        </w:rPr>
        <w:t xml:space="preserve"> </w:t>
      </w:r>
      <w:r>
        <w:rPr>
          <w:rFonts w:ascii="Nova Mono" w:eastAsia="Nova Mono" w:hAnsi="Nova Mono" w:cs="Nova Mono"/>
          <w:sz w:val="22"/>
          <w:szCs w:val="22"/>
        </w:rPr>
        <w:t xml:space="preserve">→ </w:t>
      </w:r>
      <w:proofErr w:type="spellStart"/>
      <w:r>
        <w:rPr>
          <w:rFonts w:ascii="Roboto" w:eastAsia="Roboto" w:hAnsi="Roboto" w:cs="Roboto"/>
          <w:sz w:val="22"/>
          <w:szCs w:val="22"/>
        </w:rPr>
        <w:t>environment_type</w:t>
      </w:r>
      <w:r>
        <w:rPr>
          <w:rFonts w:ascii="Roboto" w:eastAsia="Roboto" w:hAnsi="Roboto" w:cs="Roboto"/>
          <w:sz w:val="22"/>
          <w:szCs w:val="22"/>
          <w:vertAlign w:val="subscript"/>
        </w:rPr>
        <w:t>situation</w:t>
      </w:r>
      <w:proofErr w:type="spellEnd"/>
      <w:r>
        <w:rPr>
          <w:rFonts w:ascii="Roboto" w:eastAsia="Roboto" w:hAnsi="Roboto" w:cs="Roboto"/>
          <w:sz w:val="22"/>
          <w:szCs w:val="22"/>
        </w:rPr>
        <w:t>) +</w:t>
      </w:r>
      <w:r>
        <w:rPr>
          <w:rFonts w:ascii="Roboto" w:eastAsia="Roboto" w:hAnsi="Roboto" w:cs="Roboto"/>
          <w:sz w:val="22"/>
          <w:szCs w:val="22"/>
        </w:rPr>
        <w:br/>
      </w:r>
      <w:r>
        <w:rPr>
          <w:rFonts w:ascii="Roboto" w:eastAsia="Roboto" w:hAnsi="Roboto" w:cs="Roboto"/>
          <w:sz w:val="22"/>
          <w:szCs w:val="22"/>
        </w:rPr>
        <w:tab/>
      </w:r>
      <w:r>
        <w:rPr>
          <w:rFonts w:ascii="Roboto" w:eastAsia="Roboto" w:hAnsi="Roboto" w:cs="Roboto"/>
          <w:sz w:val="22"/>
          <w:szCs w:val="22"/>
        </w:rPr>
        <w:tab/>
      </w:r>
      <w:r>
        <w:rPr>
          <w:rFonts w:ascii="Roboto" w:eastAsia="Roboto" w:hAnsi="Roboto" w:cs="Roboto"/>
          <w:sz w:val="22"/>
          <w:szCs w:val="22"/>
        </w:rPr>
        <w:tab/>
        <w:t xml:space="preserve">     </w:t>
      </w:r>
      <w:proofErr w:type="gramStart"/>
      <w:r>
        <w:rPr>
          <w:rFonts w:ascii="Roboto" w:eastAsia="Roboto" w:hAnsi="Roboto" w:cs="Roboto"/>
          <w:sz w:val="22"/>
          <w:szCs w:val="22"/>
        </w:rPr>
        <w:t xml:space="preserve">   (</w:t>
      </w:r>
      <w:proofErr w:type="spellStart"/>
      <w:proofErr w:type="gramEnd"/>
      <w:r>
        <w:rPr>
          <w:rFonts w:ascii="Roboto" w:eastAsia="Roboto" w:hAnsi="Roboto" w:cs="Roboto"/>
          <w:sz w:val="22"/>
          <w:szCs w:val="22"/>
        </w:rPr>
        <w:t>alcohol_cravings</w:t>
      </w:r>
      <w:r>
        <w:rPr>
          <w:rFonts w:ascii="Roboto" w:eastAsia="Roboto" w:hAnsi="Roboto" w:cs="Roboto"/>
          <w:sz w:val="22"/>
          <w:szCs w:val="22"/>
          <w:vertAlign w:val="subscript"/>
        </w:rPr>
        <w:t>Individual</w:t>
      </w:r>
      <w:proofErr w:type="spellEnd"/>
      <w:r>
        <w:rPr>
          <w:rFonts w:ascii="Roboto" w:eastAsia="Roboto" w:hAnsi="Roboto" w:cs="Roboto"/>
          <w:sz w:val="22"/>
          <w:szCs w:val="22"/>
          <w:vertAlign w:val="subscript"/>
        </w:rPr>
        <w:t xml:space="preserve"> </w:t>
      </w:r>
      <w:r>
        <w:rPr>
          <w:rFonts w:ascii="Nova Mono" w:eastAsia="Nova Mono" w:hAnsi="Nova Mono" w:cs="Nova Mono"/>
          <w:sz w:val="22"/>
          <w:szCs w:val="22"/>
        </w:rPr>
        <w:t xml:space="preserve"> → </w:t>
      </w:r>
      <w:proofErr w:type="spellStart"/>
      <w:r>
        <w:rPr>
          <w:rFonts w:ascii="Roboto" w:eastAsia="Roboto" w:hAnsi="Roboto" w:cs="Roboto"/>
          <w:sz w:val="22"/>
          <w:szCs w:val="22"/>
        </w:rPr>
        <w:t>social_group</w:t>
      </w:r>
      <w:r>
        <w:rPr>
          <w:rFonts w:ascii="Roboto" w:eastAsia="Roboto" w:hAnsi="Roboto" w:cs="Roboto"/>
          <w:sz w:val="22"/>
          <w:szCs w:val="22"/>
          <w:vertAlign w:val="subscript"/>
        </w:rPr>
        <w:t>situation</w:t>
      </w:r>
      <w:proofErr w:type="spellEnd"/>
      <w:r>
        <w:rPr>
          <w:rFonts w:ascii="Roboto" w:eastAsia="Roboto" w:hAnsi="Roboto" w:cs="Roboto"/>
          <w:sz w:val="22"/>
          <w:szCs w:val="22"/>
        </w:rPr>
        <w:t>)</w:t>
      </w:r>
    </w:p>
    <w:p w14:paraId="5D65DC97" w14:textId="77777777" w:rsidR="00D90722" w:rsidRDefault="00D90722">
      <w:pPr>
        <w:spacing w:after="0" w:line="480" w:lineRule="auto"/>
        <w:ind w:firstLine="0"/>
        <w:rPr>
          <w:rFonts w:ascii="Cambria Math" w:eastAsia="Cambria Math" w:hAnsi="Cambria Math" w:cs="Cambria Math"/>
          <w:sz w:val="22"/>
          <w:szCs w:val="22"/>
        </w:rPr>
      </w:pPr>
    </w:p>
    <w:p w14:paraId="27CC6798" w14:textId="77777777" w:rsidR="00D90722" w:rsidRDefault="00000000">
      <w:pPr>
        <w:spacing w:after="0" w:line="480" w:lineRule="auto"/>
        <w:ind w:firstLine="0"/>
      </w:pPr>
      <w:r>
        <w:t xml:space="preserve">Such a formulation, put another way, might suggest that a person’s alcohol cravings lead them to select themselves into a certain type of environment and, separately, that such cravings might cause them to select into certain social groups within a certain type of environment, and that such combined, bidirectional factors of a person </w:t>
      </w:r>
      <w:r>
        <w:rPr>
          <w:i/>
        </w:rPr>
        <w:t>influencing</w:t>
      </w:r>
      <w:r>
        <w:t xml:space="preserve"> their situation can then be used to explain the amount of alcohol consumed. This type of formulation tends to be more complex and constitutes an important, radically different, scientific paradigm that must account for multiple ways in which a person and situation can interact with one-another (see Buss, 1987)</w:t>
      </w:r>
    </w:p>
    <w:p w14:paraId="67AF0AC8" w14:textId="77777777" w:rsidR="00D90722" w:rsidRDefault="00000000">
      <w:pPr>
        <w:pStyle w:val="Heading2"/>
        <w:spacing w:after="0" w:line="480" w:lineRule="auto"/>
      </w:pPr>
      <w:bookmarkStart w:id="8" w:name="_j7vuvc3axbbj" w:colFirst="0" w:colLast="0"/>
      <w:bookmarkEnd w:id="8"/>
      <w:r>
        <w:t>Translation to Verbal Behavior</w:t>
      </w:r>
    </w:p>
    <w:p w14:paraId="413D8F52" w14:textId="77777777" w:rsidR="00D90722" w:rsidRDefault="00000000">
      <w:pPr>
        <w:spacing w:after="0" w:line="480" w:lineRule="auto"/>
      </w:pPr>
      <w:r>
        <w:t xml:space="preserve">Now, let us return to the world of verbal behavior and NLP, keeping in mind the paradigms described above. We can now transplant the above paradigms into a language-based context: workplace emails. Specifically, we are interested in understanding how </w:t>
      </w:r>
      <w:r>
        <w:rPr>
          <w:i/>
        </w:rPr>
        <w:t>workplace culture</w:t>
      </w:r>
      <w:r>
        <w:t xml:space="preserve"> (the situation) exerts some causal influence on individual-level well-being. Using NLP methods, we can measure each construct separately, analyzing the language of emails written by </w:t>
      </w:r>
      <w:r>
        <w:rPr>
          <w:i/>
        </w:rPr>
        <w:t>the individual</w:t>
      </w:r>
      <w:r>
        <w:t xml:space="preserve"> to measure their well-being by coding for positive emotion words, as well as various aspects of </w:t>
      </w:r>
      <w:r>
        <w:rPr>
          <w:i/>
        </w:rPr>
        <w:t>the situation</w:t>
      </w:r>
      <w:r>
        <w:t xml:space="preserve"> by analyzing the emails of all coworkers in the organization, coding for things like various emotion words, swear words, words about leisure and vacation, derogatory language, and so on.</w:t>
      </w:r>
    </w:p>
    <w:p w14:paraId="71B00F82" w14:textId="77777777" w:rsidR="00D90722" w:rsidRDefault="00000000">
      <w:pPr>
        <w:spacing w:after="0" w:line="480" w:lineRule="auto"/>
      </w:pPr>
      <w:r>
        <w:lastRenderedPageBreak/>
        <w:t xml:space="preserve">Here, again, the focus of this paradigm is to understand how situational factors exert some influence on the </w:t>
      </w:r>
      <w:r>
        <w:rPr>
          <w:i/>
        </w:rPr>
        <w:t>individual’s psychology</w:t>
      </w:r>
      <w:r>
        <w:t xml:space="preserve">, albeit all through language. Such a paradigm is consistent with what we describe above as “classical” psychological research: we have measured the person, we have measured the situation separately, and we seek to explain one with the other. Indeed, such a paradigm analyzes language/verbal behavior </w:t>
      </w:r>
      <w:r>
        <w:rPr>
          <w:i/>
        </w:rPr>
        <w:t>as an aspect of the environment/situation</w:t>
      </w:r>
      <w:r>
        <w:t xml:space="preserve">. Indeed, such a paradigm is relatively common across several areas of the social sciences, including many NLP-driven computational social science studies (see, e.g., Althoff et al., 2014; Berger &amp; Packard, 2018; Markowitz et al., 2023; Ta et al., 2022). </w:t>
      </w:r>
      <w:proofErr w:type="gramStart"/>
      <w:r>
        <w:t>That is to say, this</w:t>
      </w:r>
      <w:proofErr w:type="gramEnd"/>
      <w:r>
        <w:t xml:space="preserve"> is a body of work that treats language as a part of the </w:t>
      </w:r>
      <w:r>
        <w:rPr>
          <w:i/>
        </w:rPr>
        <w:t>individual’s environment</w:t>
      </w:r>
      <w:r>
        <w:t>, which can and does influence a person’s thoughts, feelings, and behavior in complex and nuanced ways, and can be formalized in a way such as the following:</w:t>
      </w:r>
      <w:r>
        <w:br/>
      </w:r>
    </w:p>
    <w:p w14:paraId="0A4FDC73" w14:textId="77777777" w:rsidR="00D90722" w:rsidRDefault="00000000">
      <w:pPr>
        <w:spacing w:after="0" w:line="480" w:lineRule="auto"/>
        <w:ind w:firstLine="0"/>
        <w:jc w:val="center"/>
        <w:rPr>
          <w:rFonts w:ascii="Roboto" w:eastAsia="Roboto" w:hAnsi="Roboto" w:cs="Roboto"/>
          <w:sz w:val="22"/>
          <w:szCs w:val="22"/>
        </w:rPr>
      </w:pPr>
      <w:proofErr w:type="spellStart"/>
      <w:r>
        <w:rPr>
          <w:rFonts w:ascii="Roboto" w:eastAsia="Roboto" w:hAnsi="Roboto" w:cs="Roboto"/>
          <w:sz w:val="22"/>
          <w:szCs w:val="22"/>
        </w:rPr>
        <w:t>psychological_construct</w:t>
      </w:r>
      <w:r>
        <w:rPr>
          <w:rFonts w:ascii="Roboto" w:eastAsia="Roboto" w:hAnsi="Roboto" w:cs="Roboto"/>
          <w:sz w:val="22"/>
          <w:szCs w:val="22"/>
          <w:vertAlign w:val="subscript"/>
        </w:rPr>
        <w:t>Individual</w:t>
      </w:r>
      <w:proofErr w:type="spellEnd"/>
      <w:r>
        <w:rPr>
          <w:rFonts w:ascii="Nova Mono" w:eastAsia="Nova Mono" w:hAnsi="Nova Mono" w:cs="Nova Mono"/>
          <w:sz w:val="22"/>
          <w:szCs w:val="22"/>
        </w:rPr>
        <w:t xml:space="preserve"> ← </w:t>
      </w:r>
      <w:proofErr w:type="spellStart"/>
      <w:r>
        <w:rPr>
          <w:rFonts w:ascii="Nova Mono" w:eastAsia="Nova Mono" w:hAnsi="Nova Mono" w:cs="Nova Mono"/>
          <w:sz w:val="22"/>
          <w:szCs w:val="22"/>
        </w:rPr>
        <w:t>situational_properties</w:t>
      </w:r>
      <w:r>
        <w:rPr>
          <w:rFonts w:ascii="Roboto" w:eastAsia="Roboto" w:hAnsi="Roboto" w:cs="Roboto"/>
          <w:sz w:val="22"/>
          <w:szCs w:val="22"/>
          <w:vertAlign w:val="subscript"/>
        </w:rPr>
        <w:t>language</w:t>
      </w:r>
      <w:proofErr w:type="spellEnd"/>
      <w:r>
        <w:rPr>
          <w:rFonts w:ascii="Roboto" w:eastAsia="Roboto" w:hAnsi="Roboto" w:cs="Roboto"/>
          <w:sz w:val="22"/>
          <w:szCs w:val="22"/>
          <w:vertAlign w:val="subscript"/>
        </w:rPr>
        <w:t xml:space="preserve"> that characterizes the </w:t>
      </w:r>
      <w:proofErr w:type="gramStart"/>
      <w:r>
        <w:rPr>
          <w:rFonts w:ascii="Roboto" w:eastAsia="Roboto" w:hAnsi="Roboto" w:cs="Roboto"/>
          <w:sz w:val="22"/>
          <w:szCs w:val="22"/>
          <w:vertAlign w:val="subscript"/>
        </w:rPr>
        <w:t>situation</w:t>
      </w:r>
      <w:proofErr w:type="gramEnd"/>
    </w:p>
    <w:p w14:paraId="34C8E2BF" w14:textId="77777777" w:rsidR="00D90722" w:rsidRDefault="00D90722">
      <w:pPr>
        <w:spacing w:after="0" w:line="480" w:lineRule="auto"/>
        <w:ind w:firstLine="0"/>
      </w:pPr>
    </w:p>
    <w:p w14:paraId="19AF915B" w14:textId="77777777" w:rsidR="00D90722" w:rsidRDefault="00000000">
      <w:pPr>
        <w:spacing w:after="0" w:line="480" w:lineRule="auto"/>
      </w:pPr>
      <w:r>
        <w:t xml:space="preserve">This literature has begun growing in recent years with the adoption of NLP methods but, in many ways, is parallel to (and seldom intersecting with) research on the </w:t>
      </w:r>
      <w:r>
        <w:rPr>
          <w:i/>
        </w:rPr>
        <w:t>source</w:t>
      </w:r>
      <w:r>
        <w:t xml:space="preserve"> of </w:t>
      </w:r>
      <w:proofErr w:type="gramStart"/>
      <w:r>
        <w:t>the verbal</w:t>
      </w:r>
      <w:proofErr w:type="gramEnd"/>
      <w:r>
        <w:t xml:space="preserve"> behavior. Research on </w:t>
      </w:r>
      <w:r>
        <w:rPr>
          <w:i/>
        </w:rPr>
        <w:t>discourse</w:t>
      </w:r>
      <w:r>
        <w:t xml:space="preserve">, on the other hand, is a conceptually different paradigm altogether, which often seeks to explain individual-level psychology as a function of the </w:t>
      </w:r>
      <w:r>
        <w:rPr>
          <w:i/>
        </w:rPr>
        <w:t>interaction</w:t>
      </w:r>
      <w:r>
        <w:t xml:space="preserve"> between two or more people, including properties that </w:t>
      </w:r>
      <w:proofErr w:type="gramStart"/>
      <w:r>
        <w:t>each individual</w:t>
      </w:r>
      <w:proofErr w:type="gramEnd"/>
      <w:r>
        <w:t xml:space="preserve"> possesses independently. In some cases, such studies may even seek to explain the </w:t>
      </w:r>
      <w:r>
        <w:rPr>
          <w:i/>
        </w:rPr>
        <w:t>discourse itself</w:t>
      </w:r>
      <w:r>
        <w:t xml:space="preserve"> — that is, the way in which a conversation unfolds (e.g., turn-taking), rather than individual-level psychological properties. For example, we may seek to explain how </w:t>
      </w:r>
      <w:r>
        <w:rPr>
          <w:i/>
        </w:rPr>
        <w:t>polite</w:t>
      </w:r>
      <w:r>
        <w:t xml:space="preserve"> a person is when interacting with someone else, relying on things like social status or culture to explain the </w:t>
      </w:r>
      <w:r>
        <w:lastRenderedPageBreak/>
        <w:t>language itself. Such a paradigm might look like the following:</w:t>
      </w:r>
      <w:r>
        <w:br/>
      </w:r>
    </w:p>
    <w:p w14:paraId="7F680CF9" w14:textId="77777777" w:rsidR="00D90722" w:rsidRDefault="00000000">
      <w:pPr>
        <w:spacing w:after="0" w:line="480" w:lineRule="auto"/>
        <w:ind w:firstLine="0"/>
        <w:jc w:val="center"/>
        <w:rPr>
          <w:vertAlign w:val="subscript"/>
        </w:rPr>
      </w:pPr>
      <w:r>
        <w:rPr>
          <w:rFonts w:ascii="Roboto" w:eastAsia="Roboto" w:hAnsi="Roboto" w:cs="Roboto"/>
          <w:sz w:val="22"/>
          <w:szCs w:val="22"/>
        </w:rPr>
        <w:t>politeness</w:t>
      </w:r>
      <w:r>
        <w:rPr>
          <w:rFonts w:ascii="Roboto" w:eastAsia="Roboto" w:hAnsi="Roboto" w:cs="Roboto"/>
          <w:sz w:val="22"/>
          <w:szCs w:val="22"/>
          <w:vertAlign w:val="subscript"/>
        </w:rPr>
        <w:t>individual_1</w:t>
      </w:r>
      <w:r>
        <w:rPr>
          <w:rFonts w:ascii="Nova Mono" w:eastAsia="Nova Mono" w:hAnsi="Nova Mono" w:cs="Nova Mono"/>
          <w:sz w:val="22"/>
          <w:szCs w:val="22"/>
        </w:rPr>
        <w:t xml:space="preserve"> ← (social_status</w:t>
      </w:r>
      <w:r>
        <w:rPr>
          <w:rFonts w:ascii="Roboto" w:eastAsia="Roboto" w:hAnsi="Roboto" w:cs="Roboto"/>
          <w:sz w:val="22"/>
          <w:szCs w:val="22"/>
          <w:vertAlign w:val="subscript"/>
        </w:rPr>
        <w:t>individual_1</w:t>
      </w:r>
      <w:r>
        <w:rPr>
          <w:rFonts w:ascii="Nova Mono" w:eastAsia="Nova Mono" w:hAnsi="Nova Mono" w:cs="Nova Mono"/>
          <w:sz w:val="22"/>
          <w:szCs w:val="22"/>
        </w:rPr>
        <w:t xml:space="preserve"> ⇄ social_status</w:t>
      </w:r>
      <w:r>
        <w:rPr>
          <w:rFonts w:ascii="Roboto" w:eastAsia="Roboto" w:hAnsi="Roboto" w:cs="Roboto"/>
          <w:sz w:val="22"/>
          <w:szCs w:val="22"/>
          <w:vertAlign w:val="subscript"/>
        </w:rPr>
        <w:t>individual_2</w:t>
      </w:r>
      <w:r>
        <w:rPr>
          <w:rFonts w:ascii="Roboto" w:eastAsia="Roboto" w:hAnsi="Roboto" w:cs="Roboto"/>
          <w:sz w:val="22"/>
          <w:szCs w:val="22"/>
        </w:rPr>
        <w:t xml:space="preserve">) + </w:t>
      </w:r>
      <w:proofErr w:type="spellStart"/>
      <w:r>
        <w:rPr>
          <w:rFonts w:ascii="Roboto" w:eastAsia="Roboto" w:hAnsi="Roboto" w:cs="Roboto"/>
          <w:sz w:val="22"/>
          <w:szCs w:val="22"/>
        </w:rPr>
        <w:t>collectivism</w:t>
      </w:r>
      <w:r>
        <w:rPr>
          <w:rFonts w:ascii="Roboto" w:eastAsia="Roboto" w:hAnsi="Roboto" w:cs="Roboto"/>
          <w:sz w:val="22"/>
          <w:szCs w:val="22"/>
          <w:vertAlign w:val="subscript"/>
        </w:rPr>
        <w:t>culture</w:t>
      </w:r>
      <w:proofErr w:type="spellEnd"/>
    </w:p>
    <w:p w14:paraId="55C6A025" w14:textId="77777777" w:rsidR="00D90722" w:rsidRDefault="00D90722">
      <w:pPr>
        <w:spacing w:after="0" w:line="480" w:lineRule="auto"/>
      </w:pPr>
    </w:p>
    <w:p w14:paraId="3FFA96AA" w14:textId="77777777" w:rsidR="00D90722" w:rsidRDefault="00000000">
      <w:pPr>
        <w:spacing w:after="0" w:line="480" w:lineRule="auto"/>
        <w:ind w:firstLine="0"/>
      </w:pPr>
      <w:r>
        <w:t>Or, alternatively, if the goal is to understand the discourse process itself, we may formalize it in the following way:</w:t>
      </w:r>
    </w:p>
    <w:p w14:paraId="0B72CED4" w14:textId="77777777" w:rsidR="00D90722" w:rsidRDefault="00000000">
      <w:pPr>
        <w:spacing w:after="0" w:line="480" w:lineRule="auto"/>
        <w:ind w:firstLine="0"/>
        <w:jc w:val="center"/>
      </w:pPr>
      <w:proofErr w:type="spellStart"/>
      <w:r>
        <w:rPr>
          <w:rFonts w:ascii="Roboto" w:eastAsia="Roboto" w:hAnsi="Roboto" w:cs="Roboto"/>
          <w:sz w:val="22"/>
          <w:szCs w:val="22"/>
        </w:rPr>
        <w:t>politeness</w:t>
      </w:r>
      <w:r>
        <w:rPr>
          <w:rFonts w:ascii="Roboto" w:eastAsia="Roboto" w:hAnsi="Roboto" w:cs="Roboto"/>
          <w:sz w:val="22"/>
          <w:szCs w:val="22"/>
          <w:vertAlign w:val="subscript"/>
        </w:rPr>
        <w:t>discourse</w:t>
      </w:r>
      <w:proofErr w:type="spellEnd"/>
      <w:r>
        <w:rPr>
          <w:rFonts w:ascii="Nova Mono" w:eastAsia="Nova Mono" w:hAnsi="Nova Mono" w:cs="Nova Mono"/>
          <w:sz w:val="22"/>
          <w:szCs w:val="22"/>
        </w:rPr>
        <w:t xml:space="preserve"> ← (social_status</w:t>
      </w:r>
      <w:r>
        <w:rPr>
          <w:rFonts w:ascii="Roboto" w:eastAsia="Roboto" w:hAnsi="Roboto" w:cs="Roboto"/>
          <w:sz w:val="22"/>
          <w:szCs w:val="22"/>
          <w:vertAlign w:val="subscript"/>
        </w:rPr>
        <w:t>individual_1</w:t>
      </w:r>
      <w:r>
        <w:rPr>
          <w:rFonts w:ascii="Nova Mono" w:eastAsia="Nova Mono" w:hAnsi="Nova Mono" w:cs="Nova Mono"/>
          <w:sz w:val="22"/>
          <w:szCs w:val="22"/>
        </w:rPr>
        <w:t xml:space="preserve"> ⇄ social_status</w:t>
      </w:r>
      <w:r>
        <w:rPr>
          <w:rFonts w:ascii="Roboto" w:eastAsia="Roboto" w:hAnsi="Roboto" w:cs="Roboto"/>
          <w:sz w:val="22"/>
          <w:szCs w:val="22"/>
          <w:vertAlign w:val="subscript"/>
        </w:rPr>
        <w:t>individual_2</w:t>
      </w:r>
      <w:r>
        <w:rPr>
          <w:rFonts w:ascii="Roboto" w:eastAsia="Roboto" w:hAnsi="Roboto" w:cs="Roboto"/>
          <w:sz w:val="22"/>
          <w:szCs w:val="22"/>
        </w:rPr>
        <w:t xml:space="preserve">) + </w:t>
      </w:r>
      <w:proofErr w:type="spellStart"/>
      <w:r>
        <w:rPr>
          <w:rFonts w:ascii="Roboto" w:eastAsia="Roboto" w:hAnsi="Roboto" w:cs="Roboto"/>
          <w:sz w:val="22"/>
          <w:szCs w:val="22"/>
        </w:rPr>
        <w:t>collectivism</w:t>
      </w:r>
      <w:r>
        <w:rPr>
          <w:rFonts w:ascii="Roboto" w:eastAsia="Roboto" w:hAnsi="Roboto" w:cs="Roboto"/>
          <w:sz w:val="22"/>
          <w:szCs w:val="22"/>
          <w:vertAlign w:val="subscript"/>
        </w:rPr>
        <w:t>culture</w:t>
      </w:r>
      <w:proofErr w:type="spellEnd"/>
    </w:p>
    <w:p w14:paraId="4E75510A" w14:textId="77777777" w:rsidR="00D90722" w:rsidRDefault="00D90722">
      <w:pPr>
        <w:spacing w:after="0" w:line="480" w:lineRule="auto"/>
      </w:pPr>
    </w:p>
    <w:p w14:paraId="05B2C50D" w14:textId="77777777" w:rsidR="00D90722" w:rsidRDefault="00000000">
      <w:pPr>
        <w:spacing w:after="0" w:line="480" w:lineRule="auto"/>
      </w:pPr>
      <w:r>
        <w:t xml:space="preserve">Note that here, as with the examples above, there is an explicit lack of separation between </w:t>
      </w:r>
      <w:r>
        <w:rPr>
          <w:i/>
        </w:rPr>
        <w:t>the individual</w:t>
      </w:r>
      <w:r>
        <w:t xml:space="preserve"> and what we might call “the situation” — the bidirectional influence is formalized in the model itself. This is not problematic in any way, however — and of the utmost importance — it is critical to appreciate that the </w:t>
      </w:r>
      <w:r>
        <w:rPr>
          <w:i/>
        </w:rPr>
        <w:t>goals</w:t>
      </w:r>
      <w:r>
        <w:t xml:space="preserve"> of each approach are often radically </w:t>
      </w:r>
      <w:proofErr w:type="gramStart"/>
      <w:r>
        <w:t>different, and</w:t>
      </w:r>
      <w:proofErr w:type="gramEnd"/>
      <w:r>
        <w:t xml:space="preserve"> have led to considerable friction between scholars and disciplines over the years. Such friction is most often the result of researchers’ failure to appreciate that the goals of their respective fields are distinct; this often results in gross miscommunications over what, </w:t>
      </w:r>
      <w:r>
        <w:rPr>
          <w:i/>
        </w:rPr>
        <w:t>precisely</w:t>
      </w:r>
      <w:r>
        <w:t xml:space="preserve">, the </w:t>
      </w:r>
      <w:proofErr w:type="gramStart"/>
      <w:r>
        <w:t>phenomena</w:t>
      </w:r>
      <w:proofErr w:type="gramEnd"/>
      <w:r>
        <w:t xml:space="preserve"> of interest is that each scholar seeks to explain, and </w:t>
      </w:r>
      <w:r>
        <w:rPr>
          <w:i/>
        </w:rPr>
        <w:t>how</w:t>
      </w:r>
      <w:r>
        <w:t xml:space="preserve"> they seek to explain it, and </w:t>
      </w:r>
      <w:r>
        <w:rPr>
          <w:i/>
        </w:rPr>
        <w:t>why</w:t>
      </w:r>
      <w:r>
        <w:t xml:space="preserve"> they feel it is important.</w:t>
      </w:r>
    </w:p>
    <w:p w14:paraId="363E4416" w14:textId="77777777" w:rsidR="00D90722" w:rsidRDefault="00000000">
      <w:pPr>
        <w:spacing w:after="0" w:line="480" w:lineRule="auto"/>
      </w:pPr>
      <w:r>
        <w:t xml:space="preserve">To return to the opening of this section, we emphasize that, for our purposes, we are principally interested in characterizing and describing NLP research in the social sciences insofar as it is used to characterize and explain </w:t>
      </w:r>
      <w:r>
        <w:rPr>
          <w:i/>
        </w:rPr>
        <w:t>individual psychological processes</w:t>
      </w:r>
      <w:r>
        <w:t xml:space="preserve"> — that is, how an individual person thinks, feels, and behaves. This type of paradigm is not at odds with the study of </w:t>
      </w:r>
      <w:proofErr w:type="gramStart"/>
      <w:r>
        <w:t>discourse</w:t>
      </w:r>
      <w:proofErr w:type="gramEnd"/>
      <w:r>
        <w:t xml:space="preserve"> and, in truth, these fields often have considerable overlap in terms of their research training, statistical and empirical methods, and topics of study. However, to date, these </w:t>
      </w:r>
      <w:r>
        <w:lastRenderedPageBreak/>
        <w:t>disciplines often operate in separate spheres, talking past and failing to embrace key lessons from each other. As discussed in the body of the manuscript itself, it is our hope that a more unified framework for understanding verbal behavior, as well as the growing interdisciplinarity of NLP broadly defined, will help to provide a more unified and coherent appreciation across the many research disciplines who find themselves interested in the study of verbal behavior.</w:t>
      </w:r>
      <w:r>
        <w:br w:type="page"/>
      </w:r>
    </w:p>
    <w:p w14:paraId="0DC6DAF5" w14:textId="77777777" w:rsidR="00D90722" w:rsidRDefault="00000000">
      <w:pPr>
        <w:pStyle w:val="Heading1"/>
        <w:spacing w:after="0" w:line="480" w:lineRule="auto"/>
      </w:pPr>
      <w:bookmarkStart w:id="9" w:name="_atj7vbs3d02i" w:colFirst="0" w:colLast="0"/>
      <w:bookmarkEnd w:id="9"/>
      <w:r>
        <w:lastRenderedPageBreak/>
        <w:t>Supplementary Materials B:</w:t>
      </w:r>
      <w:r>
        <w:br/>
        <w:t>Words-as-Attention in Conversational Contexts</w:t>
      </w:r>
    </w:p>
    <w:p w14:paraId="20CAB01D" w14:textId="77777777" w:rsidR="00D90722" w:rsidRDefault="00000000">
      <w:pPr>
        <w:spacing w:after="0" w:line="480" w:lineRule="auto"/>
        <w:ind w:firstLine="0"/>
      </w:pPr>
      <w:r>
        <w:tab/>
        <w:t xml:space="preserve">A peculiar example of psychological research that rests between the paradigms of studying of </w:t>
      </w:r>
      <w:r>
        <w:rPr>
          <w:i/>
        </w:rPr>
        <w:t>individual psychology</w:t>
      </w:r>
      <w:r>
        <w:t xml:space="preserve"> and </w:t>
      </w:r>
      <w:r>
        <w:rPr>
          <w:i/>
        </w:rPr>
        <w:t>discourse</w:t>
      </w:r>
      <w:r>
        <w:t xml:space="preserve"> — the distinction between which is described above in Supplementary Materials A — is the use of the words-as-attention framework in conversations. The study of conversations is inherently difficult, and psychologists have long searched for ways to simplify this process, especially when attempting to leverage NLP methods to draw psychological inferences about the </w:t>
      </w:r>
      <w:r>
        <w:rPr>
          <w:i/>
        </w:rPr>
        <w:t>individuals</w:t>
      </w:r>
      <w:r>
        <w:t xml:space="preserve"> who are engaged in the conversation. Most research on common ground and conversational theory, for example, does not use natural language processing methods — rather, it involves human coding in most cases and, in others, it tends to use frameworks such as LIWC to score conversational texts at the individual </w:t>
      </w:r>
      <w:proofErr w:type="gramStart"/>
      <w:r>
        <w:t>level  by</w:t>
      </w:r>
      <w:proofErr w:type="gramEnd"/>
      <w:r>
        <w:t xml:space="preserve"> analyzing the language of each conversational partner individually, then calculating some joint metric of “distance” between the language of each person. By a wide margin, the most prevalent of such measures include both Language Style Matching (LSM) or Latent Semantic Similarity (LSS), both of which are attentional in nature (LSM is widely described as reflecting the degree to which two people are paying attention to </w:t>
      </w:r>
      <w:r>
        <w:rPr>
          <w:i/>
        </w:rPr>
        <w:t>each other</w:t>
      </w:r>
      <w:r>
        <w:t xml:space="preserve">, whereas LSS is widely described as reflecting the degree to which two people demonstrate mutual attention to the same </w:t>
      </w:r>
      <w:r>
        <w:rPr>
          <w:i/>
        </w:rPr>
        <w:t>information</w:t>
      </w:r>
      <w:r>
        <w:t>. For key examples, we refer readers to the following: (</w:t>
      </w:r>
      <w:proofErr w:type="spellStart"/>
      <w:r>
        <w:t>Brinberg</w:t>
      </w:r>
      <w:proofErr w:type="spellEnd"/>
      <w:r>
        <w:t xml:space="preserve"> &amp; Ram, 2021; Gonzales et al., 2010; Ireland et al., 2010; Ireland &amp; Henderson, 2014; Ta et al., 2017; Ta &amp; Ickes, 2020).</w:t>
      </w:r>
    </w:p>
    <w:p w14:paraId="1AD30A7A" w14:textId="77777777" w:rsidR="00D90722" w:rsidRDefault="00000000">
      <w:pPr>
        <w:spacing w:after="0" w:line="480" w:lineRule="auto"/>
      </w:pPr>
      <w:r>
        <w:t xml:space="preserve">There are several such studies that look at domains like reaching common ground by using either LSM or LSS over time (either across several conversations or by segmenting a single conversation into several segments, e.g., Babcock et al., 2013; Ireland &amp; Henderson, 2014), but these methods can still be understood as reflecting constructs that are rooted in </w:t>
      </w:r>
      <w:r>
        <w:lastRenderedPageBreak/>
        <w:t xml:space="preserve">attention by their very nature. </w:t>
      </w:r>
      <w:proofErr w:type="gramStart"/>
      <w:r>
        <w:t>Despite the fact that</w:t>
      </w:r>
      <w:proofErr w:type="gramEnd"/>
      <w:r>
        <w:t xml:space="preserve"> the construct of “common ground” is commonly thought of as being highly semantic in nature — that is, two or more people having a </w:t>
      </w:r>
      <w:r>
        <w:rPr>
          <w:i/>
        </w:rPr>
        <w:t>shared understanding</w:t>
      </w:r>
      <w:r>
        <w:t xml:space="preserve"> or </w:t>
      </w:r>
      <w:r>
        <w:rPr>
          <w:i/>
        </w:rPr>
        <w:t>reasoning</w:t>
      </w:r>
      <w:r>
        <w:t xml:space="preserve"> over some concept — in multiple disciplines, it is often described in rather strong attentional terms at its very foundation (see, e.g., Campbell, 2019; Clark, 1996; </w:t>
      </w:r>
      <w:proofErr w:type="spellStart"/>
      <w:r>
        <w:t>Siposova</w:t>
      </w:r>
      <w:proofErr w:type="spellEnd"/>
      <w:r>
        <w:t xml:space="preserve"> &amp; Carpenter, 2019).</w:t>
      </w:r>
    </w:p>
    <w:p w14:paraId="2D4597CE" w14:textId="77777777" w:rsidR="00D90722" w:rsidRDefault="00000000">
      <w:pPr>
        <w:spacing w:after="0" w:line="480" w:lineRule="auto"/>
      </w:pPr>
      <w:r>
        <w:t xml:space="preserve">However, to our knowledge and to the knowledge of other colleagues we have consulted with in this space, there are a few exceptions to this general trend, including the CASSIM method by </w:t>
      </w:r>
      <w:proofErr w:type="spellStart"/>
      <w:r>
        <w:t>Boghrati</w:t>
      </w:r>
      <w:proofErr w:type="spellEnd"/>
      <w:r>
        <w:t xml:space="preserve"> et al. (2018) as well as discourse-level work by Zhang et al. (2018), both of which extend beyond attention patterns and invoke accommodation, goals, etc. in their framing. In the more “pure” NLP fields, there is considerable work that is taking place in the space of “grounding” but, in cases that we are aware of, this research is principally focused on the issue of improving natural language processing methods from a machine learning perspective — that is, this work aims to go in precisely the opposite direction of what we are describing in our manuscript (improving AI’s performance on specific tasks, rather than integrating NLP with psychological and social theory).</w:t>
      </w:r>
    </w:p>
    <w:p w14:paraId="61DD7720" w14:textId="77777777" w:rsidR="00D90722" w:rsidRDefault="00000000">
      <w:pPr>
        <w:spacing w:after="0" w:line="480" w:lineRule="auto"/>
      </w:pPr>
      <w:r>
        <w:t xml:space="preserve">We believe that such theories and frameworks are highly relevant to the goal of moving the field forward. Notably, so far as we are aware, research that lays the groundwork for, and builds upon, these theories by and large do not currently leverage NLP methods </w:t>
      </w:r>
      <w:proofErr w:type="gramStart"/>
      <w:r>
        <w:t>in order to</w:t>
      </w:r>
      <w:proofErr w:type="gramEnd"/>
      <w:r>
        <w:t xml:space="preserve"> translate these theories into clear, computationally operationalized formulations. This is an opportunity for future scholarship, which we undoubtedly support.</w:t>
      </w:r>
    </w:p>
    <w:p w14:paraId="082FF6CC" w14:textId="77777777" w:rsidR="00D90722" w:rsidRDefault="00000000">
      <w:pPr>
        <w:pStyle w:val="Heading1"/>
        <w:spacing w:after="240" w:line="480" w:lineRule="auto"/>
      </w:pPr>
      <w:bookmarkStart w:id="10" w:name="_mwimzgj41n1k" w:colFirst="0" w:colLast="0"/>
      <w:bookmarkEnd w:id="10"/>
      <w:r>
        <w:br w:type="page"/>
      </w:r>
    </w:p>
    <w:p w14:paraId="331BA05D" w14:textId="77777777" w:rsidR="00D90722" w:rsidRDefault="00000000">
      <w:pPr>
        <w:pStyle w:val="Heading1"/>
        <w:spacing w:after="240" w:line="480" w:lineRule="auto"/>
      </w:pPr>
      <w:bookmarkStart w:id="11" w:name="_usdagjihsn4v" w:colFirst="0" w:colLast="0"/>
      <w:bookmarkEnd w:id="11"/>
      <w:r>
        <w:lastRenderedPageBreak/>
        <w:t>Supplementary Materials C:</w:t>
      </w:r>
      <w:r>
        <w:br/>
        <w:t>A Comment on Human Annotators as a “Gold Standard”</w:t>
      </w:r>
    </w:p>
    <w:p w14:paraId="45E3E8BA" w14:textId="77777777" w:rsidR="00D90722" w:rsidRDefault="00000000">
      <w:pPr>
        <w:spacing w:after="0" w:line="480" w:lineRule="auto"/>
      </w:pPr>
      <w:r>
        <w:t>In the majority of current NLP research, human annotations are typically treated as “ground truth” or “gold standard” labels for text data. However, it is well-established that human annotations can be deeply flawed due to numerous pernicious issues, including (but certainly not limited to) self-</w:t>
      </w:r>
      <w:proofErr w:type="gramStart"/>
      <w:r>
        <w:t>other</w:t>
      </w:r>
      <w:proofErr w:type="gramEnd"/>
      <w:r>
        <w:t xml:space="preserve"> knowledge asymmetry (</w:t>
      </w:r>
      <w:proofErr w:type="spellStart"/>
      <w:r>
        <w:t>Vazire</w:t>
      </w:r>
      <w:proofErr w:type="spellEnd"/>
      <w:r>
        <w:t xml:space="preserve">, 2010). Depending on the construct under study, annotators can often get things wrong in systematic ways — sometimes </w:t>
      </w:r>
      <w:r>
        <w:rPr>
          <w:i/>
        </w:rPr>
        <w:t>extremely</w:t>
      </w:r>
      <w:r>
        <w:t xml:space="preserve"> wrong. A recent example comes from computational linguistics work on affective labels that found disagreement between authors and annotators as high as 35% — that is, the emotions that human annotators believe a text reflects does not match what the author of </w:t>
      </w:r>
      <w:r>
        <w:rPr>
          <w:i/>
        </w:rPr>
        <w:t xml:space="preserve">the very same text </w:t>
      </w:r>
      <w:r>
        <w:t xml:space="preserve">self-reports, sometimes at alarming high rates (Troiano et al., 2019). Others have also written about ways in which human annotators can, at times, be problematic (see, e.g., </w:t>
      </w:r>
      <w:proofErr w:type="spellStart"/>
      <w:r>
        <w:t>Hovy</w:t>
      </w:r>
      <w:proofErr w:type="spellEnd"/>
      <w:r>
        <w:t xml:space="preserve"> &amp; </w:t>
      </w:r>
      <w:proofErr w:type="spellStart"/>
      <w:r>
        <w:t>Prabhumoye</w:t>
      </w:r>
      <w:proofErr w:type="spellEnd"/>
      <w:r>
        <w:t>, 2021), and we encourage readers to pursue research and scholarship on these topics independently.</w:t>
      </w:r>
    </w:p>
    <w:p w14:paraId="5363F259" w14:textId="77777777" w:rsidR="00D90722" w:rsidRDefault="00000000">
      <w:pPr>
        <w:spacing w:after="0" w:line="480" w:lineRule="auto"/>
      </w:pPr>
      <w:r>
        <w:t>What can we say, then, about what types of measures are “best” or the “most accurate” reflection of the psychological constructs that we seek to assess? Should human annotators be treated as the “gold standard” assessment against which verbal behavioral measures of psychology should be compared? Ultimately, across various psychological constructs, there is often no clear “perfect” measure when it comes to validity. Several studies/reviews that explore a given psychological construct (emotion, self-perception, etc.) from multiple angles tend to arrive at the same conclusion: that various research methods likely shine light on different aspects of a given construct, and no single measure is “</w:t>
      </w:r>
      <w:proofErr w:type="gramStart"/>
      <w:r>
        <w:t>more true</w:t>
      </w:r>
      <w:proofErr w:type="gramEnd"/>
      <w:r>
        <w:t xml:space="preserve">” than the others (see: Bosson et al., 2000; Boyd &amp; Pennebaker, 2017; Mauss &amp; Robinson, 2009). </w:t>
      </w:r>
    </w:p>
    <w:p w14:paraId="2972094B" w14:textId="06C7B779" w:rsidR="00D90722" w:rsidRDefault="00000000" w:rsidP="008C1776">
      <w:pPr>
        <w:spacing w:after="0" w:line="480" w:lineRule="auto"/>
      </w:pPr>
      <w:r>
        <w:lastRenderedPageBreak/>
        <w:t xml:space="preserve">In sum, such issues are not unique to NLP and verbal behavioral studies — we suggest that scholars and researchers interested in the study of the individual mind, mental life, and the human condition remain open-minded about questions of “ground truth” and “gold standard” measures. This is an empirical issue worth undertaking that will benefit the </w:t>
      </w:r>
      <w:proofErr w:type="gramStart"/>
      <w:r>
        <w:t>field as a whole</w:t>
      </w:r>
      <w:proofErr w:type="gramEnd"/>
      <w:r>
        <w:t>.</w:t>
      </w:r>
      <w:bookmarkStart w:id="12" w:name="_6bqz1b4ybjpf" w:colFirst="0" w:colLast="0"/>
      <w:bookmarkEnd w:id="12"/>
    </w:p>
    <w:sectPr w:rsidR="00D90722">
      <w:headerReference w:type="default" r:id="rId7"/>
      <w:headerReference w:type="first" r:id="rId8"/>
      <w:footerReference w:type="firs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3CE00" w14:textId="77777777" w:rsidR="003B6566" w:rsidRDefault="003B6566">
      <w:pPr>
        <w:spacing w:after="0"/>
      </w:pPr>
      <w:r>
        <w:separator/>
      </w:r>
    </w:p>
  </w:endnote>
  <w:endnote w:type="continuationSeparator" w:id="0">
    <w:p w14:paraId="1F1E6AF3" w14:textId="77777777" w:rsidR="003B6566" w:rsidRDefault="003B65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do">
    <w:charset w:val="00"/>
    <w:family w:val="auto"/>
    <w:pitch w:val="default"/>
  </w:font>
  <w:font w:name="Roboto">
    <w:charset w:val="00"/>
    <w:family w:val="auto"/>
    <w:pitch w:val="variable"/>
    <w:sig w:usb0="E0000AFF" w:usb1="5000217F" w:usb2="00000021" w:usb3="00000000" w:csb0="0000019F" w:csb1="00000000"/>
  </w:font>
  <w:font w:name="Nova Mono">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B6388" w14:textId="77777777" w:rsidR="00D90722" w:rsidRDefault="00D907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E9D76" w14:textId="77777777" w:rsidR="003B6566" w:rsidRDefault="003B6566">
      <w:pPr>
        <w:spacing w:after="0"/>
      </w:pPr>
      <w:r>
        <w:separator/>
      </w:r>
    </w:p>
  </w:footnote>
  <w:footnote w:type="continuationSeparator" w:id="0">
    <w:p w14:paraId="0711A8D5" w14:textId="77777777" w:rsidR="003B6566" w:rsidRDefault="003B65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C46B" w14:textId="77777777" w:rsidR="00D90722" w:rsidRDefault="00000000">
    <w:pPr>
      <w:ind w:firstLine="0"/>
    </w:pPr>
    <w:r>
      <w:t>VERBAL BEHAVIOR AND THE FUTURE OF SOCIAL SCIENCE</w:t>
    </w:r>
    <w:r>
      <w:tab/>
    </w:r>
    <w:r>
      <w:tab/>
    </w:r>
    <w:r>
      <w:tab/>
      <w:t xml:space="preserve">       </w:t>
    </w:r>
    <w:r>
      <w:fldChar w:fldCharType="begin"/>
    </w:r>
    <w:r>
      <w:instrText>PAGE</w:instrText>
    </w:r>
    <w:r>
      <w:fldChar w:fldCharType="separate"/>
    </w:r>
    <w:r w:rsidR="008C1776">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D8EF3" w14:textId="77777777" w:rsidR="00D90722" w:rsidRDefault="00D90722">
    <w:pP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722"/>
    <w:rsid w:val="003B6566"/>
    <w:rsid w:val="008C1776"/>
    <w:rsid w:val="00D90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A454"/>
  <w15:docId w15:val="{9CF1BBD7-6567-4BC1-B38D-8D206809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GB" w:bidi="ar-SA"/>
      </w:rPr>
    </w:rPrDefault>
    <w:pPrDefault>
      <w:pPr>
        <w:spacing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ind w:firstLine="0"/>
      <w:jc w:val="center"/>
      <w:outlineLvl w:val="0"/>
    </w:pPr>
    <w:rPr>
      <w:b/>
    </w:rPr>
  </w:style>
  <w:style w:type="paragraph" w:styleId="Heading2">
    <w:name w:val="heading 2"/>
    <w:basedOn w:val="Normal"/>
    <w:next w:val="Normal"/>
    <w:uiPriority w:val="9"/>
    <w:unhideWhenUsed/>
    <w:qFormat/>
    <w:pPr>
      <w:keepNext/>
      <w:keepLines/>
      <w:ind w:firstLine="0"/>
      <w:outlineLvl w:val="1"/>
    </w:pPr>
    <w:rPr>
      <w:b/>
    </w:rPr>
  </w:style>
  <w:style w:type="paragraph" w:styleId="Heading3">
    <w:name w:val="heading 3"/>
    <w:basedOn w:val="Normal"/>
    <w:next w:val="Normal"/>
    <w:uiPriority w:val="9"/>
    <w:semiHidden/>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b/>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2681</Words>
  <Characters>15286</Characters>
  <Application>Microsoft Office Word</Application>
  <DocSecurity>0</DocSecurity>
  <Lines>127</Lines>
  <Paragraphs>35</Paragraphs>
  <ScaleCrop>false</ScaleCrop>
  <Company/>
  <LinksUpToDate>false</LinksUpToDate>
  <CharactersWithSpaces>17932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Ryan Boyd</cp:lastModifiedBy>
  <cp:revision>2</cp:revision>
  <dcterms:created xsi:type="dcterms:W3CDTF">2024-01-12T15:32:00Z</dcterms:created>
  <dcterms:modified xsi:type="dcterms:W3CDTF">2024-01-12T15:42:00Z</dcterms:modified>
</cp:coreProperties>
</file>