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7A722" w14:textId="5F41AAB7" w:rsidR="00E21D9C" w:rsidRPr="00E21D9C" w:rsidRDefault="00E21D9C" w:rsidP="00E21D9C">
      <w:pPr>
        <w:jc w:val="center"/>
        <w:rPr>
          <w:rFonts w:ascii="Times New Roman" w:hAnsi="Times New Roman" w:cs="Times New Roman"/>
          <w:b/>
          <w:bCs/>
        </w:rPr>
      </w:pPr>
      <w:r w:rsidRPr="00E21D9C">
        <w:rPr>
          <w:rFonts w:ascii="Times New Roman" w:hAnsi="Times New Roman" w:cs="Times New Roman"/>
          <w:b/>
          <w:bCs/>
        </w:rPr>
        <w:t>Supplemental Materials</w:t>
      </w:r>
    </w:p>
    <w:p w14:paraId="52B8ABFF" w14:textId="77777777" w:rsidR="00E21D9C" w:rsidRDefault="00E21D9C" w:rsidP="00E21D9C">
      <w:pPr>
        <w:rPr>
          <w:rFonts w:ascii="Times New Roman" w:hAnsi="Times New Roman" w:cs="Times New Roman"/>
          <w:u w:val="single"/>
        </w:rPr>
      </w:pPr>
    </w:p>
    <w:p w14:paraId="481EF2E9" w14:textId="4B8BF166" w:rsidR="00E21D9C" w:rsidRPr="00E21D9C" w:rsidRDefault="00E21D9C" w:rsidP="00E21D9C">
      <w:pPr>
        <w:jc w:val="center"/>
        <w:rPr>
          <w:rFonts w:ascii="Times New Roman" w:hAnsi="Times New Roman" w:cs="Times New Roman"/>
        </w:rPr>
      </w:pPr>
      <w:r w:rsidRPr="00E21D9C">
        <w:rPr>
          <w:rFonts w:ascii="Times New Roman" w:hAnsi="Times New Roman" w:cs="Times New Roman"/>
        </w:rPr>
        <w:t>Additional Examples of Citation Coding Procedures Taken from Target Articles</w:t>
      </w:r>
    </w:p>
    <w:p w14:paraId="6659AF61" w14:textId="77777777" w:rsidR="00E21D9C" w:rsidRPr="0069144A" w:rsidRDefault="00E21D9C" w:rsidP="00E21D9C">
      <w:pPr>
        <w:rPr>
          <w:rFonts w:ascii="Times New Roman" w:hAnsi="Times New Roman" w:cs="Times New Roman"/>
        </w:rPr>
      </w:pPr>
    </w:p>
    <w:p w14:paraId="19AA1B2B" w14:textId="3D4BE7A9" w:rsidR="00E21D9C" w:rsidRPr="0069144A" w:rsidRDefault="00C10263" w:rsidP="00E21D9C">
      <w:pPr>
        <w:jc w:val="center"/>
        <w:rPr>
          <w:rFonts w:ascii="Times New Roman" w:hAnsi="Times New Roman" w:cs="Times New Roman"/>
          <w:b/>
          <w:bCs/>
          <w:i/>
          <w:iCs/>
        </w:rPr>
      </w:pPr>
      <w:r>
        <w:rPr>
          <w:rFonts w:ascii="Times New Roman" w:hAnsi="Times New Roman" w:cs="Times New Roman"/>
          <w:b/>
          <w:bCs/>
          <w:i/>
          <w:iCs/>
        </w:rPr>
        <w:t>Accurate</w:t>
      </w:r>
    </w:p>
    <w:tbl>
      <w:tblPr>
        <w:tblStyle w:val="TableGrid"/>
        <w:tblW w:w="10170" w:type="dxa"/>
        <w:tblInd w:w="-365" w:type="dxa"/>
        <w:tblLook w:val="04A0" w:firstRow="1" w:lastRow="0" w:firstColumn="1" w:lastColumn="0" w:noHBand="0" w:noVBand="1"/>
      </w:tblPr>
      <w:tblGrid>
        <w:gridCol w:w="10170"/>
      </w:tblGrid>
      <w:tr w:rsidR="00E21D9C" w:rsidRPr="0069144A" w14:paraId="2E064675" w14:textId="77777777" w:rsidTr="006010D0">
        <w:trPr>
          <w:trHeight w:val="323"/>
        </w:trPr>
        <w:tc>
          <w:tcPr>
            <w:tcW w:w="10170" w:type="dxa"/>
          </w:tcPr>
          <w:p w14:paraId="2DE10EEC" w14:textId="63B27792" w:rsidR="00E21D9C" w:rsidRPr="0069144A" w:rsidRDefault="00E21D9C" w:rsidP="006010D0">
            <w:pPr>
              <w:rPr>
                <w:rFonts w:ascii="Times New Roman" w:hAnsi="Times New Roman" w:cs="Times New Roman"/>
              </w:rPr>
            </w:pPr>
            <w:r w:rsidRPr="0069144A">
              <w:rPr>
                <w:rFonts w:ascii="Times New Roman" w:hAnsi="Times New Roman" w:cs="Times New Roman"/>
              </w:rPr>
              <w:t xml:space="preserve">Example 1: </w:t>
            </w:r>
          </w:p>
        </w:tc>
      </w:tr>
      <w:tr w:rsidR="00E21D9C" w:rsidRPr="0069144A" w14:paraId="060D3824" w14:textId="77777777" w:rsidTr="006010D0">
        <w:trPr>
          <w:trHeight w:val="334"/>
        </w:trPr>
        <w:tc>
          <w:tcPr>
            <w:tcW w:w="10170" w:type="dxa"/>
          </w:tcPr>
          <w:p w14:paraId="41C9BE5C" w14:textId="77777777" w:rsidR="00E21D9C" w:rsidRPr="0069144A" w:rsidRDefault="00E21D9C" w:rsidP="006010D0">
            <w:pPr>
              <w:rPr>
                <w:rFonts w:ascii="Times New Roman" w:hAnsi="Times New Roman" w:cs="Times New Roman"/>
              </w:rPr>
            </w:pPr>
            <w:r w:rsidRPr="0069144A">
              <w:rPr>
                <w:rFonts w:ascii="Times New Roman" w:hAnsi="Times New Roman" w:cs="Times New Roman"/>
              </w:rPr>
              <w:t xml:space="preserve">Claim: </w:t>
            </w:r>
          </w:p>
          <w:p w14:paraId="7398B0AD" w14:textId="77777777" w:rsidR="00E21D9C" w:rsidRPr="0069144A" w:rsidRDefault="00E21D9C" w:rsidP="006010D0">
            <w:pPr>
              <w:rPr>
                <w:rFonts w:ascii="Times New Roman" w:hAnsi="Times New Roman" w:cs="Times New Roman"/>
              </w:rPr>
            </w:pPr>
          </w:p>
          <w:p w14:paraId="43BED435" w14:textId="77777777" w:rsidR="00E21D9C" w:rsidRPr="0069144A" w:rsidRDefault="00E21D9C" w:rsidP="006010D0">
            <w:pPr>
              <w:rPr>
                <w:rFonts w:ascii="Times New Roman" w:hAnsi="Times New Roman" w:cs="Times New Roman"/>
                <w:color w:val="000000"/>
              </w:rPr>
            </w:pPr>
            <w:r w:rsidRPr="0069144A">
              <w:rPr>
                <w:rFonts w:ascii="Times New Roman" w:hAnsi="Times New Roman" w:cs="Times New Roman"/>
                <w:color w:val="000000"/>
              </w:rPr>
              <w:t>Munley (1974) published an early content analysis of JCP. He coded articles published over 19 years (1954–1972) into 17 content areas. The most prominent content area he observed was research on counseling process and counseling outcome, which together made up 25% of the publications: outcome research accounted for 15%, process research accounted for 9%, and combined process and outcome research accounted for 1%. This category was followed by research on vocational behavior (18% of publications) and research on the development and validation of measures (17% of the publications).</w:t>
            </w:r>
          </w:p>
          <w:p w14:paraId="0ADFDCBC" w14:textId="77777777" w:rsidR="00E21D9C" w:rsidRPr="0069144A" w:rsidRDefault="00E21D9C" w:rsidP="006010D0">
            <w:pPr>
              <w:rPr>
                <w:rFonts w:ascii="Times New Roman" w:hAnsi="Times New Roman" w:cs="Times New Roman"/>
              </w:rPr>
            </w:pPr>
          </w:p>
          <w:p w14:paraId="4923C5DA" w14:textId="77777777" w:rsidR="00E21D9C" w:rsidRPr="0069144A" w:rsidRDefault="00E21D9C" w:rsidP="006010D0">
            <w:pPr>
              <w:rPr>
                <w:rFonts w:ascii="Times New Roman" w:hAnsi="Times New Roman" w:cs="Times New Roman"/>
              </w:rPr>
            </w:pPr>
            <w:r w:rsidRPr="0069144A">
              <w:rPr>
                <w:rFonts w:ascii="Times New Roman" w:hAnsi="Times New Roman" w:cs="Times New Roman"/>
              </w:rPr>
              <w:t xml:space="preserve">Support: </w:t>
            </w:r>
          </w:p>
          <w:p w14:paraId="7C6A26D1" w14:textId="77777777" w:rsidR="00E21D9C" w:rsidRPr="0069144A" w:rsidRDefault="00E21D9C" w:rsidP="006010D0">
            <w:pPr>
              <w:rPr>
                <w:rFonts w:ascii="Times New Roman" w:hAnsi="Times New Roman" w:cs="Times New Roman"/>
              </w:rPr>
            </w:pPr>
          </w:p>
          <w:p w14:paraId="0F600BFA" w14:textId="77777777" w:rsidR="00E21D9C" w:rsidRPr="0069144A" w:rsidRDefault="00E21D9C" w:rsidP="006010D0">
            <w:pPr>
              <w:rPr>
                <w:rFonts w:ascii="Times New Roman" w:hAnsi="Times New Roman" w:cs="Times New Roman"/>
                <w:color w:val="000000"/>
              </w:rPr>
            </w:pPr>
            <w:r w:rsidRPr="0069144A">
              <w:rPr>
                <w:rFonts w:ascii="Times New Roman" w:hAnsi="Times New Roman" w:cs="Times New Roman"/>
                <w:color w:val="000000"/>
              </w:rPr>
              <w:t>Classified articles and brief reports appearing in the 1st 19 volumes of the Journal of Counseling Psychology into 17 content categories and recorded certain methodological features from each research article</w:t>
            </w:r>
            <w:proofErr w:type="gramStart"/>
            <w:r w:rsidRPr="0069144A">
              <w:rPr>
                <w:rFonts w:ascii="Times New Roman" w:hAnsi="Times New Roman" w:cs="Times New Roman"/>
                <w:color w:val="000000"/>
              </w:rPr>
              <w:t>.;  Considering</w:t>
            </w:r>
            <w:proofErr w:type="gramEnd"/>
            <w:r w:rsidRPr="0069144A">
              <w:rPr>
                <w:rFonts w:ascii="Times New Roman" w:hAnsi="Times New Roman" w:cs="Times New Roman"/>
                <w:color w:val="000000"/>
              </w:rPr>
              <w:t xml:space="preserve"> related content categories together, counseling outcome and process research account for the largest percentage of empirical research published (25%) , with outcome research leading process research (15% versus 9%).  Qnly a small of the research reviewed studied outcome - and process variables together (1%). Research on vocational behavior and research on tests and measurements account for the second and third largest percentages, 18% and 17%, respectively. </w:t>
            </w:r>
          </w:p>
          <w:p w14:paraId="72B82699" w14:textId="77777777" w:rsidR="00E21D9C" w:rsidRPr="0069144A" w:rsidRDefault="00E21D9C" w:rsidP="006010D0">
            <w:pPr>
              <w:rPr>
                <w:rFonts w:ascii="Times New Roman" w:hAnsi="Times New Roman" w:cs="Times New Roman"/>
              </w:rPr>
            </w:pPr>
          </w:p>
          <w:p w14:paraId="1DAD9EF0" w14:textId="77777777" w:rsidR="00E21D9C" w:rsidRPr="0069144A" w:rsidRDefault="00E21D9C" w:rsidP="006010D0">
            <w:pPr>
              <w:rPr>
                <w:rFonts w:ascii="Times New Roman" w:hAnsi="Times New Roman" w:cs="Times New Roman"/>
              </w:rPr>
            </w:pPr>
            <w:r w:rsidRPr="0069144A">
              <w:rPr>
                <w:rFonts w:ascii="Times New Roman" w:hAnsi="Times New Roman" w:cs="Times New Roman"/>
              </w:rPr>
              <w:t>Code: 0</w:t>
            </w:r>
          </w:p>
          <w:p w14:paraId="28B731A2" w14:textId="77777777" w:rsidR="00E21D9C" w:rsidRPr="0069144A" w:rsidRDefault="00E21D9C" w:rsidP="006010D0">
            <w:pPr>
              <w:rPr>
                <w:rFonts w:ascii="Times New Roman" w:hAnsi="Times New Roman" w:cs="Times New Roman"/>
              </w:rPr>
            </w:pPr>
          </w:p>
          <w:p w14:paraId="16F7E287" w14:textId="77777777" w:rsidR="00E21D9C" w:rsidRPr="0069144A" w:rsidRDefault="00E21D9C" w:rsidP="006010D0">
            <w:pPr>
              <w:rPr>
                <w:rFonts w:ascii="Times New Roman" w:hAnsi="Times New Roman" w:cs="Times New Roman"/>
              </w:rPr>
            </w:pPr>
            <w:r w:rsidRPr="0069144A">
              <w:rPr>
                <w:rFonts w:ascii="Times New Roman" w:hAnsi="Times New Roman" w:cs="Times New Roman"/>
              </w:rPr>
              <w:t xml:space="preserve">Rationale: The cited findings in the target article correspond directly and precisely to the findings of the original article. </w:t>
            </w:r>
          </w:p>
          <w:p w14:paraId="3EBA243E" w14:textId="77777777" w:rsidR="00E21D9C" w:rsidRPr="0069144A" w:rsidRDefault="00E21D9C" w:rsidP="006010D0">
            <w:pPr>
              <w:rPr>
                <w:rFonts w:ascii="Times New Roman" w:hAnsi="Times New Roman" w:cs="Times New Roman"/>
              </w:rPr>
            </w:pPr>
          </w:p>
        </w:tc>
      </w:tr>
    </w:tbl>
    <w:p w14:paraId="442F79D8" w14:textId="77777777" w:rsidR="00E21D9C" w:rsidRPr="0069144A" w:rsidRDefault="00E21D9C" w:rsidP="00E21D9C">
      <w:pPr>
        <w:rPr>
          <w:rFonts w:ascii="Times New Roman" w:hAnsi="Times New Roman" w:cs="Times New Roman"/>
          <w:b/>
          <w:bCs/>
          <w:i/>
          <w:iCs/>
        </w:rPr>
      </w:pPr>
    </w:p>
    <w:p w14:paraId="6C623938" w14:textId="30ECA5A6" w:rsidR="00E21D9C" w:rsidRPr="0069144A" w:rsidRDefault="00C10263" w:rsidP="00E21D9C">
      <w:pPr>
        <w:jc w:val="center"/>
        <w:rPr>
          <w:rFonts w:ascii="Times New Roman" w:hAnsi="Times New Roman" w:cs="Times New Roman"/>
          <w:b/>
          <w:bCs/>
          <w:i/>
          <w:iCs/>
        </w:rPr>
      </w:pPr>
      <w:r>
        <w:rPr>
          <w:rFonts w:ascii="Times New Roman" w:hAnsi="Times New Roman" w:cs="Times New Roman"/>
          <w:b/>
          <w:bCs/>
          <w:i/>
          <w:iCs/>
        </w:rPr>
        <w:t>Somewhat Accurate</w:t>
      </w:r>
    </w:p>
    <w:tbl>
      <w:tblPr>
        <w:tblStyle w:val="TableGrid"/>
        <w:tblW w:w="10170" w:type="dxa"/>
        <w:tblInd w:w="-365" w:type="dxa"/>
        <w:tblLook w:val="04A0" w:firstRow="1" w:lastRow="0" w:firstColumn="1" w:lastColumn="0" w:noHBand="0" w:noVBand="1"/>
      </w:tblPr>
      <w:tblGrid>
        <w:gridCol w:w="10170"/>
      </w:tblGrid>
      <w:tr w:rsidR="00E21D9C" w:rsidRPr="0069144A" w14:paraId="410A3798" w14:textId="77777777" w:rsidTr="006010D0">
        <w:trPr>
          <w:trHeight w:val="288"/>
        </w:trPr>
        <w:tc>
          <w:tcPr>
            <w:tcW w:w="10170" w:type="dxa"/>
          </w:tcPr>
          <w:p w14:paraId="0F3A0CD0" w14:textId="5891E4C8" w:rsidR="00E21D9C" w:rsidRPr="0069144A" w:rsidRDefault="00E21D9C" w:rsidP="006010D0">
            <w:pPr>
              <w:rPr>
                <w:rFonts w:ascii="Times New Roman" w:hAnsi="Times New Roman" w:cs="Times New Roman"/>
              </w:rPr>
            </w:pPr>
            <w:r w:rsidRPr="0069144A">
              <w:rPr>
                <w:rFonts w:ascii="Times New Roman" w:hAnsi="Times New Roman" w:cs="Times New Roman"/>
              </w:rPr>
              <w:t>Example 1: JCCP</w:t>
            </w:r>
          </w:p>
        </w:tc>
      </w:tr>
      <w:tr w:rsidR="00E21D9C" w:rsidRPr="0069144A" w14:paraId="3AB2AF66" w14:textId="77777777" w:rsidTr="006010D0">
        <w:trPr>
          <w:trHeight w:val="288"/>
        </w:trPr>
        <w:tc>
          <w:tcPr>
            <w:tcW w:w="10170" w:type="dxa"/>
          </w:tcPr>
          <w:p w14:paraId="40038641" w14:textId="77777777" w:rsidR="00E21D9C" w:rsidRPr="0069144A" w:rsidRDefault="00E21D9C" w:rsidP="006010D0">
            <w:pPr>
              <w:rPr>
                <w:rFonts w:ascii="Times New Roman" w:hAnsi="Times New Roman" w:cs="Times New Roman"/>
              </w:rPr>
            </w:pPr>
            <w:r w:rsidRPr="0069144A">
              <w:rPr>
                <w:rFonts w:ascii="Times New Roman" w:hAnsi="Times New Roman" w:cs="Times New Roman"/>
              </w:rPr>
              <w:t xml:space="preserve">Claim: </w:t>
            </w:r>
          </w:p>
          <w:p w14:paraId="624242C1" w14:textId="77777777" w:rsidR="00E21D9C" w:rsidRPr="0069144A" w:rsidRDefault="00E21D9C" w:rsidP="006010D0">
            <w:pPr>
              <w:rPr>
                <w:rFonts w:ascii="Times New Roman" w:hAnsi="Times New Roman" w:cs="Times New Roman"/>
              </w:rPr>
            </w:pPr>
          </w:p>
          <w:p w14:paraId="2307C978" w14:textId="77777777" w:rsidR="00E21D9C" w:rsidRPr="0069144A" w:rsidRDefault="00E21D9C" w:rsidP="006010D0">
            <w:pPr>
              <w:rPr>
                <w:rFonts w:ascii="Times New Roman" w:hAnsi="Times New Roman" w:cs="Times New Roman"/>
              </w:rPr>
            </w:pPr>
            <w:r w:rsidRPr="0069144A">
              <w:rPr>
                <w:rFonts w:ascii="Times New Roman" w:hAnsi="Times New Roman" w:cs="Times New Roman"/>
              </w:rPr>
              <w:t>“TJA is also a risk factor for the development of chronic opioid use”</w:t>
            </w:r>
          </w:p>
          <w:p w14:paraId="7CC8D4E2" w14:textId="77777777" w:rsidR="00E21D9C" w:rsidRPr="0069144A" w:rsidRDefault="00E21D9C" w:rsidP="006010D0">
            <w:pPr>
              <w:rPr>
                <w:rFonts w:ascii="Times New Roman" w:hAnsi="Times New Roman" w:cs="Times New Roman"/>
              </w:rPr>
            </w:pPr>
          </w:p>
          <w:p w14:paraId="3F9BEF91" w14:textId="77777777" w:rsidR="00E21D9C" w:rsidRPr="0069144A" w:rsidRDefault="00E21D9C" w:rsidP="006010D0">
            <w:pPr>
              <w:rPr>
                <w:rFonts w:ascii="Times New Roman" w:hAnsi="Times New Roman" w:cs="Times New Roman"/>
              </w:rPr>
            </w:pPr>
            <w:r w:rsidRPr="0069144A">
              <w:rPr>
                <w:rFonts w:ascii="Times New Roman" w:hAnsi="Times New Roman" w:cs="Times New Roman"/>
              </w:rPr>
              <w:t xml:space="preserve">Support: </w:t>
            </w:r>
          </w:p>
          <w:p w14:paraId="5C42651E" w14:textId="77777777" w:rsidR="00E21D9C" w:rsidRPr="0069144A" w:rsidRDefault="00E21D9C" w:rsidP="006010D0">
            <w:pPr>
              <w:rPr>
                <w:rFonts w:ascii="Times New Roman" w:hAnsi="Times New Roman" w:cs="Times New Roman"/>
              </w:rPr>
            </w:pPr>
          </w:p>
          <w:p w14:paraId="7A2E08C3" w14:textId="77777777" w:rsidR="00E21D9C" w:rsidRPr="0069144A" w:rsidRDefault="00E21D9C" w:rsidP="006010D0">
            <w:pPr>
              <w:rPr>
                <w:rFonts w:ascii="Times New Roman" w:hAnsi="Times New Roman" w:cs="Times New Roman"/>
              </w:rPr>
            </w:pPr>
            <w:r w:rsidRPr="0069144A">
              <w:rPr>
                <w:rFonts w:ascii="Times New Roman" w:hAnsi="Times New Roman" w:cs="Times New Roman"/>
              </w:rPr>
              <w:t>“This study evaluated perioperative opioid use patterns in patients who underwent TKA from 2007 to 2013. Although prescription narcotic use tended to diminish by 6 months after surgery, over one-third of patients who used opioids preoperatively continued to use them chronically after 6 months. In contrast, a minor fraction of patients who were opioid-naïve before surgery continued opioid use chronically.”</w:t>
            </w:r>
          </w:p>
          <w:p w14:paraId="53130B03" w14:textId="77777777" w:rsidR="00E21D9C" w:rsidRPr="0069144A" w:rsidRDefault="00E21D9C" w:rsidP="006010D0">
            <w:pPr>
              <w:rPr>
                <w:rFonts w:ascii="Times New Roman" w:hAnsi="Times New Roman" w:cs="Times New Roman"/>
              </w:rPr>
            </w:pPr>
          </w:p>
          <w:p w14:paraId="1C9A5AC4" w14:textId="77777777" w:rsidR="00E21D9C" w:rsidRPr="0069144A" w:rsidRDefault="00E21D9C" w:rsidP="006010D0">
            <w:pPr>
              <w:rPr>
                <w:rFonts w:ascii="Times New Roman" w:hAnsi="Times New Roman" w:cs="Times New Roman"/>
              </w:rPr>
            </w:pPr>
            <w:r w:rsidRPr="0069144A">
              <w:rPr>
                <w:rFonts w:ascii="Times New Roman" w:hAnsi="Times New Roman" w:cs="Times New Roman"/>
              </w:rPr>
              <w:t>Code: 1</w:t>
            </w:r>
          </w:p>
          <w:p w14:paraId="6898E186" w14:textId="77777777" w:rsidR="00E21D9C" w:rsidRPr="0069144A" w:rsidRDefault="00E21D9C" w:rsidP="006010D0">
            <w:pPr>
              <w:rPr>
                <w:rFonts w:ascii="Times New Roman" w:hAnsi="Times New Roman" w:cs="Times New Roman"/>
              </w:rPr>
            </w:pPr>
          </w:p>
          <w:p w14:paraId="4C10C718" w14:textId="3F573739" w:rsidR="00E21D9C" w:rsidRPr="0069144A" w:rsidRDefault="00E21D9C" w:rsidP="006010D0">
            <w:pPr>
              <w:rPr>
                <w:rFonts w:ascii="Times New Roman" w:hAnsi="Times New Roman" w:cs="Times New Roman"/>
              </w:rPr>
            </w:pPr>
            <w:r w:rsidRPr="0069144A">
              <w:rPr>
                <w:rFonts w:ascii="Times New Roman" w:hAnsi="Times New Roman" w:cs="Times New Roman"/>
              </w:rPr>
              <w:t xml:space="preserve">Rationale: Missing qualifier that </w:t>
            </w:r>
            <w:r w:rsidR="00C10263">
              <w:rPr>
                <w:rFonts w:ascii="Times New Roman" w:hAnsi="Times New Roman" w:cs="Times New Roman"/>
              </w:rPr>
              <w:t>the risk factor for chronic opioid use, rather than for TJA specifically, was for</w:t>
            </w:r>
            <w:r w:rsidRPr="0069144A">
              <w:rPr>
                <w:rFonts w:ascii="Times New Roman" w:hAnsi="Times New Roman" w:cs="Times New Roman"/>
              </w:rPr>
              <w:t xml:space="preserve"> people who were a</w:t>
            </w:r>
            <w:r w:rsidR="00C10263">
              <w:rPr>
                <w:rFonts w:ascii="Times New Roman" w:hAnsi="Times New Roman" w:cs="Times New Roman"/>
              </w:rPr>
              <w:t>lready using them</w:t>
            </w:r>
            <w:r w:rsidRPr="0069144A">
              <w:rPr>
                <w:rFonts w:ascii="Times New Roman" w:hAnsi="Times New Roman" w:cs="Times New Roman"/>
              </w:rPr>
              <w:t xml:space="preserve"> preoperatively</w:t>
            </w:r>
            <w:r w:rsidR="00C10263">
              <w:rPr>
                <w:rFonts w:ascii="Times New Roman" w:hAnsi="Times New Roman" w:cs="Times New Roman"/>
              </w:rPr>
              <w:t>.</w:t>
            </w:r>
          </w:p>
        </w:tc>
      </w:tr>
    </w:tbl>
    <w:p w14:paraId="73FFA110" w14:textId="77777777" w:rsidR="00E21D9C" w:rsidRPr="0069144A" w:rsidRDefault="00E21D9C" w:rsidP="00E21D9C">
      <w:pPr>
        <w:rPr>
          <w:rFonts w:ascii="Times New Roman" w:hAnsi="Times New Roman" w:cs="Times New Roman"/>
        </w:rPr>
      </w:pPr>
    </w:p>
    <w:p w14:paraId="30D2C7D1" w14:textId="77777777" w:rsidR="00E21D9C" w:rsidRPr="0069144A" w:rsidRDefault="00E21D9C" w:rsidP="00E21D9C">
      <w:pPr>
        <w:jc w:val="center"/>
        <w:rPr>
          <w:rFonts w:ascii="Times New Roman" w:hAnsi="Times New Roman" w:cs="Times New Roman"/>
          <w:b/>
          <w:bCs/>
          <w:i/>
          <w:iCs/>
        </w:rPr>
      </w:pPr>
    </w:p>
    <w:p w14:paraId="21487113" w14:textId="3891971A" w:rsidR="00E21D9C" w:rsidRPr="0069144A" w:rsidRDefault="00C128DB" w:rsidP="00E21D9C">
      <w:pPr>
        <w:jc w:val="center"/>
        <w:rPr>
          <w:rFonts w:ascii="Times New Roman" w:hAnsi="Times New Roman" w:cs="Times New Roman"/>
          <w:b/>
          <w:bCs/>
          <w:i/>
          <w:iCs/>
        </w:rPr>
      </w:pPr>
      <w:r>
        <w:rPr>
          <w:rFonts w:ascii="Times New Roman" w:hAnsi="Times New Roman" w:cs="Times New Roman"/>
          <w:b/>
          <w:bCs/>
          <w:i/>
          <w:iCs/>
        </w:rPr>
        <w:t>Inaccurate</w:t>
      </w:r>
    </w:p>
    <w:tbl>
      <w:tblPr>
        <w:tblStyle w:val="TableGrid"/>
        <w:tblW w:w="10170" w:type="dxa"/>
        <w:tblInd w:w="-365" w:type="dxa"/>
        <w:tblLook w:val="04A0" w:firstRow="1" w:lastRow="0" w:firstColumn="1" w:lastColumn="0" w:noHBand="0" w:noVBand="1"/>
      </w:tblPr>
      <w:tblGrid>
        <w:gridCol w:w="10170"/>
      </w:tblGrid>
      <w:tr w:rsidR="00E21D9C" w:rsidRPr="0069144A" w14:paraId="2ABD1113" w14:textId="77777777" w:rsidTr="006010D0">
        <w:trPr>
          <w:trHeight w:val="288"/>
        </w:trPr>
        <w:tc>
          <w:tcPr>
            <w:tcW w:w="10170" w:type="dxa"/>
          </w:tcPr>
          <w:p w14:paraId="732698B3" w14:textId="03D85BE3" w:rsidR="00E21D9C" w:rsidRPr="0069144A" w:rsidRDefault="00E21D9C" w:rsidP="006010D0">
            <w:pPr>
              <w:rPr>
                <w:rFonts w:ascii="Times New Roman" w:hAnsi="Times New Roman" w:cs="Times New Roman"/>
              </w:rPr>
            </w:pPr>
            <w:r w:rsidRPr="0069144A">
              <w:rPr>
                <w:rFonts w:ascii="Times New Roman" w:hAnsi="Times New Roman" w:cs="Times New Roman"/>
              </w:rPr>
              <w:t>Example 1: JCP Article 2</w:t>
            </w:r>
          </w:p>
        </w:tc>
      </w:tr>
      <w:tr w:rsidR="00E21D9C" w:rsidRPr="0069144A" w14:paraId="5D1FE6D5" w14:textId="77777777" w:rsidTr="006010D0">
        <w:trPr>
          <w:trHeight w:val="288"/>
        </w:trPr>
        <w:tc>
          <w:tcPr>
            <w:tcW w:w="10170" w:type="dxa"/>
          </w:tcPr>
          <w:p w14:paraId="3244DE18" w14:textId="77777777" w:rsidR="00E21D9C" w:rsidRPr="0069144A" w:rsidRDefault="00E21D9C" w:rsidP="006010D0">
            <w:pPr>
              <w:rPr>
                <w:rFonts w:ascii="Times New Roman" w:hAnsi="Times New Roman" w:cs="Times New Roman"/>
              </w:rPr>
            </w:pPr>
            <w:r w:rsidRPr="0069144A">
              <w:rPr>
                <w:rFonts w:ascii="Times New Roman" w:hAnsi="Times New Roman" w:cs="Times New Roman"/>
              </w:rPr>
              <w:t xml:space="preserve">Claim: </w:t>
            </w:r>
          </w:p>
          <w:p w14:paraId="1709108B" w14:textId="77777777" w:rsidR="00E21D9C" w:rsidRPr="0069144A" w:rsidRDefault="00E21D9C" w:rsidP="006010D0">
            <w:pPr>
              <w:rPr>
                <w:rFonts w:ascii="Times New Roman" w:hAnsi="Times New Roman" w:cs="Times New Roman"/>
              </w:rPr>
            </w:pPr>
          </w:p>
          <w:p w14:paraId="51CC6575" w14:textId="0B9AC559" w:rsidR="00E21D9C" w:rsidRPr="0069144A" w:rsidRDefault="00E21D9C" w:rsidP="006010D0">
            <w:pPr>
              <w:rPr>
                <w:rFonts w:ascii="Times New Roman" w:hAnsi="Times New Roman" w:cs="Times New Roman"/>
              </w:rPr>
            </w:pPr>
            <w:r w:rsidRPr="0069144A">
              <w:rPr>
                <w:rFonts w:ascii="Times New Roman" w:hAnsi="Times New Roman" w:cs="Times New Roman"/>
              </w:rPr>
              <w:t>“</w:t>
            </w:r>
            <w:r w:rsidR="009359FE">
              <w:rPr>
                <w:rFonts w:ascii="Times New Roman" w:hAnsi="Times New Roman" w:cs="Times New Roman"/>
              </w:rPr>
              <w:t>R</w:t>
            </w:r>
            <w:r w:rsidRPr="0069144A">
              <w:rPr>
                <w:rFonts w:ascii="Times New Roman" w:hAnsi="Times New Roman" w:cs="Times New Roman"/>
              </w:rPr>
              <w:t>esearch has consistently demonstrated that community connectedness is related to decreased depression and anxiety”</w:t>
            </w:r>
          </w:p>
          <w:p w14:paraId="295D25DA" w14:textId="77777777" w:rsidR="00E21D9C" w:rsidRPr="0069144A" w:rsidRDefault="00E21D9C" w:rsidP="006010D0">
            <w:pPr>
              <w:rPr>
                <w:rFonts w:ascii="Times New Roman" w:hAnsi="Times New Roman" w:cs="Times New Roman"/>
              </w:rPr>
            </w:pPr>
          </w:p>
          <w:p w14:paraId="7581E8B2" w14:textId="77777777" w:rsidR="00E21D9C" w:rsidRPr="0069144A" w:rsidRDefault="00E21D9C" w:rsidP="006010D0">
            <w:pPr>
              <w:rPr>
                <w:rFonts w:ascii="Times New Roman" w:hAnsi="Times New Roman" w:cs="Times New Roman"/>
              </w:rPr>
            </w:pPr>
            <w:r w:rsidRPr="0069144A">
              <w:rPr>
                <w:rFonts w:ascii="Times New Roman" w:hAnsi="Times New Roman" w:cs="Times New Roman"/>
              </w:rPr>
              <w:t xml:space="preserve">Support: </w:t>
            </w:r>
          </w:p>
          <w:p w14:paraId="13C8DFF7" w14:textId="77777777" w:rsidR="00E21D9C" w:rsidRPr="0069144A" w:rsidRDefault="00E21D9C" w:rsidP="006010D0">
            <w:pPr>
              <w:rPr>
                <w:rFonts w:ascii="Times New Roman" w:hAnsi="Times New Roman" w:cs="Times New Roman"/>
              </w:rPr>
            </w:pPr>
          </w:p>
          <w:p w14:paraId="1C44BE68" w14:textId="77777777" w:rsidR="00E21D9C" w:rsidRPr="0069144A" w:rsidRDefault="00E21D9C" w:rsidP="006010D0">
            <w:pPr>
              <w:rPr>
                <w:rFonts w:ascii="Times New Roman" w:hAnsi="Times New Roman" w:cs="Times New Roman"/>
              </w:rPr>
            </w:pPr>
            <w:r w:rsidRPr="0069144A">
              <w:rPr>
                <w:rFonts w:ascii="Times New Roman" w:hAnsi="Times New Roman" w:cs="Times New Roman"/>
              </w:rPr>
              <w:t>“To examine the unique effects of each support variable when other support variables were controlled for, three multivariable regressions were conducted in which all three social support variables were entered as simultaneous predictors of anxiety and depression symptoms and resilience (Supplemental Table 2). In these analyses age, sex assigned at birth, income, education, gender identity, and sexual identity were included as covariates. Results indicated that having more family support continued to predict less depression and anxiety symptoms and more resilience even when support from friends and community connectedness were controlled. Similarly, support from friends continued to predict less depression and anxiety symptoms when support from family and community connectedness were controlled for. However, community connectedness did not predict anxiety and depression symptoms or resilience in the multivariable models. None of the three-way interactions of the support variables were significant, indicating that the effects of the social support variables were consistent across levels of the other social support variables”</w:t>
            </w:r>
          </w:p>
          <w:p w14:paraId="14494DB0" w14:textId="77777777" w:rsidR="00E21D9C" w:rsidRPr="0069144A" w:rsidRDefault="00E21D9C" w:rsidP="006010D0">
            <w:pPr>
              <w:rPr>
                <w:rFonts w:ascii="Times New Roman" w:hAnsi="Times New Roman" w:cs="Times New Roman"/>
              </w:rPr>
            </w:pPr>
          </w:p>
          <w:p w14:paraId="5B360B5D" w14:textId="77777777" w:rsidR="00E21D9C" w:rsidRPr="0069144A" w:rsidRDefault="00E21D9C" w:rsidP="006010D0">
            <w:pPr>
              <w:rPr>
                <w:rFonts w:ascii="Times New Roman" w:hAnsi="Times New Roman" w:cs="Times New Roman"/>
              </w:rPr>
            </w:pPr>
            <w:r w:rsidRPr="0069144A">
              <w:rPr>
                <w:rFonts w:ascii="Times New Roman" w:hAnsi="Times New Roman" w:cs="Times New Roman"/>
              </w:rPr>
              <w:t>Code: 2</w:t>
            </w:r>
          </w:p>
          <w:p w14:paraId="435ED1FE" w14:textId="77777777" w:rsidR="00E21D9C" w:rsidRPr="0069144A" w:rsidRDefault="00E21D9C" w:rsidP="006010D0">
            <w:pPr>
              <w:rPr>
                <w:rFonts w:ascii="Times New Roman" w:hAnsi="Times New Roman" w:cs="Times New Roman"/>
              </w:rPr>
            </w:pPr>
          </w:p>
          <w:p w14:paraId="27AAC3A2" w14:textId="77777777" w:rsidR="00E21D9C" w:rsidRPr="0069144A" w:rsidRDefault="00E21D9C" w:rsidP="006010D0">
            <w:pPr>
              <w:rPr>
                <w:rFonts w:ascii="Times New Roman" w:hAnsi="Times New Roman" w:cs="Times New Roman"/>
              </w:rPr>
            </w:pPr>
            <w:r w:rsidRPr="0069144A">
              <w:rPr>
                <w:rFonts w:ascii="Times New Roman" w:hAnsi="Times New Roman" w:cs="Times New Roman"/>
              </w:rPr>
              <w:t xml:space="preserve">Rationale: Support article explicitly states that community connectedness was not predictive of outcome variables which is a direct contradiction to the claim made in original article. </w:t>
            </w:r>
          </w:p>
        </w:tc>
      </w:tr>
    </w:tbl>
    <w:p w14:paraId="006233D3" w14:textId="526AE078" w:rsidR="00636D7B" w:rsidRDefault="00636D7B"/>
    <w:p w14:paraId="69324BFC" w14:textId="4999FC74" w:rsidR="00636D7B" w:rsidRDefault="00636D7B"/>
    <w:p w14:paraId="3376DC49" w14:textId="71EDB6CE" w:rsidR="00636D7B" w:rsidRDefault="00636D7B"/>
    <w:p w14:paraId="478AF851" w14:textId="39652274" w:rsidR="00636D7B" w:rsidRDefault="00636D7B"/>
    <w:p w14:paraId="77E78C9C" w14:textId="090A4006" w:rsidR="00636D7B" w:rsidRDefault="00636D7B"/>
    <w:p w14:paraId="6946E9B0" w14:textId="607FF807" w:rsidR="00636D7B" w:rsidRDefault="00636D7B"/>
    <w:p w14:paraId="285AFE62" w14:textId="45DDC746" w:rsidR="00636D7B" w:rsidRDefault="00636D7B"/>
    <w:p w14:paraId="6832A1D1" w14:textId="7976C383" w:rsidR="00636D7B" w:rsidRDefault="00636D7B"/>
    <w:p w14:paraId="5C376AB4" w14:textId="55056DCE" w:rsidR="00636D7B" w:rsidRDefault="00636D7B"/>
    <w:p w14:paraId="4C525FB0" w14:textId="0F2DB357" w:rsidR="00636D7B" w:rsidRDefault="00636D7B"/>
    <w:p w14:paraId="6745C042" w14:textId="79ED91E5" w:rsidR="00636D7B" w:rsidRDefault="00636D7B"/>
    <w:p w14:paraId="2A02E9F1" w14:textId="4CD57DD2" w:rsidR="00636D7B" w:rsidRDefault="00636D7B"/>
    <w:p w14:paraId="3548AEC4" w14:textId="40656800" w:rsidR="00636D7B" w:rsidRDefault="00636D7B"/>
    <w:p w14:paraId="27BD44FC" w14:textId="230C41CE" w:rsidR="00636D7B" w:rsidRDefault="00636D7B"/>
    <w:p w14:paraId="04AFF9A6" w14:textId="18947A64" w:rsidR="00636D7B" w:rsidRPr="00E21D9C" w:rsidRDefault="00636D7B" w:rsidP="00636D7B">
      <w:pPr>
        <w:jc w:val="center"/>
        <w:rPr>
          <w:rFonts w:ascii="Times New Roman" w:hAnsi="Times New Roman" w:cs="Times New Roman"/>
        </w:rPr>
      </w:pPr>
      <w:r w:rsidRPr="00E21D9C">
        <w:rPr>
          <w:rFonts w:ascii="Times New Roman" w:hAnsi="Times New Roman" w:cs="Times New Roman"/>
        </w:rPr>
        <w:lastRenderedPageBreak/>
        <w:t xml:space="preserve">Examples of Citation </w:t>
      </w:r>
      <w:r>
        <w:rPr>
          <w:rFonts w:ascii="Times New Roman" w:hAnsi="Times New Roman" w:cs="Times New Roman"/>
        </w:rPr>
        <w:t>Themes</w:t>
      </w:r>
      <w:r w:rsidRPr="00E21D9C">
        <w:rPr>
          <w:rFonts w:ascii="Times New Roman" w:hAnsi="Times New Roman" w:cs="Times New Roman"/>
        </w:rPr>
        <w:t xml:space="preserve"> </w:t>
      </w:r>
      <w:r>
        <w:rPr>
          <w:rFonts w:ascii="Times New Roman" w:hAnsi="Times New Roman" w:cs="Times New Roman"/>
        </w:rPr>
        <w:t xml:space="preserve">for Somewhat Accurate and Inaccurate Categories </w:t>
      </w:r>
      <w:r w:rsidRPr="00E21D9C">
        <w:rPr>
          <w:rFonts w:ascii="Times New Roman" w:hAnsi="Times New Roman" w:cs="Times New Roman"/>
        </w:rPr>
        <w:t>Taken from Target Articles</w:t>
      </w:r>
    </w:p>
    <w:p w14:paraId="6E08FCCA" w14:textId="77777777" w:rsidR="00636D7B" w:rsidRPr="0069144A" w:rsidRDefault="00636D7B" w:rsidP="00636D7B">
      <w:pPr>
        <w:rPr>
          <w:rFonts w:ascii="Times New Roman" w:hAnsi="Times New Roman" w:cs="Times New Roman"/>
        </w:rPr>
      </w:pPr>
    </w:p>
    <w:p w14:paraId="69D6C705" w14:textId="77777777" w:rsidR="00636D7B" w:rsidRPr="0069144A" w:rsidRDefault="00636D7B" w:rsidP="00636D7B">
      <w:pPr>
        <w:jc w:val="center"/>
        <w:rPr>
          <w:rFonts w:ascii="Times New Roman" w:hAnsi="Times New Roman" w:cs="Times New Roman"/>
          <w:b/>
          <w:bCs/>
          <w:i/>
          <w:iCs/>
        </w:rPr>
      </w:pPr>
      <w:r>
        <w:rPr>
          <w:rFonts w:ascii="Times New Roman" w:hAnsi="Times New Roman" w:cs="Times New Roman"/>
          <w:b/>
          <w:bCs/>
          <w:i/>
          <w:iCs/>
        </w:rPr>
        <w:t>Somewhat Accurate</w:t>
      </w:r>
    </w:p>
    <w:tbl>
      <w:tblPr>
        <w:tblStyle w:val="TableGrid"/>
        <w:tblW w:w="10170" w:type="dxa"/>
        <w:tblInd w:w="-365" w:type="dxa"/>
        <w:tblLook w:val="04A0" w:firstRow="1" w:lastRow="0" w:firstColumn="1" w:lastColumn="0" w:noHBand="0" w:noVBand="1"/>
      </w:tblPr>
      <w:tblGrid>
        <w:gridCol w:w="10170"/>
      </w:tblGrid>
      <w:tr w:rsidR="00636D7B" w:rsidRPr="0069144A" w14:paraId="186246CF" w14:textId="77777777" w:rsidTr="004C102A">
        <w:trPr>
          <w:trHeight w:val="323"/>
        </w:trPr>
        <w:tc>
          <w:tcPr>
            <w:tcW w:w="10170" w:type="dxa"/>
          </w:tcPr>
          <w:p w14:paraId="6F9DEB8C" w14:textId="627419CE" w:rsidR="00636D7B" w:rsidRPr="0069144A" w:rsidRDefault="00636D7B" w:rsidP="004C102A">
            <w:pPr>
              <w:rPr>
                <w:rFonts w:ascii="Times New Roman" w:hAnsi="Times New Roman" w:cs="Times New Roman"/>
              </w:rPr>
            </w:pPr>
            <w:r>
              <w:rPr>
                <w:rFonts w:ascii="Times New Roman" w:hAnsi="Times New Roman" w:cs="Times New Roman"/>
                <w:b/>
                <w:bCs/>
              </w:rPr>
              <w:t>Overg</w:t>
            </w:r>
            <w:r w:rsidRPr="001F1DB4">
              <w:rPr>
                <w:rFonts w:ascii="Times New Roman" w:hAnsi="Times New Roman" w:cs="Times New Roman"/>
                <w:b/>
                <w:bCs/>
              </w:rPr>
              <w:t>eneralization</w:t>
            </w:r>
            <w:r>
              <w:rPr>
                <w:rFonts w:ascii="Times New Roman" w:hAnsi="Times New Roman" w:cs="Times New Roman"/>
              </w:rPr>
              <w:t>: The original study’s findings were based on a specific population or process, whereas the cit</w:t>
            </w:r>
            <w:r w:rsidR="00210B8D">
              <w:rPr>
                <w:rFonts w:ascii="Times New Roman" w:hAnsi="Times New Roman" w:cs="Times New Roman"/>
              </w:rPr>
              <w:t>ing</w:t>
            </w:r>
            <w:r>
              <w:rPr>
                <w:rFonts w:ascii="Times New Roman" w:hAnsi="Times New Roman" w:cs="Times New Roman"/>
              </w:rPr>
              <w:t xml:space="preserve"> claim generalizes this finding to a broader population or process that was not assessed in the original study</w:t>
            </w:r>
          </w:p>
        </w:tc>
      </w:tr>
      <w:tr w:rsidR="00636D7B" w:rsidRPr="0069144A" w14:paraId="11BCAB51" w14:textId="77777777" w:rsidTr="004C102A">
        <w:trPr>
          <w:trHeight w:val="334"/>
        </w:trPr>
        <w:tc>
          <w:tcPr>
            <w:tcW w:w="10170" w:type="dxa"/>
          </w:tcPr>
          <w:p w14:paraId="0D432AE0" w14:textId="77777777" w:rsidR="00636D7B" w:rsidRPr="0069144A" w:rsidRDefault="00636D7B" w:rsidP="004C102A">
            <w:pPr>
              <w:rPr>
                <w:rFonts w:ascii="Times New Roman" w:hAnsi="Times New Roman" w:cs="Times New Roman"/>
              </w:rPr>
            </w:pPr>
            <w:r>
              <w:rPr>
                <w:rFonts w:ascii="Times New Roman" w:hAnsi="Times New Roman" w:cs="Times New Roman"/>
              </w:rPr>
              <w:t xml:space="preserve">Example </w:t>
            </w:r>
            <w:r w:rsidRPr="0069144A">
              <w:rPr>
                <w:rFonts w:ascii="Times New Roman" w:hAnsi="Times New Roman" w:cs="Times New Roman"/>
              </w:rPr>
              <w:t xml:space="preserve">Claim: </w:t>
            </w:r>
          </w:p>
          <w:p w14:paraId="64D08546" w14:textId="77777777" w:rsidR="00636D7B" w:rsidRPr="0069144A" w:rsidRDefault="00636D7B" w:rsidP="004C102A">
            <w:pPr>
              <w:rPr>
                <w:rFonts w:ascii="Times New Roman" w:hAnsi="Times New Roman" w:cs="Times New Roman"/>
              </w:rPr>
            </w:pPr>
          </w:p>
          <w:p w14:paraId="2E95CD96" w14:textId="77777777" w:rsidR="00636D7B" w:rsidRDefault="00636D7B" w:rsidP="004C102A">
            <w:pPr>
              <w:rPr>
                <w:rFonts w:ascii="Times New Roman" w:hAnsi="Times New Roman" w:cs="Times New Roman"/>
              </w:rPr>
            </w:pPr>
            <w:r>
              <w:rPr>
                <w:rFonts w:ascii="Times New Roman" w:hAnsi="Times New Roman" w:cs="Times New Roman"/>
              </w:rPr>
              <w:t>O</w:t>
            </w:r>
            <w:r w:rsidRPr="001E3059">
              <w:rPr>
                <w:rFonts w:ascii="Times New Roman" w:hAnsi="Times New Roman" w:cs="Times New Roman"/>
              </w:rPr>
              <w:t>ther-oriented processes and their influence on support giving have been studied among people motivated by individualistic values</w:t>
            </w:r>
          </w:p>
          <w:p w14:paraId="43FCB056" w14:textId="77777777" w:rsidR="00636D7B" w:rsidRPr="0069144A" w:rsidRDefault="00636D7B" w:rsidP="004C102A">
            <w:pPr>
              <w:rPr>
                <w:rFonts w:ascii="Times New Roman" w:hAnsi="Times New Roman" w:cs="Times New Roman"/>
              </w:rPr>
            </w:pPr>
          </w:p>
          <w:p w14:paraId="50059999" w14:textId="77777777" w:rsidR="00636D7B" w:rsidRPr="0069144A" w:rsidRDefault="00636D7B" w:rsidP="004C102A">
            <w:pPr>
              <w:rPr>
                <w:rFonts w:ascii="Times New Roman" w:hAnsi="Times New Roman" w:cs="Times New Roman"/>
              </w:rPr>
            </w:pPr>
            <w:r>
              <w:rPr>
                <w:rFonts w:ascii="Times New Roman" w:hAnsi="Times New Roman" w:cs="Times New Roman"/>
              </w:rPr>
              <w:t>Example</w:t>
            </w:r>
            <w:r w:rsidRPr="0069144A">
              <w:rPr>
                <w:rFonts w:ascii="Times New Roman" w:hAnsi="Times New Roman" w:cs="Times New Roman"/>
              </w:rPr>
              <w:t xml:space="preserve"> Support: </w:t>
            </w:r>
          </w:p>
          <w:p w14:paraId="01E271EE" w14:textId="77777777" w:rsidR="00636D7B" w:rsidRDefault="00636D7B" w:rsidP="004C102A">
            <w:pPr>
              <w:rPr>
                <w:rFonts w:ascii="Times New Roman" w:hAnsi="Times New Roman" w:cs="Times New Roman"/>
              </w:rPr>
            </w:pPr>
          </w:p>
          <w:p w14:paraId="673967CA" w14:textId="77777777" w:rsidR="00636D7B" w:rsidRPr="0069144A" w:rsidRDefault="00636D7B" w:rsidP="004C102A">
            <w:pPr>
              <w:rPr>
                <w:rFonts w:ascii="Times New Roman" w:hAnsi="Times New Roman" w:cs="Times New Roman"/>
              </w:rPr>
            </w:pPr>
            <w:r w:rsidRPr="001E3059">
              <w:rPr>
                <w:rFonts w:ascii="Times New Roman" w:hAnsi="Times New Roman" w:cs="Times New Roman"/>
              </w:rPr>
              <w:t xml:space="preserve">The current study employed a 14-day dyadic daily-experience paradigm to measure daily sacrifices in romantic relationships. We predicted that individuals higher in communal strength toward their </w:t>
            </w:r>
            <w:r>
              <w:rPr>
                <w:rFonts w:ascii="Times New Roman" w:hAnsi="Times New Roman" w:cs="Times New Roman"/>
              </w:rPr>
              <w:t>r</w:t>
            </w:r>
            <w:r w:rsidRPr="001E3059">
              <w:rPr>
                <w:rFonts w:ascii="Times New Roman" w:hAnsi="Times New Roman" w:cs="Times New Roman"/>
              </w:rPr>
              <w:t>omantic partners would experience more positive emotions when making daily sacrifices, would feel more appreciated by their partners for the sacrifices, and would experience greater relationship satisfaction. Furthermore, we predicted that the reason why individuals higher in</w:t>
            </w:r>
            <w:r>
              <w:rPr>
                <w:rFonts w:ascii="Times New Roman" w:hAnsi="Times New Roman" w:cs="Times New Roman"/>
              </w:rPr>
              <w:t xml:space="preserve"> </w:t>
            </w:r>
            <w:r w:rsidRPr="001E3059">
              <w:rPr>
                <w:rFonts w:ascii="Times New Roman" w:hAnsi="Times New Roman" w:cs="Times New Roman"/>
              </w:rPr>
              <w:t xml:space="preserve">communal strength experience more delight when sacrificing for their partner is because they feel that their sacrifices are an authentic reflection of their true selves... we found that the higher individuals were in communal strength toward their romantic partner, the more they experienced positive emotions during daily sacrifices, felt appreciated for their efforts, and reported high relationship satisfaction on days when they made sacrifices. </w:t>
            </w:r>
          </w:p>
          <w:p w14:paraId="204F904C" w14:textId="77777777" w:rsidR="00636D7B" w:rsidRDefault="00636D7B" w:rsidP="004C102A">
            <w:pPr>
              <w:rPr>
                <w:rFonts w:ascii="Times New Roman" w:hAnsi="Times New Roman" w:cs="Times New Roman"/>
              </w:rPr>
            </w:pPr>
          </w:p>
          <w:p w14:paraId="275F6AE9" w14:textId="77777777" w:rsidR="00636D7B" w:rsidRPr="0069144A" w:rsidRDefault="00636D7B" w:rsidP="004C102A">
            <w:pPr>
              <w:rPr>
                <w:rFonts w:ascii="Times New Roman" w:hAnsi="Times New Roman" w:cs="Times New Roman"/>
              </w:rPr>
            </w:pPr>
            <w:r w:rsidRPr="0069144A">
              <w:rPr>
                <w:rFonts w:ascii="Times New Roman" w:hAnsi="Times New Roman" w:cs="Times New Roman"/>
              </w:rPr>
              <w:t xml:space="preserve">Code: </w:t>
            </w:r>
            <w:r>
              <w:rPr>
                <w:rFonts w:ascii="Times New Roman" w:hAnsi="Times New Roman" w:cs="Times New Roman"/>
              </w:rPr>
              <w:t>1</w:t>
            </w:r>
          </w:p>
          <w:p w14:paraId="12952212" w14:textId="77777777" w:rsidR="00636D7B" w:rsidRDefault="00636D7B" w:rsidP="004C102A">
            <w:pPr>
              <w:rPr>
                <w:rFonts w:ascii="Times New Roman" w:hAnsi="Times New Roman" w:cs="Times New Roman"/>
              </w:rPr>
            </w:pPr>
          </w:p>
          <w:p w14:paraId="7E48D391" w14:textId="77777777" w:rsidR="00636D7B" w:rsidRDefault="00636D7B" w:rsidP="004C102A">
            <w:pPr>
              <w:rPr>
                <w:rFonts w:ascii="Times New Roman" w:hAnsi="Times New Roman" w:cs="Times New Roman"/>
              </w:rPr>
            </w:pPr>
            <w:r w:rsidRPr="0069144A">
              <w:rPr>
                <w:rFonts w:ascii="Times New Roman" w:hAnsi="Times New Roman" w:cs="Times New Roman"/>
              </w:rPr>
              <w:t>Rationale:</w:t>
            </w:r>
          </w:p>
          <w:p w14:paraId="4AE9695F" w14:textId="77777777" w:rsidR="00636D7B" w:rsidRDefault="00636D7B" w:rsidP="004C102A">
            <w:pPr>
              <w:rPr>
                <w:rFonts w:ascii="Times New Roman" w:hAnsi="Times New Roman" w:cs="Times New Roman"/>
              </w:rPr>
            </w:pPr>
          </w:p>
          <w:p w14:paraId="777C398D" w14:textId="77777777" w:rsidR="00636D7B" w:rsidRDefault="00636D7B" w:rsidP="004C102A">
            <w:pPr>
              <w:rPr>
                <w:rFonts w:ascii="Times New Roman" w:hAnsi="Times New Roman" w:cs="Times New Roman"/>
              </w:rPr>
            </w:pPr>
            <w:r w:rsidRPr="001E3059">
              <w:rPr>
                <w:rFonts w:ascii="Times New Roman" w:hAnsi="Times New Roman" w:cs="Times New Roman"/>
              </w:rPr>
              <w:t xml:space="preserve">The </w:t>
            </w:r>
            <w:r>
              <w:rPr>
                <w:rFonts w:ascii="Times New Roman" w:hAnsi="Times New Roman" w:cs="Times New Roman"/>
              </w:rPr>
              <w:t xml:space="preserve">original study </w:t>
            </w:r>
            <w:r w:rsidRPr="001E3059">
              <w:rPr>
                <w:rFonts w:ascii="Times New Roman" w:hAnsi="Times New Roman" w:cs="Times New Roman"/>
              </w:rPr>
              <w:t xml:space="preserve">was </w:t>
            </w:r>
            <w:proofErr w:type="gramStart"/>
            <w:r w:rsidRPr="001E3059">
              <w:rPr>
                <w:rFonts w:ascii="Times New Roman" w:hAnsi="Times New Roman" w:cs="Times New Roman"/>
              </w:rPr>
              <w:t>in regard to</w:t>
            </w:r>
            <w:proofErr w:type="gramEnd"/>
            <w:r w:rsidRPr="001E3059">
              <w:rPr>
                <w:rFonts w:ascii="Times New Roman" w:hAnsi="Times New Roman" w:cs="Times New Roman"/>
              </w:rPr>
              <w:t xml:space="preserve"> romantic relationships </w:t>
            </w:r>
            <w:r>
              <w:rPr>
                <w:rFonts w:ascii="Times New Roman" w:hAnsi="Times New Roman" w:cs="Times New Roman"/>
              </w:rPr>
              <w:t>while the cited claim regards</w:t>
            </w:r>
            <w:r w:rsidRPr="001E3059">
              <w:rPr>
                <w:rFonts w:ascii="Times New Roman" w:hAnsi="Times New Roman" w:cs="Times New Roman"/>
              </w:rPr>
              <w:t xml:space="preserve"> general support giving</w:t>
            </w:r>
            <w:r>
              <w:rPr>
                <w:rFonts w:ascii="Times New Roman" w:hAnsi="Times New Roman" w:cs="Times New Roman"/>
              </w:rPr>
              <w:t xml:space="preserve"> – not that of romantic relationships</w:t>
            </w:r>
          </w:p>
          <w:p w14:paraId="73B8C078" w14:textId="77777777" w:rsidR="00636D7B" w:rsidRPr="0069144A" w:rsidRDefault="00636D7B" w:rsidP="004C102A">
            <w:pPr>
              <w:rPr>
                <w:rFonts w:ascii="Times New Roman" w:hAnsi="Times New Roman" w:cs="Times New Roman"/>
              </w:rPr>
            </w:pPr>
          </w:p>
        </w:tc>
      </w:tr>
      <w:tr w:rsidR="00636D7B" w:rsidRPr="0069144A" w14:paraId="6E5D7BF8" w14:textId="77777777" w:rsidTr="004C102A">
        <w:trPr>
          <w:trHeight w:val="334"/>
        </w:trPr>
        <w:tc>
          <w:tcPr>
            <w:tcW w:w="10170" w:type="dxa"/>
          </w:tcPr>
          <w:p w14:paraId="0E04EF50" w14:textId="77777777" w:rsidR="00636D7B" w:rsidRPr="0069144A" w:rsidRDefault="00636D7B" w:rsidP="004C102A">
            <w:pPr>
              <w:rPr>
                <w:rFonts w:ascii="Times New Roman" w:hAnsi="Times New Roman" w:cs="Times New Roman"/>
              </w:rPr>
            </w:pPr>
            <w:r w:rsidRPr="001F1DB4">
              <w:rPr>
                <w:rFonts w:ascii="Times New Roman" w:hAnsi="Times New Roman" w:cs="Times New Roman"/>
                <w:b/>
                <w:bCs/>
              </w:rPr>
              <w:t>Overspecification</w:t>
            </w:r>
            <w:r>
              <w:rPr>
                <w:rFonts w:ascii="Times New Roman" w:hAnsi="Times New Roman" w:cs="Times New Roman"/>
              </w:rPr>
              <w:t>: The original study’s findings were based on a general population or process, whereas the cited claim applies that finding to a specific population or process that was not directly assessed in the original study</w:t>
            </w:r>
          </w:p>
        </w:tc>
      </w:tr>
      <w:tr w:rsidR="00636D7B" w:rsidRPr="0069144A" w14:paraId="67DD3B01" w14:textId="77777777" w:rsidTr="004C102A">
        <w:trPr>
          <w:trHeight w:val="334"/>
        </w:trPr>
        <w:tc>
          <w:tcPr>
            <w:tcW w:w="10170" w:type="dxa"/>
          </w:tcPr>
          <w:p w14:paraId="1369C3DF" w14:textId="77777777" w:rsidR="00636D7B" w:rsidRDefault="00636D7B" w:rsidP="004C102A">
            <w:pPr>
              <w:rPr>
                <w:rFonts w:ascii="Times New Roman" w:hAnsi="Times New Roman" w:cs="Times New Roman"/>
              </w:rPr>
            </w:pPr>
            <w:r>
              <w:rPr>
                <w:rFonts w:ascii="Times New Roman" w:hAnsi="Times New Roman" w:cs="Times New Roman"/>
              </w:rPr>
              <w:t>Example</w:t>
            </w:r>
            <w:r w:rsidRPr="0069144A">
              <w:rPr>
                <w:rFonts w:ascii="Times New Roman" w:hAnsi="Times New Roman" w:cs="Times New Roman"/>
              </w:rPr>
              <w:t xml:space="preserve"> Claim: </w:t>
            </w:r>
          </w:p>
          <w:p w14:paraId="5B8BEF58" w14:textId="77777777" w:rsidR="00636D7B" w:rsidRDefault="00636D7B" w:rsidP="004C102A">
            <w:pPr>
              <w:rPr>
                <w:rFonts w:ascii="Times New Roman" w:hAnsi="Times New Roman" w:cs="Times New Roman"/>
              </w:rPr>
            </w:pPr>
          </w:p>
          <w:p w14:paraId="2269D8B0" w14:textId="77777777" w:rsidR="00636D7B" w:rsidRDefault="00636D7B" w:rsidP="004C102A">
            <w:pPr>
              <w:rPr>
                <w:rFonts w:ascii="Times New Roman" w:hAnsi="Times New Roman" w:cs="Times New Roman"/>
              </w:rPr>
            </w:pPr>
            <w:r w:rsidRPr="00112B17">
              <w:rPr>
                <w:rFonts w:ascii="Times New Roman" w:hAnsi="Times New Roman" w:cs="Times New Roman"/>
              </w:rPr>
              <w:t xml:space="preserve">A core characteristic of collectivism that is particularly salient among Chinese individuals is prioritizing the needs of in-group members and concern for one’s own social standing </w:t>
            </w:r>
          </w:p>
          <w:p w14:paraId="51AAA9FC" w14:textId="77777777" w:rsidR="00636D7B" w:rsidRPr="0069144A" w:rsidRDefault="00636D7B" w:rsidP="004C102A">
            <w:pPr>
              <w:rPr>
                <w:rFonts w:ascii="Times New Roman" w:hAnsi="Times New Roman" w:cs="Times New Roman"/>
              </w:rPr>
            </w:pPr>
          </w:p>
          <w:p w14:paraId="1B47FE6B" w14:textId="77777777" w:rsidR="00636D7B" w:rsidRPr="0069144A" w:rsidRDefault="00636D7B" w:rsidP="004C102A">
            <w:pPr>
              <w:rPr>
                <w:rFonts w:ascii="Times New Roman" w:hAnsi="Times New Roman" w:cs="Times New Roman"/>
              </w:rPr>
            </w:pPr>
            <w:r>
              <w:rPr>
                <w:rFonts w:ascii="Times New Roman" w:hAnsi="Times New Roman" w:cs="Times New Roman"/>
              </w:rPr>
              <w:t>Example</w:t>
            </w:r>
            <w:r w:rsidRPr="0069144A">
              <w:rPr>
                <w:rFonts w:ascii="Times New Roman" w:hAnsi="Times New Roman" w:cs="Times New Roman"/>
              </w:rPr>
              <w:t xml:space="preserve"> Support: </w:t>
            </w:r>
          </w:p>
          <w:p w14:paraId="33F8087E" w14:textId="77777777" w:rsidR="00636D7B" w:rsidRDefault="00636D7B" w:rsidP="004C102A">
            <w:pPr>
              <w:rPr>
                <w:rFonts w:ascii="Times New Roman" w:hAnsi="Times New Roman" w:cs="Times New Roman"/>
              </w:rPr>
            </w:pPr>
          </w:p>
          <w:p w14:paraId="4D6A9766" w14:textId="77777777" w:rsidR="00636D7B" w:rsidRDefault="00636D7B" w:rsidP="004C102A">
            <w:pPr>
              <w:rPr>
                <w:rFonts w:ascii="Times New Roman" w:hAnsi="Times New Roman" w:cs="Times New Roman"/>
              </w:rPr>
            </w:pPr>
            <w:r w:rsidRPr="00112B17">
              <w:rPr>
                <w:rFonts w:ascii="Times New Roman" w:hAnsi="Times New Roman" w:cs="Times New Roman"/>
              </w:rPr>
              <w:t xml:space="preserve">We achieved three aims by developing a new instrument that assesses collectivism among Asians and validating it in two independent samples. First, the BCQ appears to comprise a set of items that appropriately represent collectivism from an individual psychological standpoint. Second, our results yielded preliminary empirical support for a bifactor structure of collectivism that is consistent with </w:t>
            </w:r>
            <w:r w:rsidRPr="00112B17">
              <w:rPr>
                <w:rFonts w:ascii="Times New Roman" w:hAnsi="Times New Roman" w:cs="Times New Roman"/>
              </w:rPr>
              <w:lastRenderedPageBreak/>
              <w:t xml:space="preserve">emerging research...... Specifically, people of Asian descent seem to differentiate being proactive in prosocial tendencies from being cordial, collaborative, and deferential to maintain harmony. Additionally, incremental to broadband collectivism, there seems to be an affective component in collectivism </w:t>
            </w:r>
            <w:proofErr w:type="gramStart"/>
            <w:r w:rsidRPr="00112B17">
              <w:rPr>
                <w:rFonts w:ascii="Times New Roman" w:hAnsi="Times New Roman" w:cs="Times New Roman"/>
              </w:rPr>
              <w:t>with regard to</w:t>
            </w:r>
            <w:proofErr w:type="gramEnd"/>
            <w:r w:rsidRPr="00112B17">
              <w:rPr>
                <w:rFonts w:ascii="Times New Roman" w:hAnsi="Times New Roman" w:cs="Times New Roman"/>
              </w:rPr>
              <w:t xml:space="preserve"> people’s concerns for how others perceive oneself (both the individual and the extended self). Although honoring family has not been included consistently in measuring collectivism in Asian cultures, our findings show that this content is an important part of the broader construct. Collectivism also seems to be represented adequately by items that tap the concern for one’s reputation in which the self is best understood by both the individual</w:t>
            </w:r>
            <w:r>
              <w:rPr>
                <w:rFonts w:ascii="Times New Roman" w:hAnsi="Times New Roman" w:cs="Times New Roman"/>
              </w:rPr>
              <w:t xml:space="preserve"> </w:t>
            </w:r>
            <w:r w:rsidRPr="00112B17">
              <w:rPr>
                <w:rFonts w:ascii="Times New Roman" w:hAnsi="Times New Roman" w:cs="Times New Roman"/>
              </w:rPr>
              <w:t xml:space="preserve">and the family. </w:t>
            </w:r>
          </w:p>
          <w:p w14:paraId="0D3F04CA" w14:textId="77777777" w:rsidR="00636D7B" w:rsidRDefault="00636D7B" w:rsidP="004C102A">
            <w:pPr>
              <w:rPr>
                <w:rFonts w:ascii="Times New Roman" w:hAnsi="Times New Roman" w:cs="Times New Roman"/>
              </w:rPr>
            </w:pPr>
          </w:p>
          <w:p w14:paraId="45A77FF7" w14:textId="77777777" w:rsidR="00636D7B" w:rsidRPr="0069144A" w:rsidRDefault="00636D7B" w:rsidP="004C102A">
            <w:pPr>
              <w:rPr>
                <w:rFonts w:ascii="Times New Roman" w:hAnsi="Times New Roman" w:cs="Times New Roman"/>
              </w:rPr>
            </w:pPr>
            <w:r w:rsidRPr="0069144A">
              <w:rPr>
                <w:rFonts w:ascii="Times New Roman" w:hAnsi="Times New Roman" w:cs="Times New Roman"/>
              </w:rPr>
              <w:t xml:space="preserve">Code: </w:t>
            </w:r>
            <w:r>
              <w:rPr>
                <w:rFonts w:ascii="Times New Roman" w:hAnsi="Times New Roman" w:cs="Times New Roman"/>
              </w:rPr>
              <w:t>1</w:t>
            </w:r>
          </w:p>
          <w:p w14:paraId="45E5049E" w14:textId="77777777" w:rsidR="00636D7B" w:rsidRPr="00A74DE5" w:rsidRDefault="00636D7B" w:rsidP="004C102A">
            <w:pPr>
              <w:rPr>
                <w:rFonts w:ascii="Times New Roman" w:hAnsi="Times New Roman" w:cs="Times New Roman"/>
              </w:rPr>
            </w:pPr>
          </w:p>
          <w:p w14:paraId="7DEEEBB9" w14:textId="77777777" w:rsidR="00636D7B" w:rsidRDefault="00636D7B" w:rsidP="004C102A">
            <w:pPr>
              <w:rPr>
                <w:rFonts w:ascii="Times New Roman" w:hAnsi="Times New Roman" w:cs="Times New Roman"/>
              </w:rPr>
            </w:pPr>
            <w:r w:rsidRPr="00A74DE5">
              <w:rPr>
                <w:rFonts w:ascii="Times New Roman" w:hAnsi="Times New Roman" w:cs="Times New Roman"/>
              </w:rPr>
              <w:t xml:space="preserve">Rationale: </w:t>
            </w:r>
          </w:p>
          <w:p w14:paraId="51D61F9A" w14:textId="77777777" w:rsidR="00636D7B" w:rsidRPr="00A74DE5" w:rsidRDefault="00636D7B" w:rsidP="004C102A">
            <w:pPr>
              <w:rPr>
                <w:rFonts w:ascii="Times New Roman" w:hAnsi="Times New Roman" w:cs="Times New Roman"/>
              </w:rPr>
            </w:pPr>
          </w:p>
          <w:p w14:paraId="1E87397A" w14:textId="77777777" w:rsidR="00636D7B" w:rsidRPr="00A74DE5" w:rsidRDefault="00636D7B" w:rsidP="004C102A">
            <w:pPr>
              <w:rPr>
                <w:rFonts w:ascii="Times New Roman" w:hAnsi="Times New Roman" w:cs="Times New Roman"/>
              </w:rPr>
            </w:pPr>
            <w:r w:rsidRPr="00112B17">
              <w:rPr>
                <w:rFonts w:ascii="Times New Roman" w:hAnsi="Times New Roman" w:cs="Times New Roman"/>
              </w:rPr>
              <w:t xml:space="preserve">The claim specifically indicates the association for Chinese individuals, however the cited study does not differentiate between Asian countries </w:t>
            </w:r>
            <w:r w:rsidRPr="00A74DE5">
              <w:rPr>
                <w:rFonts w:ascii="Times New Roman" w:hAnsi="Times New Roman" w:cs="Times New Roman"/>
              </w:rPr>
              <w:t xml:space="preserve"> </w:t>
            </w:r>
          </w:p>
          <w:p w14:paraId="44B4D1B1" w14:textId="77777777" w:rsidR="00636D7B" w:rsidRPr="0069144A" w:rsidRDefault="00636D7B" w:rsidP="004C102A">
            <w:pPr>
              <w:rPr>
                <w:rFonts w:ascii="Times New Roman" w:hAnsi="Times New Roman" w:cs="Times New Roman"/>
              </w:rPr>
            </w:pPr>
            <w:r>
              <w:rPr>
                <w:rFonts w:ascii="Times New Roman" w:hAnsi="Times New Roman" w:cs="Times New Roman"/>
              </w:rPr>
              <w:t xml:space="preserve"> </w:t>
            </w:r>
          </w:p>
        </w:tc>
      </w:tr>
      <w:tr w:rsidR="00636D7B" w:rsidRPr="0069144A" w14:paraId="47D59899" w14:textId="77777777" w:rsidTr="004C102A">
        <w:trPr>
          <w:trHeight w:val="334"/>
        </w:trPr>
        <w:tc>
          <w:tcPr>
            <w:tcW w:w="10170" w:type="dxa"/>
          </w:tcPr>
          <w:p w14:paraId="2D2D8F0C" w14:textId="77777777" w:rsidR="00636D7B" w:rsidRPr="0069144A" w:rsidRDefault="00636D7B" w:rsidP="004C102A">
            <w:pPr>
              <w:rPr>
                <w:rFonts w:ascii="Times New Roman" w:hAnsi="Times New Roman" w:cs="Times New Roman"/>
              </w:rPr>
            </w:pPr>
            <w:r w:rsidRPr="001F1DB4">
              <w:rPr>
                <w:rFonts w:ascii="Times New Roman" w:hAnsi="Times New Roman" w:cs="Times New Roman"/>
                <w:b/>
                <w:bCs/>
              </w:rPr>
              <w:lastRenderedPageBreak/>
              <w:t>Double</w:t>
            </w:r>
            <w:r>
              <w:rPr>
                <w:rFonts w:ascii="Times New Roman" w:hAnsi="Times New Roman" w:cs="Times New Roman"/>
              </w:rPr>
              <w:t xml:space="preserve"> </w:t>
            </w:r>
            <w:r w:rsidRPr="001F1DB4">
              <w:rPr>
                <w:rFonts w:ascii="Times New Roman" w:hAnsi="Times New Roman" w:cs="Times New Roman"/>
                <w:b/>
                <w:bCs/>
              </w:rPr>
              <w:t>Barreled</w:t>
            </w:r>
            <w:r>
              <w:rPr>
                <w:rFonts w:ascii="Times New Roman" w:hAnsi="Times New Roman" w:cs="Times New Roman"/>
              </w:rPr>
              <w:t>: The cited claim makes two claims within a single statement, whereas the original study only supported one of those claims.</w:t>
            </w:r>
          </w:p>
        </w:tc>
      </w:tr>
      <w:tr w:rsidR="00636D7B" w:rsidRPr="0069144A" w14:paraId="3CE56270" w14:textId="77777777" w:rsidTr="004C102A">
        <w:trPr>
          <w:trHeight w:val="334"/>
        </w:trPr>
        <w:tc>
          <w:tcPr>
            <w:tcW w:w="10170" w:type="dxa"/>
          </w:tcPr>
          <w:p w14:paraId="684C0C3B" w14:textId="77777777" w:rsidR="00636D7B" w:rsidRDefault="00636D7B" w:rsidP="004C102A">
            <w:pPr>
              <w:rPr>
                <w:rFonts w:ascii="Times New Roman" w:hAnsi="Times New Roman" w:cs="Times New Roman"/>
              </w:rPr>
            </w:pPr>
            <w:r>
              <w:rPr>
                <w:rFonts w:ascii="Times New Roman" w:hAnsi="Times New Roman" w:cs="Times New Roman"/>
              </w:rPr>
              <w:t>Example</w:t>
            </w:r>
            <w:r w:rsidRPr="0069144A">
              <w:rPr>
                <w:rFonts w:ascii="Times New Roman" w:hAnsi="Times New Roman" w:cs="Times New Roman"/>
              </w:rPr>
              <w:t xml:space="preserve"> Claim: </w:t>
            </w:r>
          </w:p>
          <w:p w14:paraId="487E2DCB" w14:textId="77777777" w:rsidR="00636D7B" w:rsidRDefault="00636D7B" w:rsidP="004C102A">
            <w:pPr>
              <w:rPr>
                <w:rFonts w:ascii="Times New Roman" w:hAnsi="Times New Roman" w:cs="Times New Roman"/>
              </w:rPr>
            </w:pPr>
          </w:p>
          <w:p w14:paraId="2BAF8FFA" w14:textId="77777777" w:rsidR="00636D7B" w:rsidRPr="0069144A" w:rsidRDefault="00636D7B" w:rsidP="004C102A">
            <w:pPr>
              <w:rPr>
                <w:rFonts w:ascii="Times New Roman" w:hAnsi="Times New Roman" w:cs="Times New Roman"/>
              </w:rPr>
            </w:pPr>
            <w:r w:rsidRPr="00475796">
              <w:rPr>
                <w:rFonts w:ascii="Times New Roman" w:hAnsi="Times New Roman" w:cs="Times New Roman"/>
              </w:rPr>
              <w:t>Avowing a different identity label than an ascribed one represents a marginalized group defining and creating a new reality that empowers its members and generates a sense of pride</w:t>
            </w:r>
          </w:p>
          <w:p w14:paraId="09332B63" w14:textId="77777777" w:rsidR="00636D7B" w:rsidRPr="0069144A" w:rsidRDefault="00636D7B" w:rsidP="004C102A">
            <w:pPr>
              <w:rPr>
                <w:rFonts w:ascii="Times New Roman" w:hAnsi="Times New Roman" w:cs="Times New Roman"/>
              </w:rPr>
            </w:pPr>
          </w:p>
          <w:p w14:paraId="0B1425F9" w14:textId="77777777" w:rsidR="00636D7B" w:rsidRDefault="00636D7B" w:rsidP="004C102A">
            <w:pPr>
              <w:rPr>
                <w:rFonts w:ascii="Times New Roman" w:hAnsi="Times New Roman" w:cs="Times New Roman"/>
              </w:rPr>
            </w:pPr>
            <w:r>
              <w:rPr>
                <w:rFonts w:ascii="Times New Roman" w:hAnsi="Times New Roman" w:cs="Times New Roman"/>
              </w:rPr>
              <w:t>Example</w:t>
            </w:r>
            <w:r w:rsidRPr="0069144A">
              <w:rPr>
                <w:rFonts w:ascii="Times New Roman" w:hAnsi="Times New Roman" w:cs="Times New Roman"/>
              </w:rPr>
              <w:t xml:space="preserve"> Support: </w:t>
            </w:r>
          </w:p>
          <w:p w14:paraId="1F016CFE" w14:textId="77777777" w:rsidR="00636D7B" w:rsidRDefault="00636D7B" w:rsidP="004C102A">
            <w:pPr>
              <w:rPr>
                <w:rFonts w:ascii="Times New Roman" w:hAnsi="Times New Roman" w:cs="Times New Roman"/>
              </w:rPr>
            </w:pPr>
          </w:p>
          <w:p w14:paraId="14BF1435" w14:textId="77777777" w:rsidR="00636D7B" w:rsidRPr="0069144A" w:rsidRDefault="00636D7B" w:rsidP="004C102A">
            <w:pPr>
              <w:rPr>
                <w:rFonts w:ascii="Times New Roman" w:hAnsi="Times New Roman" w:cs="Times New Roman"/>
              </w:rPr>
            </w:pPr>
            <w:r w:rsidRPr="00475796">
              <w:rPr>
                <w:rFonts w:ascii="Times New Roman" w:hAnsi="Times New Roman" w:cs="Times New Roman"/>
              </w:rPr>
              <w:t xml:space="preserve">Among survey respondents who expressed a preference for one term or the other, preference for the label “black” or “African-American” was nearly equally divided. Still, several interesting cleavages emerged among respondents. Gender and level of education did not influence terminological preference, but age, city size, and region did, with younger residents of large cities outside the South expressing more enthusiasm for the label “African-American.” Moreover, those whose grammar schools had been half black and half white, as opposed to all or mostly black or almost all white, and those for whom racial identity was more important were significantly more likely than others to prefer the term “African-American” to “black.” </w:t>
            </w:r>
          </w:p>
          <w:p w14:paraId="0176F71F" w14:textId="77777777" w:rsidR="00636D7B" w:rsidRDefault="00636D7B" w:rsidP="004C102A">
            <w:pPr>
              <w:rPr>
                <w:rFonts w:ascii="Times New Roman" w:hAnsi="Times New Roman" w:cs="Times New Roman"/>
              </w:rPr>
            </w:pPr>
          </w:p>
          <w:p w14:paraId="4BF306C6" w14:textId="77777777" w:rsidR="00636D7B" w:rsidRPr="0069144A" w:rsidRDefault="00636D7B" w:rsidP="004C102A">
            <w:pPr>
              <w:rPr>
                <w:rFonts w:ascii="Times New Roman" w:hAnsi="Times New Roman" w:cs="Times New Roman"/>
              </w:rPr>
            </w:pPr>
            <w:r w:rsidRPr="0069144A">
              <w:rPr>
                <w:rFonts w:ascii="Times New Roman" w:hAnsi="Times New Roman" w:cs="Times New Roman"/>
              </w:rPr>
              <w:t xml:space="preserve">Code: </w:t>
            </w:r>
            <w:r>
              <w:rPr>
                <w:rFonts w:ascii="Times New Roman" w:hAnsi="Times New Roman" w:cs="Times New Roman"/>
              </w:rPr>
              <w:t>1</w:t>
            </w:r>
          </w:p>
          <w:p w14:paraId="4557C1B5" w14:textId="77777777" w:rsidR="00636D7B" w:rsidRPr="0069144A" w:rsidRDefault="00636D7B" w:rsidP="004C102A">
            <w:pPr>
              <w:rPr>
                <w:rFonts w:ascii="Times New Roman" w:hAnsi="Times New Roman" w:cs="Times New Roman"/>
              </w:rPr>
            </w:pPr>
          </w:p>
          <w:p w14:paraId="52AF11A6" w14:textId="77777777" w:rsidR="00636D7B" w:rsidRDefault="00636D7B" w:rsidP="004C102A">
            <w:pPr>
              <w:rPr>
                <w:rFonts w:ascii="Times New Roman" w:hAnsi="Times New Roman" w:cs="Times New Roman"/>
              </w:rPr>
            </w:pPr>
            <w:r w:rsidRPr="0069144A">
              <w:rPr>
                <w:rFonts w:ascii="Times New Roman" w:hAnsi="Times New Roman" w:cs="Times New Roman"/>
              </w:rPr>
              <w:t xml:space="preserve">Rationale: </w:t>
            </w:r>
          </w:p>
          <w:p w14:paraId="2144DF6E" w14:textId="77777777" w:rsidR="00636D7B" w:rsidRDefault="00636D7B" w:rsidP="004C102A">
            <w:pPr>
              <w:rPr>
                <w:rFonts w:ascii="Times New Roman" w:hAnsi="Times New Roman" w:cs="Times New Roman"/>
              </w:rPr>
            </w:pPr>
          </w:p>
          <w:p w14:paraId="6A3C356E" w14:textId="77777777" w:rsidR="00636D7B" w:rsidRDefault="00636D7B" w:rsidP="004C102A">
            <w:pPr>
              <w:rPr>
                <w:rFonts w:ascii="Times New Roman" w:hAnsi="Times New Roman" w:cs="Times New Roman"/>
              </w:rPr>
            </w:pPr>
            <w:r w:rsidRPr="00475796">
              <w:rPr>
                <w:rFonts w:ascii="Times New Roman" w:hAnsi="Times New Roman" w:cs="Times New Roman"/>
              </w:rPr>
              <w:t>The cited study found that there are differences in preferred labels but did not expand on how the choice in labels effects an individual’s sense of empowerment or pride</w:t>
            </w:r>
            <w:r>
              <w:rPr>
                <w:rFonts w:ascii="Times New Roman" w:hAnsi="Times New Roman" w:cs="Times New Roman"/>
              </w:rPr>
              <w:t>. Pride was not assessed in this context.</w:t>
            </w:r>
          </w:p>
          <w:p w14:paraId="22DABF30" w14:textId="77777777" w:rsidR="00636D7B" w:rsidRPr="0069144A" w:rsidRDefault="00636D7B" w:rsidP="004C102A">
            <w:pPr>
              <w:rPr>
                <w:rFonts w:ascii="Times New Roman" w:hAnsi="Times New Roman" w:cs="Times New Roman"/>
              </w:rPr>
            </w:pPr>
          </w:p>
        </w:tc>
      </w:tr>
      <w:tr w:rsidR="00636D7B" w:rsidRPr="0069144A" w14:paraId="22E632E6" w14:textId="77777777" w:rsidTr="004C102A">
        <w:trPr>
          <w:trHeight w:val="334"/>
        </w:trPr>
        <w:tc>
          <w:tcPr>
            <w:tcW w:w="10170" w:type="dxa"/>
          </w:tcPr>
          <w:p w14:paraId="46FE3FE6" w14:textId="77777777" w:rsidR="00636D7B" w:rsidRPr="0069144A" w:rsidRDefault="00636D7B" w:rsidP="004C102A">
            <w:pPr>
              <w:rPr>
                <w:rFonts w:ascii="Times New Roman" w:hAnsi="Times New Roman" w:cs="Times New Roman"/>
              </w:rPr>
            </w:pPr>
            <w:r w:rsidRPr="001F1DB4">
              <w:rPr>
                <w:rFonts w:ascii="Times New Roman" w:hAnsi="Times New Roman" w:cs="Times New Roman"/>
                <w:b/>
                <w:bCs/>
              </w:rPr>
              <w:t>Miscellaneous</w:t>
            </w:r>
            <w:r>
              <w:rPr>
                <w:rFonts w:ascii="Times New Roman" w:hAnsi="Times New Roman" w:cs="Times New Roman"/>
              </w:rPr>
              <w:t>: The cited claim is largely accurate but there are minor errors in the statement or in the reporting or results from the original study.</w:t>
            </w:r>
          </w:p>
        </w:tc>
      </w:tr>
      <w:tr w:rsidR="00636D7B" w:rsidRPr="0069144A" w14:paraId="2D638D48" w14:textId="77777777" w:rsidTr="004C102A">
        <w:trPr>
          <w:trHeight w:val="334"/>
        </w:trPr>
        <w:tc>
          <w:tcPr>
            <w:tcW w:w="10170" w:type="dxa"/>
          </w:tcPr>
          <w:p w14:paraId="743B5AF2" w14:textId="77777777" w:rsidR="00636D7B" w:rsidRPr="0069144A" w:rsidRDefault="00636D7B" w:rsidP="004C102A">
            <w:pPr>
              <w:rPr>
                <w:rFonts w:ascii="Times New Roman" w:hAnsi="Times New Roman" w:cs="Times New Roman"/>
              </w:rPr>
            </w:pPr>
            <w:r>
              <w:rPr>
                <w:rFonts w:ascii="Times New Roman" w:hAnsi="Times New Roman" w:cs="Times New Roman"/>
              </w:rPr>
              <w:t>Example</w:t>
            </w:r>
            <w:r w:rsidRPr="0069144A">
              <w:rPr>
                <w:rFonts w:ascii="Times New Roman" w:hAnsi="Times New Roman" w:cs="Times New Roman"/>
              </w:rPr>
              <w:t xml:space="preserve"> Claim: </w:t>
            </w:r>
          </w:p>
          <w:p w14:paraId="241CFB5D" w14:textId="77777777" w:rsidR="00636D7B" w:rsidRDefault="00636D7B" w:rsidP="004C102A">
            <w:pPr>
              <w:rPr>
                <w:rFonts w:ascii="Times New Roman" w:hAnsi="Times New Roman" w:cs="Times New Roman"/>
              </w:rPr>
            </w:pPr>
          </w:p>
          <w:p w14:paraId="06E3E599" w14:textId="77777777" w:rsidR="00636D7B" w:rsidRPr="0069144A" w:rsidRDefault="00636D7B" w:rsidP="004C102A">
            <w:pPr>
              <w:rPr>
                <w:rFonts w:ascii="Times New Roman" w:hAnsi="Times New Roman" w:cs="Times New Roman"/>
              </w:rPr>
            </w:pPr>
            <w:r w:rsidRPr="008760A4">
              <w:rPr>
                <w:rFonts w:ascii="Times New Roman" w:hAnsi="Times New Roman" w:cs="Times New Roman"/>
              </w:rPr>
              <w:lastRenderedPageBreak/>
              <w:t>The family context, however, is often the most influential context in which youth learn about the heritage culture</w:t>
            </w:r>
          </w:p>
          <w:p w14:paraId="6FEBC4A5" w14:textId="77777777" w:rsidR="00636D7B" w:rsidRPr="0069144A" w:rsidRDefault="00636D7B" w:rsidP="004C102A">
            <w:pPr>
              <w:rPr>
                <w:rFonts w:ascii="Times New Roman" w:hAnsi="Times New Roman" w:cs="Times New Roman"/>
              </w:rPr>
            </w:pPr>
          </w:p>
          <w:p w14:paraId="42E3D245" w14:textId="77777777" w:rsidR="00636D7B" w:rsidRPr="0069144A" w:rsidRDefault="00636D7B" w:rsidP="004C102A">
            <w:pPr>
              <w:rPr>
                <w:rFonts w:ascii="Times New Roman" w:hAnsi="Times New Roman" w:cs="Times New Roman"/>
              </w:rPr>
            </w:pPr>
            <w:r>
              <w:rPr>
                <w:rFonts w:ascii="Times New Roman" w:hAnsi="Times New Roman" w:cs="Times New Roman"/>
              </w:rPr>
              <w:t>Example</w:t>
            </w:r>
            <w:r w:rsidRPr="0069144A">
              <w:rPr>
                <w:rFonts w:ascii="Times New Roman" w:hAnsi="Times New Roman" w:cs="Times New Roman"/>
              </w:rPr>
              <w:t xml:space="preserve"> Support: </w:t>
            </w:r>
          </w:p>
          <w:p w14:paraId="3906834C" w14:textId="77777777" w:rsidR="00636D7B" w:rsidRDefault="00636D7B" w:rsidP="004C102A">
            <w:pPr>
              <w:rPr>
                <w:rFonts w:ascii="Times New Roman" w:hAnsi="Times New Roman" w:cs="Times New Roman"/>
              </w:rPr>
            </w:pPr>
          </w:p>
          <w:p w14:paraId="49E7D978" w14:textId="77777777" w:rsidR="00636D7B" w:rsidRPr="0069144A" w:rsidRDefault="00636D7B" w:rsidP="004C102A">
            <w:pPr>
              <w:rPr>
                <w:rFonts w:ascii="Times New Roman" w:hAnsi="Times New Roman" w:cs="Times New Roman"/>
              </w:rPr>
            </w:pPr>
            <w:r w:rsidRPr="008760A4">
              <w:rPr>
                <w:rFonts w:ascii="Times New Roman" w:hAnsi="Times New Roman" w:cs="Times New Roman"/>
              </w:rPr>
              <w:t>Explored the role of the ethnic family background and ethnic socialization in the social cognitive development of ethnic identity in Mexican-American children… Individually administered scales assessed parental generation of migration; parental education; mothers' cultural orientation; mothers' teaching about Mexican culture, ethnic pride, and discrimination; Mexican objects in the home; and children's ethnic identity. As predicted, the socialization indices functioned as a mediator of the influence of ethnic family background on their children's ethnic identity.</w:t>
            </w:r>
          </w:p>
          <w:p w14:paraId="5E8EA8C8" w14:textId="77777777" w:rsidR="00636D7B" w:rsidRDefault="00636D7B" w:rsidP="004C102A">
            <w:pPr>
              <w:rPr>
                <w:rFonts w:ascii="Times New Roman" w:hAnsi="Times New Roman" w:cs="Times New Roman"/>
              </w:rPr>
            </w:pPr>
          </w:p>
          <w:p w14:paraId="21EDF8D8" w14:textId="77777777" w:rsidR="00636D7B" w:rsidRPr="0069144A" w:rsidRDefault="00636D7B" w:rsidP="004C102A">
            <w:pPr>
              <w:rPr>
                <w:rFonts w:ascii="Times New Roman" w:hAnsi="Times New Roman" w:cs="Times New Roman"/>
              </w:rPr>
            </w:pPr>
            <w:r w:rsidRPr="0069144A">
              <w:rPr>
                <w:rFonts w:ascii="Times New Roman" w:hAnsi="Times New Roman" w:cs="Times New Roman"/>
              </w:rPr>
              <w:t xml:space="preserve">Code: </w:t>
            </w:r>
            <w:r>
              <w:rPr>
                <w:rFonts w:ascii="Times New Roman" w:hAnsi="Times New Roman" w:cs="Times New Roman"/>
              </w:rPr>
              <w:t>1</w:t>
            </w:r>
          </w:p>
          <w:p w14:paraId="4170376F" w14:textId="77777777" w:rsidR="00636D7B" w:rsidRPr="0069144A" w:rsidRDefault="00636D7B" w:rsidP="004C102A">
            <w:pPr>
              <w:rPr>
                <w:rFonts w:ascii="Times New Roman" w:hAnsi="Times New Roman" w:cs="Times New Roman"/>
              </w:rPr>
            </w:pPr>
          </w:p>
          <w:p w14:paraId="090B6350" w14:textId="77777777" w:rsidR="00636D7B" w:rsidRDefault="00636D7B" w:rsidP="004C102A">
            <w:pPr>
              <w:rPr>
                <w:rFonts w:ascii="Times New Roman" w:hAnsi="Times New Roman" w:cs="Times New Roman"/>
              </w:rPr>
            </w:pPr>
            <w:r w:rsidRPr="0069144A">
              <w:rPr>
                <w:rFonts w:ascii="Times New Roman" w:hAnsi="Times New Roman" w:cs="Times New Roman"/>
              </w:rPr>
              <w:t xml:space="preserve">Rationale: </w:t>
            </w:r>
          </w:p>
          <w:p w14:paraId="14ED9A34" w14:textId="77777777" w:rsidR="00636D7B" w:rsidRDefault="00636D7B" w:rsidP="004C102A">
            <w:pPr>
              <w:rPr>
                <w:rFonts w:ascii="Times New Roman" w:hAnsi="Times New Roman" w:cs="Times New Roman"/>
              </w:rPr>
            </w:pPr>
          </w:p>
          <w:p w14:paraId="7A4181D2" w14:textId="77777777" w:rsidR="00636D7B" w:rsidRDefault="00636D7B" w:rsidP="004C102A">
            <w:pPr>
              <w:rPr>
                <w:rFonts w:ascii="Times New Roman" w:hAnsi="Times New Roman" w:cs="Times New Roman"/>
              </w:rPr>
            </w:pPr>
            <w:r w:rsidRPr="008760A4">
              <w:rPr>
                <w:rFonts w:ascii="Times New Roman" w:hAnsi="Times New Roman" w:cs="Times New Roman"/>
              </w:rPr>
              <w:t>The cited study found family context to be influential, however, this context was not compared to others so the claim that it is the most influential context could not be evaluated</w:t>
            </w:r>
          </w:p>
          <w:p w14:paraId="3E1E59B0" w14:textId="77777777" w:rsidR="00636D7B" w:rsidRPr="0069144A" w:rsidRDefault="00636D7B" w:rsidP="004C102A">
            <w:pPr>
              <w:rPr>
                <w:rFonts w:ascii="Times New Roman" w:hAnsi="Times New Roman" w:cs="Times New Roman"/>
              </w:rPr>
            </w:pPr>
          </w:p>
        </w:tc>
      </w:tr>
    </w:tbl>
    <w:p w14:paraId="5F2FBC8D" w14:textId="77777777" w:rsidR="00636D7B" w:rsidRPr="0069144A" w:rsidRDefault="00636D7B" w:rsidP="00636D7B">
      <w:pPr>
        <w:rPr>
          <w:rFonts w:ascii="Times New Roman" w:hAnsi="Times New Roman" w:cs="Times New Roman"/>
          <w:b/>
          <w:bCs/>
          <w:i/>
          <w:iCs/>
        </w:rPr>
      </w:pPr>
    </w:p>
    <w:p w14:paraId="45614C4F" w14:textId="77777777" w:rsidR="00636D7B" w:rsidRPr="0069144A" w:rsidRDefault="00636D7B" w:rsidP="00636D7B">
      <w:pPr>
        <w:jc w:val="center"/>
        <w:rPr>
          <w:rFonts w:ascii="Times New Roman" w:hAnsi="Times New Roman" w:cs="Times New Roman"/>
          <w:b/>
          <w:bCs/>
          <w:i/>
          <w:iCs/>
        </w:rPr>
      </w:pPr>
      <w:r>
        <w:rPr>
          <w:rFonts w:ascii="Times New Roman" w:hAnsi="Times New Roman" w:cs="Times New Roman"/>
          <w:b/>
          <w:bCs/>
          <w:i/>
          <w:iCs/>
        </w:rPr>
        <w:t>Inaccurate</w:t>
      </w:r>
    </w:p>
    <w:tbl>
      <w:tblPr>
        <w:tblStyle w:val="TableGrid"/>
        <w:tblW w:w="10170" w:type="dxa"/>
        <w:tblInd w:w="-365" w:type="dxa"/>
        <w:tblLook w:val="04A0" w:firstRow="1" w:lastRow="0" w:firstColumn="1" w:lastColumn="0" w:noHBand="0" w:noVBand="1"/>
      </w:tblPr>
      <w:tblGrid>
        <w:gridCol w:w="10170"/>
      </w:tblGrid>
      <w:tr w:rsidR="00636D7B" w:rsidRPr="0069144A" w14:paraId="1CDD1CC9" w14:textId="77777777" w:rsidTr="004C102A">
        <w:trPr>
          <w:trHeight w:val="288"/>
        </w:trPr>
        <w:tc>
          <w:tcPr>
            <w:tcW w:w="10170" w:type="dxa"/>
          </w:tcPr>
          <w:p w14:paraId="40B9396F" w14:textId="77777777" w:rsidR="00636D7B" w:rsidRPr="001F1DB4" w:rsidRDefault="00636D7B" w:rsidP="004C102A">
            <w:pPr>
              <w:rPr>
                <w:rFonts w:ascii="Times New Roman" w:hAnsi="Times New Roman" w:cs="Times New Roman"/>
                <w:b/>
                <w:bCs/>
              </w:rPr>
            </w:pPr>
            <w:r w:rsidRPr="001F1DB4">
              <w:rPr>
                <w:rFonts w:ascii="Times New Roman" w:hAnsi="Times New Roman" w:cs="Times New Roman"/>
                <w:b/>
                <w:bCs/>
              </w:rPr>
              <w:t xml:space="preserve">Nonexistent in Original Study: </w:t>
            </w:r>
            <w:r w:rsidRPr="00E67FAF">
              <w:rPr>
                <w:rFonts w:ascii="Times New Roman" w:hAnsi="Times New Roman" w:cs="Times New Roman"/>
              </w:rPr>
              <w:t>The</w:t>
            </w:r>
            <w:r>
              <w:rPr>
                <w:rFonts w:ascii="Times New Roman" w:hAnsi="Times New Roman" w:cs="Times New Roman"/>
              </w:rPr>
              <w:t xml:space="preserve"> cited</w:t>
            </w:r>
            <w:r w:rsidRPr="00E67FAF">
              <w:rPr>
                <w:rFonts w:ascii="Times New Roman" w:hAnsi="Times New Roman" w:cs="Times New Roman"/>
              </w:rPr>
              <w:t xml:space="preserve"> claim </w:t>
            </w:r>
            <w:r>
              <w:rPr>
                <w:rFonts w:ascii="Times New Roman" w:hAnsi="Times New Roman" w:cs="Times New Roman"/>
              </w:rPr>
              <w:t>was not assessed in any way in the original study</w:t>
            </w:r>
            <w:r w:rsidRPr="001F1DB4">
              <w:rPr>
                <w:rFonts w:ascii="Times New Roman" w:hAnsi="Times New Roman" w:cs="Times New Roman"/>
                <w:b/>
                <w:bCs/>
              </w:rPr>
              <w:t xml:space="preserve"> </w:t>
            </w:r>
          </w:p>
        </w:tc>
      </w:tr>
      <w:tr w:rsidR="00636D7B" w:rsidRPr="0069144A" w14:paraId="2057FBE9" w14:textId="77777777" w:rsidTr="004C102A">
        <w:trPr>
          <w:trHeight w:val="288"/>
        </w:trPr>
        <w:tc>
          <w:tcPr>
            <w:tcW w:w="10170" w:type="dxa"/>
          </w:tcPr>
          <w:p w14:paraId="69A60D1B" w14:textId="77777777" w:rsidR="00636D7B" w:rsidRPr="0069144A" w:rsidRDefault="00636D7B" w:rsidP="004C102A">
            <w:pPr>
              <w:rPr>
                <w:rFonts w:ascii="Times New Roman" w:hAnsi="Times New Roman" w:cs="Times New Roman"/>
              </w:rPr>
            </w:pPr>
            <w:r>
              <w:rPr>
                <w:rFonts w:ascii="Times New Roman" w:hAnsi="Times New Roman" w:cs="Times New Roman"/>
              </w:rPr>
              <w:t>Example</w:t>
            </w:r>
            <w:r w:rsidRPr="0069144A">
              <w:rPr>
                <w:rFonts w:ascii="Times New Roman" w:hAnsi="Times New Roman" w:cs="Times New Roman"/>
              </w:rPr>
              <w:t xml:space="preserve"> Claim: </w:t>
            </w:r>
          </w:p>
          <w:p w14:paraId="2251A698" w14:textId="77777777" w:rsidR="00636D7B" w:rsidRDefault="00636D7B" w:rsidP="004C102A">
            <w:pPr>
              <w:rPr>
                <w:rFonts w:ascii="Times New Roman" w:hAnsi="Times New Roman" w:cs="Times New Roman"/>
              </w:rPr>
            </w:pPr>
          </w:p>
          <w:p w14:paraId="3170CA45" w14:textId="77777777" w:rsidR="00636D7B" w:rsidRPr="0069144A" w:rsidRDefault="00636D7B" w:rsidP="004C102A">
            <w:pPr>
              <w:rPr>
                <w:rFonts w:ascii="Times New Roman" w:hAnsi="Times New Roman" w:cs="Times New Roman"/>
              </w:rPr>
            </w:pPr>
            <w:r w:rsidRPr="008760A4">
              <w:rPr>
                <w:rFonts w:ascii="Times New Roman" w:hAnsi="Times New Roman" w:cs="Times New Roman"/>
              </w:rPr>
              <w:t>Youth who experience more bullying/harassment offline (such as being verbally or physically attacked about some physical, mental, or social trait) are at heightened risk for worse mental, physical, and academic outcomes over time than youth who have experienced less victimization.</w:t>
            </w:r>
          </w:p>
          <w:p w14:paraId="4F0C839F" w14:textId="77777777" w:rsidR="00636D7B" w:rsidRDefault="00636D7B" w:rsidP="004C102A">
            <w:pPr>
              <w:rPr>
                <w:rFonts w:ascii="Times New Roman" w:hAnsi="Times New Roman" w:cs="Times New Roman"/>
              </w:rPr>
            </w:pPr>
          </w:p>
          <w:p w14:paraId="2E223A56" w14:textId="77777777" w:rsidR="00636D7B" w:rsidRPr="0069144A" w:rsidRDefault="00636D7B" w:rsidP="004C102A">
            <w:pPr>
              <w:rPr>
                <w:rFonts w:ascii="Times New Roman" w:hAnsi="Times New Roman" w:cs="Times New Roman"/>
              </w:rPr>
            </w:pPr>
            <w:r>
              <w:rPr>
                <w:rFonts w:ascii="Times New Roman" w:hAnsi="Times New Roman" w:cs="Times New Roman"/>
              </w:rPr>
              <w:t>Example</w:t>
            </w:r>
            <w:r w:rsidRPr="0069144A">
              <w:rPr>
                <w:rFonts w:ascii="Times New Roman" w:hAnsi="Times New Roman" w:cs="Times New Roman"/>
              </w:rPr>
              <w:t xml:space="preserve"> Support: </w:t>
            </w:r>
          </w:p>
          <w:p w14:paraId="7224CB55" w14:textId="77777777" w:rsidR="00636D7B" w:rsidRDefault="00636D7B" w:rsidP="004C102A">
            <w:pPr>
              <w:rPr>
                <w:rFonts w:ascii="Times New Roman" w:hAnsi="Times New Roman" w:cs="Times New Roman"/>
              </w:rPr>
            </w:pPr>
          </w:p>
          <w:p w14:paraId="089970C5" w14:textId="77777777" w:rsidR="00636D7B" w:rsidRDefault="00636D7B" w:rsidP="004C102A">
            <w:pPr>
              <w:rPr>
                <w:rFonts w:ascii="Times New Roman" w:hAnsi="Times New Roman" w:cs="Times New Roman"/>
              </w:rPr>
            </w:pPr>
            <w:r w:rsidRPr="008760A4">
              <w:rPr>
                <w:rFonts w:ascii="Times New Roman" w:hAnsi="Times New Roman" w:cs="Times New Roman"/>
              </w:rPr>
              <w:t xml:space="preserve">Compared to uninvolved adolescents, cybervictims and cyberbully-victims were significantly more likely to report symptoms of depression (cybervictims: odds ratio [OR] = 1.44, 95% confidence interval [CI] [1.00, 2.06]; cyberbully-victims: OR = 1.54, 95% CI [1.13, 2.09]) and social anxiety (cybervictims: OR = 1.52, 95% CI [1.11, 2.07]; cyberbully-victims: OR = 1.44, 95% CI [1.10, 1.89]) but not below average well-being (cybervictims: relative risk ratio = 1.28, 95% CI [.86, 1.91]; cyberbully-victims: relative risk ratio = 1.38, 95% CI [.95, 1.99]) at 1 year follow-up, after adjustment for confounding factors including baseline mental health. </w:t>
            </w:r>
          </w:p>
          <w:p w14:paraId="0187F6D5" w14:textId="77777777" w:rsidR="00636D7B" w:rsidRDefault="00636D7B" w:rsidP="004C102A">
            <w:pPr>
              <w:rPr>
                <w:rFonts w:ascii="Times New Roman" w:hAnsi="Times New Roman" w:cs="Times New Roman"/>
              </w:rPr>
            </w:pPr>
          </w:p>
          <w:p w14:paraId="581504DF" w14:textId="77777777" w:rsidR="00636D7B" w:rsidRPr="0069144A" w:rsidRDefault="00636D7B" w:rsidP="004C102A">
            <w:pPr>
              <w:rPr>
                <w:rFonts w:ascii="Times New Roman" w:hAnsi="Times New Roman" w:cs="Times New Roman"/>
              </w:rPr>
            </w:pPr>
            <w:r w:rsidRPr="0069144A">
              <w:rPr>
                <w:rFonts w:ascii="Times New Roman" w:hAnsi="Times New Roman" w:cs="Times New Roman"/>
              </w:rPr>
              <w:t xml:space="preserve">Code: </w:t>
            </w:r>
            <w:r>
              <w:rPr>
                <w:rFonts w:ascii="Times New Roman" w:hAnsi="Times New Roman" w:cs="Times New Roman"/>
              </w:rPr>
              <w:t>2</w:t>
            </w:r>
          </w:p>
          <w:p w14:paraId="3968C165" w14:textId="77777777" w:rsidR="00636D7B" w:rsidRPr="0069144A" w:rsidRDefault="00636D7B" w:rsidP="004C102A">
            <w:pPr>
              <w:rPr>
                <w:rFonts w:ascii="Times New Roman" w:hAnsi="Times New Roman" w:cs="Times New Roman"/>
              </w:rPr>
            </w:pPr>
          </w:p>
          <w:p w14:paraId="02D01198" w14:textId="77777777" w:rsidR="00636D7B" w:rsidRDefault="00636D7B" w:rsidP="004C102A">
            <w:pPr>
              <w:rPr>
                <w:rFonts w:ascii="Times New Roman" w:hAnsi="Times New Roman" w:cs="Times New Roman"/>
              </w:rPr>
            </w:pPr>
            <w:r w:rsidRPr="0069144A">
              <w:rPr>
                <w:rFonts w:ascii="Times New Roman" w:hAnsi="Times New Roman" w:cs="Times New Roman"/>
              </w:rPr>
              <w:t xml:space="preserve">Rationale: </w:t>
            </w:r>
          </w:p>
          <w:p w14:paraId="033F95CA" w14:textId="77777777" w:rsidR="00636D7B" w:rsidRDefault="00636D7B" w:rsidP="004C102A">
            <w:pPr>
              <w:rPr>
                <w:rFonts w:ascii="Times New Roman" w:hAnsi="Times New Roman" w:cs="Times New Roman"/>
              </w:rPr>
            </w:pPr>
          </w:p>
          <w:p w14:paraId="3962283F" w14:textId="77777777" w:rsidR="00636D7B" w:rsidRDefault="00636D7B" w:rsidP="004C102A">
            <w:pPr>
              <w:rPr>
                <w:rFonts w:ascii="Times New Roman" w:hAnsi="Times New Roman" w:cs="Times New Roman"/>
              </w:rPr>
            </w:pPr>
            <w:r w:rsidRPr="008760A4">
              <w:rPr>
                <w:rFonts w:ascii="Times New Roman" w:hAnsi="Times New Roman" w:cs="Times New Roman"/>
              </w:rPr>
              <w:t>The claim specifically regards offline bullying, the cited study does not provide support for this claim as it only measured cyber bullying</w:t>
            </w:r>
          </w:p>
          <w:p w14:paraId="05AEDCC4" w14:textId="77777777" w:rsidR="00636D7B" w:rsidRPr="0069144A" w:rsidRDefault="00636D7B" w:rsidP="004C102A">
            <w:pPr>
              <w:rPr>
                <w:rFonts w:ascii="Times New Roman" w:hAnsi="Times New Roman" w:cs="Times New Roman"/>
              </w:rPr>
            </w:pPr>
          </w:p>
        </w:tc>
      </w:tr>
      <w:tr w:rsidR="00636D7B" w:rsidRPr="0069144A" w14:paraId="2B96AB8A" w14:textId="77777777" w:rsidTr="004C102A">
        <w:trPr>
          <w:trHeight w:val="288"/>
        </w:trPr>
        <w:tc>
          <w:tcPr>
            <w:tcW w:w="10170" w:type="dxa"/>
          </w:tcPr>
          <w:p w14:paraId="6A67CFAA" w14:textId="77777777" w:rsidR="00636D7B" w:rsidRPr="0069144A" w:rsidRDefault="00636D7B" w:rsidP="004C102A">
            <w:pPr>
              <w:rPr>
                <w:rFonts w:ascii="Times New Roman" w:hAnsi="Times New Roman" w:cs="Times New Roman"/>
              </w:rPr>
            </w:pPr>
            <w:r w:rsidRPr="001F1DB4">
              <w:rPr>
                <w:rFonts w:ascii="Times New Roman" w:hAnsi="Times New Roman" w:cs="Times New Roman"/>
                <w:b/>
                <w:bCs/>
              </w:rPr>
              <w:t>Contradiction</w:t>
            </w:r>
            <w:r>
              <w:rPr>
                <w:rFonts w:ascii="Times New Roman" w:hAnsi="Times New Roman" w:cs="Times New Roman"/>
              </w:rPr>
              <w:t xml:space="preserve">: The cited directly contradicts the finding from the original study. </w:t>
            </w:r>
          </w:p>
        </w:tc>
      </w:tr>
      <w:tr w:rsidR="00636D7B" w:rsidRPr="0069144A" w14:paraId="20215372" w14:textId="77777777" w:rsidTr="004C102A">
        <w:trPr>
          <w:trHeight w:val="288"/>
        </w:trPr>
        <w:tc>
          <w:tcPr>
            <w:tcW w:w="10170" w:type="dxa"/>
          </w:tcPr>
          <w:p w14:paraId="4E3F8D7F" w14:textId="77777777" w:rsidR="00636D7B" w:rsidRDefault="00636D7B" w:rsidP="004C102A">
            <w:pPr>
              <w:rPr>
                <w:rFonts w:ascii="Times New Roman" w:hAnsi="Times New Roman" w:cs="Times New Roman"/>
              </w:rPr>
            </w:pPr>
            <w:r>
              <w:rPr>
                <w:rFonts w:ascii="Times New Roman" w:hAnsi="Times New Roman" w:cs="Times New Roman"/>
              </w:rPr>
              <w:lastRenderedPageBreak/>
              <w:t>Example</w:t>
            </w:r>
            <w:r w:rsidRPr="0069144A">
              <w:rPr>
                <w:rFonts w:ascii="Times New Roman" w:hAnsi="Times New Roman" w:cs="Times New Roman"/>
              </w:rPr>
              <w:t xml:space="preserve"> Claim: </w:t>
            </w:r>
          </w:p>
          <w:p w14:paraId="77241C19" w14:textId="77777777" w:rsidR="00636D7B" w:rsidRPr="0069144A" w:rsidRDefault="00636D7B" w:rsidP="004C102A">
            <w:pPr>
              <w:rPr>
                <w:rFonts w:ascii="Times New Roman" w:hAnsi="Times New Roman" w:cs="Times New Roman"/>
              </w:rPr>
            </w:pPr>
          </w:p>
          <w:p w14:paraId="3F56D88D" w14:textId="77777777" w:rsidR="00636D7B" w:rsidRDefault="00636D7B" w:rsidP="004C102A">
            <w:pPr>
              <w:rPr>
                <w:rFonts w:ascii="Times New Roman" w:hAnsi="Times New Roman" w:cs="Times New Roman"/>
              </w:rPr>
            </w:pPr>
            <w:r w:rsidRPr="008853FB">
              <w:rPr>
                <w:rFonts w:ascii="Times New Roman" w:hAnsi="Times New Roman" w:cs="Times New Roman"/>
              </w:rPr>
              <w:t>Some research, including that conducted using adolescent samples supports an immigrant paradox, whereby risk behaviors are more prevalent among later-generation, compared to first</w:t>
            </w:r>
            <w:r>
              <w:rPr>
                <w:rFonts w:ascii="Times New Roman" w:hAnsi="Times New Roman" w:cs="Times New Roman"/>
              </w:rPr>
              <w:t xml:space="preserve"> </w:t>
            </w:r>
            <w:r w:rsidRPr="008853FB">
              <w:rPr>
                <w:rFonts w:ascii="Times New Roman" w:hAnsi="Times New Roman" w:cs="Times New Roman"/>
              </w:rPr>
              <w:t>generation immigrant Latinos/as</w:t>
            </w:r>
          </w:p>
          <w:p w14:paraId="01BE819A" w14:textId="77777777" w:rsidR="00636D7B" w:rsidRPr="0069144A" w:rsidRDefault="00636D7B" w:rsidP="004C102A">
            <w:pPr>
              <w:rPr>
                <w:rFonts w:ascii="Times New Roman" w:hAnsi="Times New Roman" w:cs="Times New Roman"/>
              </w:rPr>
            </w:pPr>
          </w:p>
          <w:p w14:paraId="047EA566" w14:textId="77777777" w:rsidR="00636D7B" w:rsidRPr="0069144A" w:rsidRDefault="00636D7B" w:rsidP="004C102A">
            <w:pPr>
              <w:rPr>
                <w:rFonts w:ascii="Times New Roman" w:hAnsi="Times New Roman" w:cs="Times New Roman"/>
              </w:rPr>
            </w:pPr>
            <w:r>
              <w:rPr>
                <w:rFonts w:ascii="Times New Roman" w:hAnsi="Times New Roman" w:cs="Times New Roman"/>
              </w:rPr>
              <w:t>Example</w:t>
            </w:r>
            <w:r w:rsidRPr="0069144A">
              <w:rPr>
                <w:rFonts w:ascii="Times New Roman" w:hAnsi="Times New Roman" w:cs="Times New Roman"/>
              </w:rPr>
              <w:t xml:space="preserve"> Support: </w:t>
            </w:r>
          </w:p>
          <w:p w14:paraId="099BF33B" w14:textId="77777777" w:rsidR="00636D7B" w:rsidRDefault="00636D7B" w:rsidP="004C102A">
            <w:pPr>
              <w:rPr>
                <w:rFonts w:ascii="Times New Roman" w:hAnsi="Times New Roman" w:cs="Times New Roman"/>
              </w:rPr>
            </w:pPr>
          </w:p>
          <w:p w14:paraId="3ECED93E" w14:textId="77777777" w:rsidR="00636D7B" w:rsidRDefault="00636D7B" w:rsidP="004C102A">
            <w:pPr>
              <w:rPr>
                <w:rFonts w:ascii="Times New Roman" w:hAnsi="Times New Roman" w:cs="Times New Roman"/>
              </w:rPr>
            </w:pPr>
            <w:r w:rsidRPr="008853FB">
              <w:rPr>
                <w:rFonts w:ascii="Times New Roman" w:hAnsi="Times New Roman" w:cs="Times New Roman"/>
              </w:rPr>
              <w:t>We used data from 1466 youth (ages 8–16) enrolled in the Hispanic Community Health Study of Latino Youth (SOL Youth), a probability sample of Hispanic/Latino youth living in Chicago (IL), Miami (FL), Bronx (NY), and San Diego (CA). We found no evidence of an immigrant paradox.</w:t>
            </w:r>
          </w:p>
          <w:p w14:paraId="207100A9" w14:textId="77777777" w:rsidR="00636D7B" w:rsidRDefault="00636D7B" w:rsidP="004C102A">
            <w:pPr>
              <w:rPr>
                <w:rFonts w:ascii="Times New Roman" w:hAnsi="Times New Roman" w:cs="Times New Roman"/>
              </w:rPr>
            </w:pPr>
          </w:p>
          <w:p w14:paraId="2A331DE0" w14:textId="77777777" w:rsidR="00636D7B" w:rsidRPr="0069144A" w:rsidRDefault="00636D7B" w:rsidP="004C102A">
            <w:pPr>
              <w:rPr>
                <w:rFonts w:ascii="Times New Roman" w:hAnsi="Times New Roman" w:cs="Times New Roman"/>
              </w:rPr>
            </w:pPr>
            <w:r w:rsidRPr="0069144A">
              <w:rPr>
                <w:rFonts w:ascii="Times New Roman" w:hAnsi="Times New Roman" w:cs="Times New Roman"/>
              </w:rPr>
              <w:t xml:space="preserve">Code: </w:t>
            </w:r>
            <w:r>
              <w:rPr>
                <w:rFonts w:ascii="Times New Roman" w:hAnsi="Times New Roman" w:cs="Times New Roman"/>
              </w:rPr>
              <w:t>2</w:t>
            </w:r>
          </w:p>
          <w:p w14:paraId="060DE2FC" w14:textId="77777777" w:rsidR="00636D7B" w:rsidRPr="0069144A" w:rsidRDefault="00636D7B" w:rsidP="004C102A">
            <w:pPr>
              <w:rPr>
                <w:rFonts w:ascii="Times New Roman" w:hAnsi="Times New Roman" w:cs="Times New Roman"/>
              </w:rPr>
            </w:pPr>
          </w:p>
          <w:p w14:paraId="5DC99165" w14:textId="77777777" w:rsidR="00636D7B" w:rsidRDefault="00636D7B" w:rsidP="004C102A">
            <w:pPr>
              <w:rPr>
                <w:rFonts w:ascii="Times New Roman" w:hAnsi="Times New Roman" w:cs="Times New Roman"/>
              </w:rPr>
            </w:pPr>
            <w:r w:rsidRPr="0069144A">
              <w:rPr>
                <w:rFonts w:ascii="Times New Roman" w:hAnsi="Times New Roman" w:cs="Times New Roman"/>
              </w:rPr>
              <w:t xml:space="preserve">Rationale: </w:t>
            </w:r>
          </w:p>
          <w:p w14:paraId="18DBC435" w14:textId="77777777" w:rsidR="00636D7B" w:rsidRDefault="00636D7B" w:rsidP="004C102A">
            <w:pPr>
              <w:rPr>
                <w:rFonts w:ascii="Times New Roman" w:hAnsi="Times New Roman" w:cs="Times New Roman"/>
              </w:rPr>
            </w:pPr>
          </w:p>
          <w:p w14:paraId="4202EA0A" w14:textId="77777777" w:rsidR="00636D7B" w:rsidRDefault="00636D7B" w:rsidP="004C102A">
            <w:pPr>
              <w:rPr>
                <w:rFonts w:ascii="Times New Roman" w:hAnsi="Times New Roman" w:cs="Times New Roman"/>
              </w:rPr>
            </w:pPr>
            <w:r w:rsidRPr="00DD2D9A">
              <w:rPr>
                <w:rFonts w:ascii="Times New Roman" w:hAnsi="Times New Roman" w:cs="Times New Roman"/>
              </w:rPr>
              <w:t>The cited</w:t>
            </w:r>
            <w:r>
              <w:rPr>
                <w:rFonts w:ascii="Times New Roman" w:hAnsi="Times New Roman" w:cs="Times New Roman"/>
              </w:rPr>
              <w:t xml:space="preserve"> claim states that evidence for an immigrant paradox was supported, whereas the original study explicitly states that there was no evidence for an immigrant paradox</w:t>
            </w:r>
            <w:r w:rsidRPr="00DD2D9A">
              <w:rPr>
                <w:rFonts w:ascii="Times New Roman" w:hAnsi="Times New Roman" w:cs="Times New Roman"/>
              </w:rPr>
              <w:t xml:space="preserve"> </w:t>
            </w:r>
          </w:p>
          <w:p w14:paraId="04D951BC" w14:textId="77777777" w:rsidR="00636D7B" w:rsidRPr="0069144A" w:rsidRDefault="00636D7B" w:rsidP="004C102A">
            <w:pPr>
              <w:rPr>
                <w:rFonts w:ascii="Times New Roman" w:hAnsi="Times New Roman" w:cs="Times New Roman"/>
              </w:rPr>
            </w:pPr>
          </w:p>
        </w:tc>
      </w:tr>
    </w:tbl>
    <w:p w14:paraId="398AEE18" w14:textId="77777777" w:rsidR="00636D7B" w:rsidRPr="0069144A" w:rsidRDefault="00636D7B" w:rsidP="00636D7B">
      <w:pPr>
        <w:rPr>
          <w:rFonts w:ascii="Times New Roman" w:hAnsi="Times New Roman" w:cs="Times New Roman"/>
        </w:rPr>
      </w:pPr>
    </w:p>
    <w:p w14:paraId="21DCD29B" w14:textId="77777777" w:rsidR="00636D7B" w:rsidRPr="0069144A" w:rsidRDefault="00636D7B" w:rsidP="00636D7B">
      <w:pPr>
        <w:jc w:val="center"/>
        <w:rPr>
          <w:rFonts w:ascii="Times New Roman" w:hAnsi="Times New Roman" w:cs="Times New Roman"/>
          <w:b/>
          <w:bCs/>
          <w:i/>
          <w:iCs/>
        </w:rPr>
      </w:pPr>
    </w:p>
    <w:p w14:paraId="2845468B" w14:textId="77777777" w:rsidR="00636D7B" w:rsidRDefault="00636D7B"/>
    <w:sectPr w:rsidR="00636D7B" w:rsidSect="00EE6E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D9C"/>
    <w:rsid w:val="000B4241"/>
    <w:rsid w:val="00210B8D"/>
    <w:rsid w:val="005B7308"/>
    <w:rsid w:val="00636D7B"/>
    <w:rsid w:val="009359FE"/>
    <w:rsid w:val="00A826A8"/>
    <w:rsid w:val="00C10263"/>
    <w:rsid w:val="00C128DB"/>
    <w:rsid w:val="00E21D9C"/>
    <w:rsid w:val="00EB2677"/>
    <w:rsid w:val="00FE0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0F723"/>
  <w15:chartTrackingRefBased/>
  <w15:docId w15:val="{77531B11-6978-4556-9DC3-F8BB1B720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D9C"/>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1D9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1553</TotalTime>
  <Pages>6</Pages>
  <Words>1744</Words>
  <Characters>9946</Characters>
  <Application>Microsoft Office Word</Application>
  <DocSecurity>0</DocSecurity>
  <Lines>82</Lines>
  <Paragraphs>23</Paragraphs>
  <ScaleCrop>false</ScaleCrop>
  <Company/>
  <LinksUpToDate>false</LinksUpToDate>
  <CharactersWithSpaces>11667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Cory Cobb</dc:creator>
  <cp:keywords/>
  <dc:description/>
  <cp:lastModifiedBy>Cory Cobb</cp:lastModifiedBy>
  <cp:revision>10</cp:revision>
  <dcterms:created xsi:type="dcterms:W3CDTF">2022-08-10T19:45:00Z</dcterms:created>
  <dcterms:modified xsi:type="dcterms:W3CDTF">2022-11-13T06:23:00Z</dcterms:modified>
</cp:coreProperties>
</file>