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2D5E0" w14:textId="77777777" w:rsidR="001C04D4" w:rsidRDefault="00C96845" w:rsidP="00C96845">
      <w:pPr>
        <w:jc w:val="center"/>
        <w:rPr>
          <w:b/>
          <w:bCs/>
        </w:rPr>
      </w:pPr>
      <w:r w:rsidRPr="00EA32F5">
        <w:rPr>
          <w:b/>
          <w:bCs/>
        </w:rPr>
        <w:t>Supplemental Online Material</w:t>
      </w:r>
      <w:r w:rsidR="001C04D4">
        <w:rPr>
          <w:b/>
          <w:bCs/>
        </w:rPr>
        <w:t xml:space="preserve"> for </w:t>
      </w:r>
    </w:p>
    <w:p w14:paraId="2627BB20" w14:textId="1E0EBD54" w:rsidR="001C04D4" w:rsidRDefault="001C04D4" w:rsidP="00C96845">
      <w:pPr>
        <w:jc w:val="center"/>
      </w:pPr>
      <w:r>
        <w:rPr>
          <w:b/>
          <w:bCs/>
        </w:rPr>
        <w:t>“What Can Be Learned from Growth Mindset Controversies?”</w:t>
      </w:r>
    </w:p>
    <w:p w14:paraId="62BCC299" w14:textId="7E825F50" w:rsidR="001C04D4" w:rsidRDefault="001C04D4" w:rsidP="001C04D4"/>
    <w:p w14:paraId="6A8F8A4E" w14:textId="2F550937" w:rsidR="001C04D4" w:rsidRDefault="001C04D4" w:rsidP="001C04D4">
      <w:r w:rsidRPr="001C04D4">
        <w:t xml:space="preserve">This online supplement includes the following information: </w:t>
      </w:r>
    </w:p>
    <w:p w14:paraId="6C4F51CD" w14:textId="77777777" w:rsidR="00573723" w:rsidRPr="001C04D4" w:rsidRDefault="00573723" w:rsidP="001C04D4"/>
    <w:p w14:paraId="39986821" w14:textId="0740051D" w:rsidR="001C04D4" w:rsidRDefault="001C04D4" w:rsidP="001C04D4">
      <w:pPr>
        <w:pStyle w:val="ListParagraph"/>
        <w:numPr>
          <w:ilvl w:val="0"/>
          <w:numId w:val="4"/>
        </w:numPr>
        <w:rPr>
          <w:rFonts w:ascii="Times New Roman" w:hAnsi="Times New Roman" w:cs="Times New Roman"/>
        </w:rPr>
      </w:pPr>
      <w:r>
        <w:rPr>
          <w:rFonts w:ascii="Times New Roman" w:hAnsi="Times New Roman" w:cs="Times New Roman"/>
        </w:rPr>
        <w:t xml:space="preserve">Appendix 1: The Mindset Meaning-System Index (MMI) and the brief fixed mindset measure. </w:t>
      </w:r>
    </w:p>
    <w:p w14:paraId="3E10DAEA" w14:textId="77777777" w:rsidR="00573723" w:rsidRPr="00573723" w:rsidRDefault="00573723" w:rsidP="00573723"/>
    <w:p w14:paraId="3EB85633" w14:textId="4E933F55" w:rsidR="003157F0" w:rsidRPr="003157F0" w:rsidRDefault="001C04D4" w:rsidP="001C04D4">
      <w:pPr>
        <w:pStyle w:val="ListParagraph"/>
        <w:numPr>
          <w:ilvl w:val="0"/>
          <w:numId w:val="4"/>
        </w:numPr>
        <w:rPr>
          <w:b/>
          <w:bCs/>
        </w:rPr>
      </w:pPr>
      <w:r>
        <w:rPr>
          <w:rFonts w:ascii="Times New Roman" w:hAnsi="Times New Roman" w:cs="Times New Roman"/>
        </w:rPr>
        <w:t xml:space="preserve">Appendix 2: New data </w:t>
      </w:r>
      <w:r w:rsidR="007174BF">
        <w:rPr>
          <w:rFonts w:ascii="Times New Roman" w:hAnsi="Times New Roman" w:cs="Times New Roman"/>
        </w:rPr>
        <w:t xml:space="preserve">collected to understand why the performance avoidance goals administered by </w:t>
      </w:r>
      <w:r>
        <w:rPr>
          <w:rFonts w:ascii="Times New Roman" w:hAnsi="Times New Roman" w:cs="Times New Roman"/>
        </w:rPr>
        <w:t>Burgoyne et al. (2020)</w:t>
      </w:r>
      <w:r w:rsidR="007174BF">
        <w:rPr>
          <w:rFonts w:ascii="Times New Roman" w:hAnsi="Times New Roman" w:cs="Times New Roman"/>
        </w:rPr>
        <w:t xml:space="preserve"> were not correlated with mindset. </w:t>
      </w:r>
    </w:p>
    <w:p w14:paraId="40CFC80E" w14:textId="77777777" w:rsidR="003157F0" w:rsidRPr="003157F0" w:rsidRDefault="003157F0" w:rsidP="003157F0">
      <w:pPr>
        <w:pStyle w:val="ListParagraph"/>
        <w:rPr>
          <w:rFonts w:ascii="Times New Roman" w:hAnsi="Times New Roman" w:cs="Times New Roman"/>
        </w:rPr>
      </w:pPr>
    </w:p>
    <w:p w14:paraId="3C915D14" w14:textId="77777777" w:rsidR="001C04D4" w:rsidRDefault="001C04D4" w:rsidP="00AB09E3">
      <w:pPr>
        <w:rPr>
          <w:b/>
          <w:bCs/>
        </w:rPr>
      </w:pPr>
    </w:p>
    <w:p w14:paraId="282FBB47" w14:textId="0C4134C0" w:rsidR="00C96845" w:rsidRDefault="001C04D4" w:rsidP="00C96845">
      <w:pPr>
        <w:jc w:val="center"/>
        <w:rPr>
          <w:b/>
          <w:bCs/>
        </w:rPr>
      </w:pPr>
      <w:r>
        <w:rPr>
          <w:b/>
          <w:bCs/>
        </w:rPr>
        <w:br/>
      </w:r>
    </w:p>
    <w:p w14:paraId="4A306BF5" w14:textId="77777777" w:rsidR="00C96845" w:rsidRPr="00EA32F5" w:rsidRDefault="00C96845" w:rsidP="00C96845">
      <w:pPr>
        <w:jc w:val="center"/>
      </w:pPr>
    </w:p>
    <w:p w14:paraId="368DD28F" w14:textId="77777777" w:rsidR="001C04D4" w:rsidRDefault="001C04D4">
      <w:pPr>
        <w:rPr>
          <w:b/>
          <w:bCs/>
        </w:rPr>
      </w:pPr>
      <w:r>
        <w:rPr>
          <w:b/>
          <w:bCs/>
        </w:rPr>
        <w:br w:type="page"/>
      </w:r>
    </w:p>
    <w:p w14:paraId="73EA8334" w14:textId="55DDC3A8" w:rsidR="001C04D4" w:rsidRDefault="001C04D4" w:rsidP="001C04D4">
      <w:pPr>
        <w:jc w:val="center"/>
        <w:rPr>
          <w:b/>
          <w:bCs/>
        </w:rPr>
      </w:pPr>
      <w:r>
        <w:rPr>
          <w:b/>
          <w:bCs/>
        </w:rPr>
        <w:lastRenderedPageBreak/>
        <w:t>Appendix 1: The Mindset Meaning-System Index</w:t>
      </w:r>
    </w:p>
    <w:p w14:paraId="37A7F89F" w14:textId="77777777" w:rsidR="001C04D4" w:rsidRDefault="001C04D4" w:rsidP="001C04D4">
      <w:pPr>
        <w:jc w:val="center"/>
        <w:rPr>
          <w:b/>
          <w:bCs/>
        </w:rPr>
      </w:pPr>
    </w:p>
    <w:p w14:paraId="481D4D0F" w14:textId="77777777" w:rsidR="00C96845" w:rsidRDefault="00C96845" w:rsidP="00C96845">
      <w:pPr>
        <w:rPr>
          <w:b/>
          <w:bCs/>
        </w:rPr>
      </w:pPr>
      <w:r w:rsidRPr="00EA32F5">
        <w:rPr>
          <w:b/>
          <w:bCs/>
        </w:rPr>
        <w:t>Brief Mindset Meaning Index</w:t>
      </w:r>
    </w:p>
    <w:p w14:paraId="27221609" w14:textId="77777777" w:rsidR="00C96845" w:rsidRPr="00EA32F5" w:rsidRDefault="00C96845" w:rsidP="00C96845"/>
    <w:p w14:paraId="580C3982" w14:textId="31D74133" w:rsidR="00C96845" w:rsidRDefault="00C96845" w:rsidP="00C96845">
      <w:r w:rsidRPr="00EA32F5">
        <w:t xml:space="preserve">Here are the items that were included in the Brief Mindset Meaning System Index. </w:t>
      </w:r>
      <w:r>
        <w:t xml:space="preserve">To create an index, z-score each item and then take the unweighted average. </w:t>
      </w:r>
      <w:r w:rsidRPr="00EA32F5">
        <w:t xml:space="preserve">These measures were included in three previously-published studies </w:t>
      </w:r>
      <w:r w:rsidRPr="00EA32F5">
        <w:fldChar w:fldCharType="begin"/>
      </w:r>
      <w:r w:rsidR="00A7714C">
        <w:instrText xml:space="preserve"> ADDIN ZOTERO_ITEM CSL_CITATION {"citationID":"D2p8di8Y","properties":{"formattedCitation":"(Rege et al., in press; Yeager et al., 2016, 2019)","plainCitation":"(Rege et al., in press; Yeager et al., 2016, 2019)","noteIndex":0},"citationItems":[{"id":11789,"uris":["http://zotero.org/groups/440527/items/LUYHQ7DR"],"uri":["http://zotero.org/groups/440527/items/LUYHQ7DR"],"itemData":{"id":11789,"type":"article-journal","abstract":"Here we evaluate the potential for growth mindset interventions (which teach students that intellectual abilities can be developed) to inspire adolescents to be “learners”—that is, to seek out challenging learning experiences. In a previous analysis, the U.S. National Study of Learning Mindsets (NSLM) showed that a growth mindset could improve the grades of lower-achieving adolescents, and, in an exploratory analysis, increase enrollment in advanced math courses across achievement levels. Yet the importance of being a “learner” in today’s global economy requires clarification and replication of potential challenge-seeking effects, as well as an investigation of the school affordances that make intervention effects on challenge-seeking possible. To this end, the present paper presents new analyses of the U.S. NSLM (N = 14,472) to (a) validate a standardized, behavioral measure of challenge-seeking (the “make-a-math worksheet” task), and (b) show that the growth mindset treatment increased challenge-seeking on this task. Second, a new experiment conducted with nearly all schools in two counties in Norway, the U-say experiment (N = 6,541), replicated the effects of the growth mindset intervention on the behavioral challenge-seeking task and on increased advanced math course-enrollment rates. Treated students took (and subsequently passed) advanced math at a higher rate. Critically, the U-say experiment provided the first direct evidence that a structural factor—school policies governing when and how students opt in to advanced math—can afford students the possibility of profiting from a growth mindset intervention or not. These results highlight the importance of motivational research that goes beyond grades or performance alone and focuses on challenge-seeking. The findings also call attention to the affordances of school contexts that interact with student motivation to promote better achievement and economic trajectories.","container-title":"American Psychologist","title":"How can we inspire nations of learners? Investigating growth mindset and challenge-seeking in two countries","author":[{"family":"Rege","given":"Mari"},{"family":"Hanselman","given":"Paul"},{"family":"Ingeborg","given":"Foldoy S."},{"family":"Dweck","given":"Carol S."},{"family":"Ludvigsen","given":"Sten"},{"family":"Bettinger","given":"Eric"},{"family":"Muller","given":"Chandra"},{"family":"Walton","given":"Gregory M."},{"family":"Duckworth","given":"Angela L."},{"family":"Yeager","given":"David S."}],"issued":{"literal":"in press"}}},{"id":11726,"uris":["http://zotero.org/groups/440527/items/H5DWMB32"],"uri":["http://zotero.org/groups/440527/items/H5DWMB32"],"itemData":{"id":11726,"type":"article-journal","container-title":"Nature","DOI":"10.1038/s41586-019-1466-y","ISSN":"0028-0836, 1476-4687","issue":"7774","journalAbbreviation":"Nature","language":"en","page":"364-369","source":"DOI.org (Crossref)","title":"A national experiment reveals where a growth mindset improves achievement","volume":"573","author":[{"family":"Yeager","given":"David S."},{"family":"Hanselman","given":"Paul"},{"family":"Walton","given":"Gregory M."},{"family":"Murray","given":"Jared S."},{"family":"Crosnoe","given":"Robert"},{"family":"Muller","given":"Chandra"},{"family":"Tipton","given":"Elizabeth"},{"family":"Schneider","given":"Barbara"},{"family":"Hulleman","given":"Chris S."},{"family":"Hinojosa","given":"Cintia P."},{"family":"Paunesku","given":"David"},{"family":"Romero","given":"Carissa"},{"family":"Flint","given":"Kate"},{"family":"Roberts","given":"Alice"},{"family":"Trott","given":"Jill"},{"family":"Iachan","given":"Ronaldo"},{"family":"Buontempo","given":"Jenny"},{"family":"Yang","given":"Sophia Man"},{"family":"Carvalho","given":"Carlos M."},{"family":"Hahn","given":"P. Richard"},{"family":"Gopalan","given":"Maithreyi"},{"family":"Mhatre","given":"Pratik"},{"family":"Ferguson","given":"Ronald"},{"family":"Duckworth","given":"Angela L."},{"family":"Dweck","given":"Carol S."}],"issued":{"date-parts":[["2019",9]]}}},{"id":4480,"uris":["http://zotero.org/groups/440527/items/2WF8SZDW"],"uri":["http://zotero.org/groups/440527/items/2WF8SZDW"],"itemData":{"id":4480,"type":"article-journal","container-title":"Journal of Educational Psychology","DOI":"10.1037/edu0000098","ISSN":"1939-2176, 0022-0663","issue":"3","language":"en","page":"374-391","source":"CrossRef","title":"Using design thinking to improve psychological interventions: The case of the growth mindset during the transition to high school.","title-short":"Using design thinking to improve psychological interventions","volume":"108","author":[{"family":"Yeager","given":"David S."},{"family":"Romero","given":"Carissa"},{"family":"Paunesku","given":"Dave"},{"family":"Hulleman","given":"Christopher S."},{"family":"Schneider","given":"Barbara"},{"family":"Hinojosa","given":"Cintia"},{"family":"Lee","given":"Hae Yeon"},{"family":"O’Brien","given":"Joseph"},{"family":"Flint","given":"Kate"},{"family":"Roberts","given":"Alice"},{"family":"Trott","given":"Jill"},{"family":"Greene","given":"Daniel"},{"family":"Walton","given":"Gregory M."},{"family":"Dweck","given":"Carol S."}],"issued":{"date-parts":[["2016"]]}}}],"schema":"https://github.com/citation-style-language/schema/raw/master/csl-citation.json"} </w:instrText>
      </w:r>
      <w:r w:rsidRPr="00EA32F5">
        <w:fldChar w:fldCharType="separate"/>
      </w:r>
      <w:r w:rsidR="00A7714C">
        <w:t>(Rege et al., in press; Yeager et al., 2016, 2019)</w:t>
      </w:r>
      <w:r w:rsidRPr="00EA32F5">
        <w:fldChar w:fldCharType="end"/>
      </w:r>
      <w:r w:rsidRPr="00EA32F5">
        <w:t xml:space="preserve">. </w:t>
      </w:r>
      <w:r w:rsidR="001C04D4">
        <w:t>In two of the studies (</w:t>
      </w:r>
      <w:proofErr w:type="spellStart"/>
      <w:r w:rsidR="001C04D4">
        <w:t>Rege</w:t>
      </w:r>
      <w:proofErr w:type="spellEnd"/>
      <w:r w:rsidR="001C04D4">
        <w:t xml:space="preserve"> et al., in press, and Yeager et al., 2019) we also measured learning goals with a behavioral task assessing challenge-seeking</w:t>
      </w:r>
      <w:r w:rsidR="000F2695">
        <w:t xml:space="preserve"> for the purpose of learning</w:t>
      </w:r>
      <w:r w:rsidR="001C04D4">
        <w:t xml:space="preserve">, called the make-a-math-worksheet task. </w:t>
      </w:r>
      <w:r w:rsidRPr="00EA32F5">
        <w:t xml:space="preserve">We recommend these items </w:t>
      </w:r>
      <w:r w:rsidR="001C04D4">
        <w:t xml:space="preserve">(and the worksheet task) </w:t>
      </w:r>
      <w:r w:rsidRPr="00EA32F5">
        <w:t xml:space="preserve">for </w:t>
      </w:r>
      <w:r w:rsidR="001C04D4">
        <w:t>studies</w:t>
      </w:r>
      <w:r w:rsidRPr="00EA32F5">
        <w:t xml:space="preserve"> </w:t>
      </w:r>
      <w:r>
        <w:t xml:space="preserve">of adolescents </w:t>
      </w:r>
      <w:r w:rsidR="001C04D4">
        <w:t>that wish</w:t>
      </w:r>
      <w:r w:rsidRPr="00EA32F5">
        <w:t xml:space="preserve"> to </w:t>
      </w:r>
      <w:r w:rsidR="001C04D4">
        <w:t>include</w:t>
      </w:r>
      <w:r w:rsidRPr="00EA32F5">
        <w:t xml:space="preserve"> a brief and validated measure of the mindset meaning system. </w:t>
      </w:r>
      <w:r w:rsidR="001C04D4">
        <w:t>Below, h</w:t>
      </w:r>
      <w:r>
        <w:t xml:space="preserve">igher values should be positively correlated with a fixed mindset. </w:t>
      </w:r>
    </w:p>
    <w:p w14:paraId="51350127" w14:textId="77777777" w:rsidR="001C04D4" w:rsidRDefault="001C04D4" w:rsidP="00C96845"/>
    <w:p w14:paraId="6807112F" w14:textId="01F17F91" w:rsidR="00C96845" w:rsidRPr="00EA32F5" w:rsidRDefault="00C96845" w:rsidP="00C96845">
      <w:pPr>
        <w:keepNext/>
      </w:pPr>
      <w:r w:rsidRPr="00EA32F5">
        <w:rPr>
          <w:b/>
          <w:bCs/>
        </w:rPr>
        <w:t xml:space="preserve">Effort belief. </w:t>
      </w:r>
      <w:r w:rsidRPr="00EA32F5">
        <w:t>When you have to try really hard in a subject in school, it means you can’t be good at that subject.</w:t>
      </w:r>
    </w:p>
    <w:p w14:paraId="722B138F"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Strongly disagree (1)</w:t>
      </w:r>
    </w:p>
    <w:p w14:paraId="799A4CD5"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Disagree (2)</w:t>
      </w:r>
    </w:p>
    <w:p w14:paraId="2F827932"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Mostly disagree (3)</w:t>
      </w:r>
    </w:p>
    <w:p w14:paraId="3B7049B5"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Mostly agree (4)</w:t>
      </w:r>
    </w:p>
    <w:p w14:paraId="5DC876B9"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Agree (5)</w:t>
      </w:r>
    </w:p>
    <w:p w14:paraId="6E7F8C78"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Strongly agree (6)</w:t>
      </w:r>
    </w:p>
    <w:p w14:paraId="2E3CBBB3" w14:textId="77777777" w:rsidR="00C96845" w:rsidRPr="00EA32F5" w:rsidRDefault="00C96845" w:rsidP="00C96845">
      <w:pPr>
        <w:keepNext/>
        <w:rPr>
          <w:b/>
          <w:bCs/>
        </w:rPr>
      </w:pPr>
    </w:p>
    <w:p w14:paraId="6AF98F47" w14:textId="77777777" w:rsidR="00C96845" w:rsidRPr="001C04D4" w:rsidRDefault="00C96845" w:rsidP="00C96845">
      <w:pPr>
        <w:keepNext/>
        <w:rPr>
          <w:bCs/>
        </w:rPr>
      </w:pPr>
      <w:r w:rsidRPr="00EA32F5">
        <w:rPr>
          <w:b/>
          <w:bCs/>
        </w:rPr>
        <w:t xml:space="preserve">Goals: Performance-avoidance. </w:t>
      </w:r>
      <w:r w:rsidRPr="00EA32F5">
        <w:t xml:space="preserve">One of my main goals for the rest of the school year is to </w:t>
      </w:r>
      <w:r w:rsidRPr="001C04D4">
        <w:rPr>
          <w:bCs/>
        </w:rPr>
        <w:t>avoid looking dumb in my classes.</w:t>
      </w:r>
    </w:p>
    <w:p w14:paraId="02FA7B0D"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Strongly disagree (1)</w:t>
      </w:r>
    </w:p>
    <w:p w14:paraId="5E4F56B2"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Disagree (2)</w:t>
      </w:r>
    </w:p>
    <w:p w14:paraId="24BDD49E"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Mostly disagree (3)</w:t>
      </w:r>
    </w:p>
    <w:p w14:paraId="219275BC" w14:textId="77777777" w:rsidR="00C96845" w:rsidRPr="00EA32F5" w:rsidRDefault="00C96845" w:rsidP="00C96845">
      <w:pPr>
        <w:pStyle w:val="ListParagraph"/>
        <w:keepNext/>
        <w:numPr>
          <w:ilvl w:val="0"/>
          <w:numId w:val="2"/>
        </w:numPr>
        <w:rPr>
          <w:rFonts w:ascii="Times New Roman" w:hAnsi="Times New Roman" w:cs="Times New Roman"/>
        </w:rPr>
      </w:pPr>
      <w:proofErr w:type="spellStart"/>
      <w:r w:rsidRPr="00EA32F5">
        <w:rPr>
          <w:rFonts w:ascii="Times New Roman" w:hAnsi="Times New Roman" w:cs="Times New Roman"/>
        </w:rPr>
        <w:t>Mostlyagree</w:t>
      </w:r>
      <w:proofErr w:type="spellEnd"/>
      <w:r w:rsidRPr="00EA32F5">
        <w:rPr>
          <w:rFonts w:ascii="Times New Roman" w:hAnsi="Times New Roman" w:cs="Times New Roman"/>
        </w:rPr>
        <w:t xml:space="preserve"> (4)</w:t>
      </w:r>
    </w:p>
    <w:p w14:paraId="0ABB79F4"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Agree (5)</w:t>
      </w:r>
    </w:p>
    <w:p w14:paraId="55423226" w14:textId="77777777" w:rsidR="00C96845" w:rsidRPr="00EA32F5" w:rsidRDefault="00C96845" w:rsidP="00C96845">
      <w:pPr>
        <w:pStyle w:val="ListParagraph"/>
        <w:keepNext/>
        <w:numPr>
          <w:ilvl w:val="0"/>
          <w:numId w:val="2"/>
        </w:numPr>
        <w:rPr>
          <w:rFonts w:ascii="Times New Roman" w:hAnsi="Times New Roman" w:cs="Times New Roman"/>
        </w:rPr>
      </w:pPr>
      <w:proofErr w:type="spellStart"/>
      <w:r w:rsidRPr="00EA32F5">
        <w:rPr>
          <w:rFonts w:ascii="Times New Roman" w:hAnsi="Times New Roman" w:cs="Times New Roman"/>
        </w:rPr>
        <w:t>Stronglyagree</w:t>
      </w:r>
      <w:proofErr w:type="spellEnd"/>
      <w:r w:rsidRPr="00EA32F5">
        <w:rPr>
          <w:rFonts w:ascii="Times New Roman" w:hAnsi="Times New Roman" w:cs="Times New Roman"/>
        </w:rPr>
        <w:t xml:space="preserve"> (6)</w:t>
      </w:r>
      <w:r w:rsidRPr="00EA32F5">
        <w:rPr>
          <w:rFonts w:ascii="Times New Roman" w:hAnsi="Times New Roman" w:cs="Times New Roman"/>
        </w:rPr>
        <w:br/>
      </w:r>
    </w:p>
    <w:p w14:paraId="678AB198" w14:textId="28B78F6E" w:rsidR="00C96845" w:rsidRPr="00EA32F5" w:rsidRDefault="009D44E4" w:rsidP="00C96845">
      <w:pPr>
        <w:keepNext/>
      </w:pPr>
      <w:r>
        <w:rPr>
          <w:b/>
          <w:bCs/>
        </w:rPr>
        <w:t xml:space="preserve">Challenge-seeking </w:t>
      </w:r>
      <w:r w:rsidR="000F2695">
        <w:rPr>
          <w:b/>
          <w:bCs/>
        </w:rPr>
        <w:t xml:space="preserve">for the purpose of learning: </w:t>
      </w:r>
      <w:r>
        <w:rPr>
          <w:b/>
          <w:bCs/>
        </w:rPr>
        <w:t>hypothetical choice</w:t>
      </w:r>
      <w:r w:rsidR="00C96845" w:rsidRPr="00EA32F5">
        <w:rPr>
          <w:b/>
          <w:bCs/>
        </w:rPr>
        <w:t xml:space="preserve">. </w:t>
      </w:r>
      <w:r w:rsidR="00C96845" w:rsidRPr="00EA32F5">
        <w:t xml:space="preserve">Imagine that, later </w:t>
      </w:r>
      <w:r w:rsidR="00C96845" w:rsidRPr="00EA32F5">
        <w:rPr>
          <w:u w:val="single"/>
        </w:rPr>
        <w:t>today or tomorrow</w:t>
      </w:r>
      <w:r w:rsidR="00C96845" w:rsidRPr="00EA32F5">
        <w:t>, your math teacher hands out two extra credit assignments. You get to choose which one to do. You get the same number of points for trying either one.</w:t>
      </w:r>
    </w:p>
    <w:p w14:paraId="4ECC1399" w14:textId="77777777" w:rsidR="00C96845" w:rsidRPr="00EA32F5" w:rsidRDefault="00C96845" w:rsidP="00C96845">
      <w:pPr>
        <w:keepNext/>
      </w:pPr>
    </w:p>
    <w:p w14:paraId="0618A655" w14:textId="77777777" w:rsidR="00C96845" w:rsidRPr="00EA32F5" w:rsidRDefault="00C96845" w:rsidP="00C96845">
      <w:pPr>
        <w:keepNext/>
      </w:pPr>
      <w:r w:rsidRPr="00EA32F5">
        <w:rPr>
          <w:u w:val="single"/>
        </w:rPr>
        <w:t>One choice</w:t>
      </w:r>
      <w:r w:rsidRPr="00EA32F5">
        <w:t xml:space="preserve"> is an </w:t>
      </w:r>
      <w:r w:rsidRPr="00EA32F5">
        <w:rPr>
          <w:u w:val="single"/>
        </w:rPr>
        <w:t>easy review</w:t>
      </w:r>
      <w:r w:rsidRPr="00EA32F5">
        <w:t>—it has math problems you already know how to solve, and you will probably get most of the answers right without having to think very much. It takes 30 minutes.</w:t>
      </w:r>
    </w:p>
    <w:p w14:paraId="7AB1C4DF" w14:textId="77777777" w:rsidR="00C96845" w:rsidRPr="00EA32F5" w:rsidRDefault="00C96845" w:rsidP="00C96845">
      <w:pPr>
        <w:keepNext/>
      </w:pPr>
      <w:r w:rsidRPr="00EA32F5">
        <w:rPr>
          <w:u w:val="single"/>
        </w:rPr>
        <w:t>The other choice</w:t>
      </w:r>
      <w:r w:rsidRPr="00EA32F5">
        <w:t xml:space="preserve"> is a </w:t>
      </w:r>
      <w:r w:rsidRPr="00EA32F5">
        <w:rPr>
          <w:u w:val="single"/>
        </w:rPr>
        <w:t>hard challenge</w:t>
      </w:r>
      <w:r w:rsidRPr="00EA32F5">
        <w:t>—it has math problems you don’t know how to solve, and you will probably get most of the problems wrong, but you might learn something new.  It also takes 30 minutes.</w:t>
      </w:r>
    </w:p>
    <w:p w14:paraId="10DA8F7B" w14:textId="77777777" w:rsidR="00C96845" w:rsidRPr="00EA32F5" w:rsidRDefault="00C96845" w:rsidP="00C96845">
      <w:pPr>
        <w:keepNext/>
      </w:pPr>
    </w:p>
    <w:p w14:paraId="2BBF2DE3" w14:textId="77777777" w:rsidR="00C96845" w:rsidRPr="00EA32F5" w:rsidRDefault="00C96845" w:rsidP="00C96845">
      <w:pPr>
        <w:keepNext/>
      </w:pPr>
      <w:r w:rsidRPr="00EA32F5">
        <w:t>If you had to pick right now, which would you pick?</w:t>
      </w:r>
    </w:p>
    <w:p w14:paraId="60502CE3"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The easy math assignment where I would get most problems right. (</w:t>
      </w:r>
      <w:r>
        <w:rPr>
          <w:rFonts w:ascii="Times New Roman" w:hAnsi="Times New Roman" w:cs="Times New Roman"/>
        </w:rPr>
        <w:t>1</w:t>
      </w:r>
      <w:r w:rsidRPr="00EA32F5">
        <w:rPr>
          <w:rFonts w:ascii="Times New Roman" w:hAnsi="Times New Roman" w:cs="Times New Roman"/>
        </w:rPr>
        <w:t>)</w:t>
      </w:r>
    </w:p>
    <w:p w14:paraId="7ED6EEFB"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The hard math assignment where I would possibly learn something new. (</w:t>
      </w:r>
      <w:r>
        <w:rPr>
          <w:rFonts w:ascii="Times New Roman" w:hAnsi="Times New Roman" w:cs="Times New Roman"/>
        </w:rPr>
        <w:t>0</w:t>
      </w:r>
      <w:r w:rsidRPr="00EA32F5">
        <w:rPr>
          <w:rFonts w:ascii="Times New Roman" w:hAnsi="Times New Roman" w:cs="Times New Roman"/>
        </w:rPr>
        <w:t>)</w:t>
      </w:r>
    </w:p>
    <w:p w14:paraId="169B1051" w14:textId="77777777" w:rsidR="00C96845" w:rsidRPr="00EA32F5" w:rsidRDefault="00C96845" w:rsidP="00C96845">
      <w:pPr>
        <w:rPr>
          <w:b/>
          <w:bCs/>
        </w:rPr>
      </w:pPr>
    </w:p>
    <w:p w14:paraId="55CDB417" w14:textId="77777777" w:rsidR="00C96845" w:rsidRPr="00EA32F5" w:rsidRDefault="00C96845" w:rsidP="00C96845">
      <w:pPr>
        <w:keepNext/>
      </w:pPr>
      <w:r w:rsidRPr="00EA32F5">
        <w:rPr>
          <w:b/>
          <w:bCs/>
        </w:rPr>
        <w:lastRenderedPageBreak/>
        <w:t xml:space="preserve">Response to challenge: Helpless attributional style. </w:t>
      </w:r>
      <w:r w:rsidRPr="00EA32F5">
        <w:t xml:space="preserve">Pretend that, later </w:t>
      </w:r>
      <w:r w:rsidRPr="00EA32F5">
        <w:rPr>
          <w:u w:val="single"/>
        </w:rPr>
        <w:t>today or tomorrow</w:t>
      </w:r>
      <w:r w:rsidRPr="00EA32F5">
        <w:t xml:space="preserve">, you got a </w:t>
      </w:r>
      <w:r w:rsidRPr="00EA32F5">
        <w:rPr>
          <w:b/>
          <w:u w:val="single"/>
        </w:rPr>
        <w:t>bad</w:t>
      </w:r>
      <w:r w:rsidRPr="00EA32F5">
        <w:t xml:space="preserve"> grade on a very important math assignment. </w:t>
      </w:r>
    </w:p>
    <w:p w14:paraId="4F82A6D4" w14:textId="77777777" w:rsidR="00C96845" w:rsidRPr="00EA32F5" w:rsidRDefault="00C96845" w:rsidP="00C96845">
      <w:pPr>
        <w:keepNext/>
      </w:pPr>
      <w:r w:rsidRPr="00EA32F5">
        <w:t>Honestly, if that happened, how likely would you be to think these thoughts?</w:t>
      </w:r>
    </w:p>
    <w:p w14:paraId="6246F000" w14:textId="77777777" w:rsidR="00C96845" w:rsidRPr="00EA32F5" w:rsidRDefault="00C96845" w:rsidP="00C96845">
      <w:pPr>
        <w:keepNext/>
      </w:pPr>
      <w:r w:rsidRPr="00EA32F5">
        <w:t>"This means I’m probably not very smart at math."</w:t>
      </w:r>
    </w:p>
    <w:p w14:paraId="567219CC"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Not at all likely to think this (1)</w:t>
      </w:r>
    </w:p>
    <w:p w14:paraId="7254933A"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Slightly likely to think this (2)</w:t>
      </w:r>
    </w:p>
    <w:p w14:paraId="31A11C65"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Somewhat likely to think this (3)</w:t>
      </w:r>
    </w:p>
    <w:p w14:paraId="0CCB2024"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Very likely to think this (4)</w:t>
      </w:r>
    </w:p>
    <w:p w14:paraId="679CC98F"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Extremely likely to think this (5)</w:t>
      </w:r>
    </w:p>
    <w:p w14:paraId="04ED73E8" w14:textId="77777777" w:rsidR="00C96845" w:rsidRPr="00EA32F5" w:rsidRDefault="00C96845" w:rsidP="00C96845">
      <w:pPr>
        <w:rPr>
          <w:b/>
          <w:bCs/>
        </w:rPr>
      </w:pPr>
    </w:p>
    <w:p w14:paraId="7E20E466" w14:textId="72DA24AA" w:rsidR="00C96845" w:rsidRPr="00EA32F5" w:rsidRDefault="00C96845" w:rsidP="001C04D4">
      <w:pPr>
        <w:keepNext/>
      </w:pPr>
      <w:r w:rsidRPr="00EA32F5">
        <w:rPr>
          <w:b/>
          <w:bCs/>
        </w:rPr>
        <w:t xml:space="preserve">Response to challenge: Resilient attributional style. </w:t>
      </w:r>
      <w:r w:rsidR="001C04D4">
        <w:t xml:space="preserve">[Same prompt as the item above] </w:t>
      </w:r>
    </w:p>
    <w:p w14:paraId="4EE71564" w14:textId="77777777" w:rsidR="00C96845" w:rsidRPr="00EA32F5" w:rsidRDefault="00C96845" w:rsidP="00C96845">
      <w:pPr>
        <w:keepNext/>
      </w:pPr>
      <w:r w:rsidRPr="00EA32F5">
        <w:t>"I can get a higher score next time if I find a better way to study."</w:t>
      </w:r>
    </w:p>
    <w:p w14:paraId="122C6C61"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Not at all likely to think this (5)</w:t>
      </w:r>
    </w:p>
    <w:p w14:paraId="4D4690EA"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Slightly likely to think this (4)</w:t>
      </w:r>
    </w:p>
    <w:p w14:paraId="27324C62"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Somewhat likely to think this (3)</w:t>
      </w:r>
    </w:p>
    <w:p w14:paraId="4FA90A3E"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Very likely to think this (2)</w:t>
      </w:r>
    </w:p>
    <w:p w14:paraId="22FAC0AC" w14:textId="77777777" w:rsidR="00C96845" w:rsidRPr="00EA32F5" w:rsidRDefault="00C96845" w:rsidP="00C96845">
      <w:pPr>
        <w:pStyle w:val="ListParagraph"/>
        <w:keepNext/>
        <w:numPr>
          <w:ilvl w:val="0"/>
          <w:numId w:val="2"/>
        </w:numPr>
        <w:rPr>
          <w:rFonts w:ascii="Times New Roman" w:hAnsi="Times New Roman" w:cs="Times New Roman"/>
        </w:rPr>
      </w:pPr>
      <w:r w:rsidRPr="00EA32F5">
        <w:rPr>
          <w:rFonts w:ascii="Times New Roman" w:hAnsi="Times New Roman" w:cs="Times New Roman"/>
        </w:rPr>
        <w:t>Extremely likely to think this (1)</w:t>
      </w:r>
    </w:p>
    <w:p w14:paraId="08BE394A" w14:textId="77777777" w:rsidR="00C96845" w:rsidRPr="00EA32F5" w:rsidRDefault="00C96845" w:rsidP="00C96845">
      <w:pPr>
        <w:keepNext/>
      </w:pPr>
    </w:p>
    <w:p w14:paraId="0DAA390F" w14:textId="77777777" w:rsidR="001C04D4" w:rsidRDefault="001C04D4" w:rsidP="001C04D4">
      <w:pPr>
        <w:rPr>
          <w:b/>
          <w:bCs/>
        </w:rPr>
      </w:pPr>
    </w:p>
    <w:p w14:paraId="35BD7DC7" w14:textId="6CE44EA6" w:rsidR="001C04D4" w:rsidRPr="00EA32F5" w:rsidRDefault="001C04D4" w:rsidP="001C04D4">
      <w:pPr>
        <w:rPr>
          <w:b/>
          <w:bCs/>
        </w:rPr>
      </w:pPr>
      <w:r w:rsidRPr="00EA32F5">
        <w:rPr>
          <w:b/>
          <w:bCs/>
        </w:rPr>
        <w:t xml:space="preserve">Measure of Fixed Mindset </w:t>
      </w:r>
    </w:p>
    <w:p w14:paraId="418F040C" w14:textId="77777777" w:rsidR="001C04D4" w:rsidRDefault="001C04D4" w:rsidP="001C04D4">
      <w:pPr>
        <w:rPr>
          <w:b/>
          <w:bCs/>
        </w:rPr>
      </w:pPr>
      <w:r w:rsidRPr="00EA32F5">
        <w:rPr>
          <w:b/>
          <w:bCs/>
        </w:rPr>
        <w:tab/>
      </w:r>
    </w:p>
    <w:p w14:paraId="269B2883" w14:textId="75B70E0F" w:rsidR="001C04D4" w:rsidRPr="008D4E26" w:rsidRDefault="001C04D4" w:rsidP="001C04D4">
      <w:r w:rsidRPr="00EA32F5">
        <w:t xml:space="preserve">Here are the items that were used to assess students’ mindsets in the three previously-published </w:t>
      </w:r>
      <w:r w:rsidRPr="008D4E26">
        <w:t xml:space="preserve">studies </w:t>
      </w:r>
      <w:r w:rsidRPr="008D4E26">
        <w:fldChar w:fldCharType="begin"/>
      </w:r>
      <w:r w:rsidR="00A7714C">
        <w:instrText xml:space="preserve"> ADDIN ZOTERO_ITEM CSL_CITATION {"citationID":"a2qi0qn3u46","properties":{"formattedCitation":"(Rege et al., in press; Yeager et al., 2016, 2019)","plainCitation":"(Rege et al., in press; Yeager et al., 2016, 2019)","noteIndex":0},"citationItems":[{"id":11789,"uris":["http://zotero.org/groups/440527/items/LUYHQ7DR"],"uri":["http://zotero.org/groups/440527/items/LUYHQ7DR"],"itemData":{"id":11789,"type":"article-journal","abstract":"Here we evaluate the potential for growth mindset interventions (which teach students that intellectual abilities can be developed) to inspire adolescents to be “learners”—that is, to seek out challenging learning experiences. In a previous analysis, the U.S. National Study of Learning Mindsets (NSLM) showed that a growth mindset could improve the grades of lower-achieving adolescents, and, in an exploratory analysis, increase enrollment in advanced math courses across achievement levels. Yet the importance of being a “learner” in today’s global economy requires clarification and replication of potential challenge-seeking effects, as well as an investigation of the school affordances that make intervention effects on challenge-seeking possible. To this end, the present paper presents new analyses of the U.S. NSLM (N = 14,472) to (a) validate a standardized, behavioral measure of challenge-seeking (the “make-a-math worksheet” task), and (b) show that the growth mindset treatment increased challenge-seeking on this task. Second, a new experiment conducted with nearly all schools in two counties in Norway, the U-say experiment (N = 6,541), replicated the effects of the growth mindset intervention on the behavioral challenge-seeking task and on increased advanced math course-enrollment rates. Treated students took (and subsequently passed) advanced math at a higher rate. Critically, the U-say experiment provided the first direct evidence that a structural factor—school policies governing when and how students opt in to advanced math—can afford students the possibility of profiting from a growth mindset intervention or not. These results highlight the importance of motivational research that goes beyond grades or performance alone and focuses on challenge-seeking. The findings also call attention to the affordances of school contexts that interact with student motivation to promote better achievement and economic trajectories.","container-title":"American Psychologist","title":"How can we inspire nations of learners? Investigating growth mindset and challenge-seeking in two countries","author":[{"family":"Rege","given":"Mari"},{"family":"Hanselman","given":"Paul"},{"family":"Ingeborg","given":"Foldoy S."},{"family":"Dweck","given":"Carol S."},{"family":"Ludvigsen","given":"Sten"},{"family":"Bettinger","given":"Eric"},{"family":"Muller","given":"Chandra"},{"family":"Walton","given":"Gregory M."},{"family":"Duckworth","given":"Angela L."},{"family":"Yeager","given":"David S."}],"issued":{"literal":"in press"}}},{"id":11726,"uris":["http://zotero.org/groups/440527/items/H5DWMB32"],"uri":["http://zotero.org/groups/440527/items/H5DWMB32"],"itemData":{"id":11726,"type":"article-journal","container-title":"Nature","DOI":"10.1038/s41586-019-1466-y","ISSN":"0028-0836, 1476-4687","issue":"7774","journalAbbreviation":"Nature","language":"en","page":"364-369","source":"DOI.org (Crossref)","title":"A national experiment reveals where a growth mindset improves achievement","volume":"573","author":[{"family":"Yeager","given":"David S."},{"family":"Hanselman","given":"Paul"},{"family":"Walton","given":"Gregory M."},{"family":"Murray","given":"Jared S."},{"family":"Crosnoe","given":"Robert"},{"family":"Muller","given":"Chandra"},{"family":"Tipton","given":"Elizabeth"},{"family":"Schneider","given":"Barbara"},{"family":"Hulleman","given":"Chris S."},{"family":"Hinojosa","given":"Cintia P."},{"family":"Paunesku","given":"David"},{"family":"Romero","given":"Carissa"},{"family":"Flint","given":"Kate"},{"family":"Roberts","given":"Alice"},{"family":"Trott","given":"Jill"},{"family":"Iachan","given":"Ronaldo"},{"family":"Buontempo","given":"Jenny"},{"family":"Yang","given":"Sophia Man"},{"family":"Carvalho","given":"Carlos M."},{"family":"Hahn","given":"P. Richard"},{"family":"Gopalan","given":"Maithreyi"},{"family":"Mhatre","given":"Pratik"},{"family":"Ferguson","given":"Ronald"},{"family":"Duckworth","given":"Angela L."},{"family":"Dweck","given":"Carol S."}],"issued":{"date-parts":[["2019",9]]}}},{"id":4480,"uris":["http://zotero.org/groups/440527/items/2WF8SZDW"],"uri":["http://zotero.org/groups/440527/items/2WF8SZDW"],"itemData":{"id":4480,"type":"article-journal","container-title":"Journal of Educational Psychology","DOI":"10.1037/edu0000098","ISSN":"1939-2176, 0022-0663","issue":"3","language":"en","page":"374-391","source":"CrossRef","title":"Using design thinking to improve psychological interventions: The case of the growth mindset during the transition to high school.","title-short":"Using design thinking to improve psychological interventions","volume":"108","author":[{"family":"Yeager","given":"David S."},{"family":"Romero","given":"Carissa"},{"family":"Paunesku","given":"Dave"},{"family":"Hulleman","given":"Christopher S."},{"family":"Schneider","given":"Barbara"},{"family":"Hinojosa","given":"Cintia"},{"family":"Lee","given":"Hae Yeon"},{"family":"O’Brien","given":"Joseph"},{"family":"Flint","given":"Kate"},{"family":"Roberts","given":"Alice"},{"family":"Trott","given":"Jill"},{"family":"Greene","given":"Daniel"},{"family":"Walton","given":"Gregory M."},{"family":"Dweck","given":"Carol S."}],"issued":{"date-parts":[["2016"]]}}}],"schema":"https://github.com/citation-style-language/schema/raw/master/csl-citation.json"} </w:instrText>
      </w:r>
      <w:r w:rsidRPr="008D4E26">
        <w:fldChar w:fldCharType="separate"/>
      </w:r>
      <w:r w:rsidR="00A7714C">
        <w:t>(Rege et al., in press; Yeager et al., 2016, 2019)</w:t>
      </w:r>
      <w:r w:rsidRPr="008D4E26">
        <w:fldChar w:fldCharType="end"/>
      </w:r>
      <w:r w:rsidRPr="008D4E26">
        <w:t xml:space="preserve">. </w:t>
      </w:r>
      <w:r>
        <w:t xml:space="preserve">Higher values correspond to more of a fixed mindset. </w:t>
      </w:r>
      <w:r w:rsidRPr="008D4E26">
        <w:t xml:space="preserve">We recommend these three items for any study wishing to use a brief and validated mindset measure. </w:t>
      </w:r>
    </w:p>
    <w:p w14:paraId="296DEF80" w14:textId="77777777" w:rsidR="001C04D4" w:rsidRPr="008D4E26" w:rsidRDefault="001C04D4" w:rsidP="001C04D4">
      <w:pPr>
        <w:keepNext/>
      </w:pPr>
      <w:r w:rsidRPr="008D4E26">
        <w:tab/>
      </w:r>
    </w:p>
    <w:p w14:paraId="7989C708" w14:textId="77777777" w:rsidR="001C04D4" w:rsidRPr="008D4E26" w:rsidRDefault="001C04D4" w:rsidP="001C04D4">
      <w:pPr>
        <w:pStyle w:val="ListParagraph"/>
        <w:keepNext/>
        <w:numPr>
          <w:ilvl w:val="0"/>
          <w:numId w:val="3"/>
        </w:numPr>
        <w:rPr>
          <w:rFonts w:ascii="Times New Roman" w:hAnsi="Times New Roman" w:cs="Times New Roman"/>
        </w:rPr>
      </w:pPr>
      <w:r w:rsidRPr="008D4E26">
        <w:rPr>
          <w:rFonts w:ascii="Times New Roman" w:hAnsi="Times New Roman" w:cs="Times New Roman"/>
        </w:rPr>
        <w:t>You have a certain amount of intelligence, and you really can’t do much to change it.</w:t>
      </w:r>
    </w:p>
    <w:p w14:paraId="35A56D53" w14:textId="77777777" w:rsidR="001C04D4" w:rsidRPr="008D4E26" w:rsidRDefault="001C04D4" w:rsidP="001C04D4"/>
    <w:p w14:paraId="265FE6E4" w14:textId="77777777" w:rsidR="001C04D4" w:rsidRPr="008D4E26" w:rsidRDefault="001C04D4" w:rsidP="001C04D4">
      <w:pPr>
        <w:pStyle w:val="ListParagraph"/>
        <w:keepNext/>
        <w:numPr>
          <w:ilvl w:val="0"/>
          <w:numId w:val="3"/>
        </w:numPr>
        <w:rPr>
          <w:rFonts w:ascii="Times New Roman" w:hAnsi="Times New Roman" w:cs="Times New Roman"/>
        </w:rPr>
      </w:pPr>
      <w:r w:rsidRPr="008D4E26">
        <w:rPr>
          <w:rFonts w:ascii="Times New Roman" w:hAnsi="Times New Roman" w:cs="Times New Roman"/>
        </w:rPr>
        <w:t>Your intelligence is something about you that you can’t change very much.</w:t>
      </w:r>
    </w:p>
    <w:p w14:paraId="48297538" w14:textId="77777777" w:rsidR="001C04D4" w:rsidRPr="008D4E26" w:rsidRDefault="001C04D4" w:rsidP="001C04D4"/>
    <w:p w14:paraId="7982CE9D" w14:textId="77777777" w:rsidR="001C04D4" w:rsidRPr="008D4E26" w:rsidRDefault="001C04D4" w:rsidP="001C04D4">
      <w:pPr>
        <w:pStyle w:val="ListParagraph"/>
        <w:keepNext/>
        <w:numPr>
          <w:ilvl w:val="0"/>
          <w:numId w:val="3"/>
        </w:numPr>
        <w:rPr>
          <w:rFonts w:ascii="Times New Roman" w:hAnsi="Times New Roman" w:cs="Times New Roman"/>
        </w:rPr>
      </w:pPr>
      <w:r w:rsidRPr="008D4E26">
        <w:rPr>
          <w:rFonts w:ascii="Times New Roman" w:hAnsi="Times New Roman" w:cs="Times New Roman"/>
        </w:rPr>
        <w:t>Being a “math person” or not is something that you really can’t change. Some people are good at math and other people aren’t.</w:t>
      </w:r>
    </w:p>
    <w:p w14:paraId="2A3D651B" w14:textId="77777777" w:rsidR="001C04D4" w:rsidRPr="008D4E26" w:rsidRDefault="001C04D4" w:rsidP="001C04D4">
      <w:pPr>
        <w:keepNext/>
      </w:pPr>
    </w:p>
    <w:p w14:paraId="105C9142" w14:textId="77777777" w:rsidR="001C04D4" w:rsidRPr="008D4E26" w:rsidRDefault="001C04D4" w:rsidP="001C04D4">
      <w:pPr>
        <w:keepNext/>
      </w:pPr>
      <w:r w:rsidRPr="008D4E26">
        <w:t xml:space="preserve">Response </w:t>
      </w:r>
      <w:r>
        <w:t>options</w:t>
      </w:r>
      <w:r w:rsidRPr="008D4E26">
        <w:t xml:space="preserve"> for each item:</w:t>
      </w:r>
    </w:p>
    <w:p w14:paraId="4A3D394A" w14:textId="77777777" w:rsidR="001C04D4" w:rsidRPr="008D4E26" w:rsidRDefault="001C04D4" w:rsidP="001C04D4">
      <w:pPr>
        <w:keepNext/>
      </w:pPr>
    </w:p>
    <w:p w14:paraId="29CB9B15" w14:textId="77777777" w:rsidR="001C04D4" w:rsidRPr="008D4E26" w:rsidRDefault="001C04D4" w:rsidP="001C04D4">
      <w:pPr>
        <w:pStyle w:val="ListParagraph"/>
        <w:keepNext/>
        <w:numPr>
          <w:ilvl w:val="0"/>
          <w:numId w:val="2"/>
        </w:numPr>
        <w:rPr>
          <w:rFonts w:ascii="Times New Roman" w:hAnsi="Times New Roman" w:cs="Times New Roman"/>
        </w:rPr>
      </w:pPr>
      <w:r w:rsidRPr="008D4E26">
        <w:rPr>
          <w:rFonts w:ascii="Times New Roman" w:hAnsi="Times New Roman" w:cs="Times New Roman"/>
        </w:rPr>
        <w:t>Strongly disagree (1)</w:t>
      </w:r>
    </w:p>
    <w:p w14:paraId="03094E3F" w14:textId="77777777" w:rsidR="001C04D4" w:rsidRPr="008D4E26" w:rsidRDefault="001C04D4" w:rsidP="001C04D4">
      <w:pPr>
        <w:pStyle w:val="ListParagraph"/>
        <w:keepNext/>
        <w:numPr>
          <w:ilvl w:val="0"/>
          <w:numId w:val="2"/>
        </w:numPr>
        <w:rPr>
          <w:rFonts w:ascii="Times New Roman" w:hAnsi="Times New Roman" w:cs="Times New Roman"/>
        </w:rPr>
      </w:pPr>
      <w:r w:rsidRPr="008D4E26">
        <w:rPr>
          <w:rFonts w:ascii="Times New Roman" w:hAnsi="Times New Roman" w:cs="Times New Roman"/>
        </w:rPr>
        <w:t>Disagree (2)</w:t>
      </w:r>
    </w:p>
    <w:p w14:paraId="170B83A8" w14:textId="77777777" w:rsidR="001C04D4" w:rsidRPr="008D4E26" w:rsidRDefault="001C04D4" w:rsidP="001C04D4">
      <w:pPr>
        <w:pStyle w:val="ListParagraph"/>
        <w:keepNext/>
        <w:numPr>
          <w:ilvl w:val="0"/>
          <w:numId w:val="2"/>
        </w:numPr>
        <w:rPr>
          <w:rFonts w:ascii="Times New Roman" w:hAnsi="Times New Roman" w:cs="Times New Roman"/>
        </w:rPr>
      </w:pPr>
      <w:r w:rsidRPr="008D4E26">
        <w:rPr>
          <w:rFonts w:ascii="Times New Roman" w:hAnsi="Times New Roman" w:cs="Times New Roman"/>
        </w:rPr>
        <w:t>Mostly disagree (3)</w:t>
      </w:r>
    </w:p>
    <w:p w14:paraId="2FC6836D" w14:textId="77777777" w:rsidR="001C04D4" w:rsidRPr="008D4E26" w:rsidRDefault="001C04D4" w:rsidP="001C04D4">
      <w:pPr>
        <w:pStyle w:val="ListParagraph"/>
        <w:keepNext/>
        <w:numPr>
          <w:ilvl w:val="0"/>
          <w:numId w:val="2"/>
        </w:numPr>
        <w:rPr>
          <w:rFonts w:ascii="Times New Roman" w:hAnsi="Times New Roman" w:cs="Times New Roman"/>
        </w:rPr>
      </w:pPr>
      <w:r w:rsidRPr="008D4E26">
        <w:rPr>
          <w:rFonts w:ascii="Times New Roman" w:hAnsi="Times New Roman" w:cs="Times New Roman"/>
        </w:rPr>
        <w:t>Mostly agree (4)</w:t>
      </w:r>
    </w:p>
    <w:p w14:paraId="6DACAA56" w14:textId="77777777" w:rsidR="001C04D4" w:rsidRPr="008D4E26" w:rsidRDefault="001C04D4" w:rsidP="001C04D4">
      <w:pPr>
        <w:pStyle w:val="ListParagraph"/>
        <w:keepNext/>
        <w:numPr>
          <w:ilvl w:val="0"/>
          <w:numId w:val="2"/>
        </w:numPr>
        <w:rPr>
          <w:rFonts w:ascii="Times New Roman" w:hAnsi="Times New Roman" w:cs="Times New Roman"/>
        </w:rPr>
      </w:pPr>
      <w:r w:rsidRPr="008D4E26">
        <w:rPr>
          <w:rFonts w:ascii="Times New Roman" w:hAnsi="Times New Roman" w:cs="Times New Roman"/>
        </w:rPr>
        <w:t>Agree (5)</w:t>
      </w:r>
    </w:p>
    <w:p w14:paraId="140F98DC" w14:textId="77777777" w:rsidR="001C04D4" w:rsidRPr="008D4E26" w:rsidRDefault="001C04D4" w:rsidP="001C04D4">
      <w:pPr>
        <w:pStyle w:val="ListParagraph"/>
        <w:keepNext/>
        <w:numPr>
          <w:ilvl w:val="0"/>
          <w:numId w:val="2"/>
        </w:numPr>
        <w:rPr>
          <w:rFonts w:ascii="Times New Roman" w:hAnsi="Times New Roman" w:cs="Times New Roman"/>
        </w:rPr>
      </w:pPr>
      <w:r w:rsidRPr="008D4E26">
        <w:rPr>
          <w:rFonts w:ascii="Times New Roman" w:hAnsi="Times New Roman" w:cs="Times New Roman"/>
        </w:rPr>
        <w:t>Strongly agree (6)</w:t>
      </w:r>
    </w:p>
    <w:p w14:paraId="3567EDE3" w14:textId="77777777" w:rsidR="001C04D4" w:rsidRPr="00EA32F5" w:rsidRDefault="001C04D4" w:rsidP="001C04D4"/>
    <w:p w14:paraId="1512431A" w14:textId="77777777" w:rsidR="001C04D4" w:rsidRDefault="001C04D4">
      <w:pPr>
        <w:rPr>
          <w:b/>
          <w:bCs/>
        </w:rPr>
      </w:pPr>
      <w:r>
        <w:rPr>
          <w:b/>
          <w:bCs/>
        </w:rPr>
        <w:br w:type="page"/>
      </w:r>
    </w:p>
    <w:p w14:paraId="0D88D6FD" w14:textId="77777777" w:rsidR="00CD1069" w:rsidRDefault="00CD1069" w:rsidP="00CD1069">
      <w:pPr>
        <w:jc w:val="center"/>
      </w:pPr>
      <w:r>
        <w:rPr>
          <w:b/>
          <w:bCs/>
        </w:rPr>
        <w:lastRenderedPageBreak/>
        <w:t>Appendix 2: Comparison to Burgoyne et al. (2020)</w:t>
      </w:r>
    </w:p>
    <w:p w14:paraId="26149FEC" w14:textId="31736770" w:rsidR="00666FA2" w:rsidRDefault="00666FA2" w:rsidP="00CD1069"/>
    <w:p w14:paraId="451A9CC7" w14:textId="6B3E637E" w:rsidR="0069287B" w:rsidRDefault="0069287B" w:rsidP="0069287B">
      <w:r>
        <w:t xml:space="preserve">A recent paper by Burgoyne et al. (2020) examined the correlation between mindset and several components of the mindset meaning system, such as performance avoidance goals, and it found weaker results than we reported in the large studies using standardized measures, reported in Table 1 in the paper. In the paper, we speculated that the discrepancy in results might be explained by the measure of performance avoidance goals used by Burgoyne et al. (2020), which may not have tapped into mindset theory’s predictions. Here we present evidence in support of those speculations. </w:t>
      </w:r>
    </w:p>
    <w:p w14:paraId="17A41F20" w14:textId="77777777" w:rsidR="0069287B" w:rsidRDefault="0069287B" w:rsidP="0069287B"/>
    <w:p w14:paraId="31FA11D2" w14:textId="59413A9B" w:rsidR="0069287B" w:rsidRDefault="0069287B" w:rsidP="0069287B">
      <w:r>
        <w:t xml:space="preserve">As evidence for our argument, we cited </w:t>
      </w:r>
      <w:r w:rsidR="00687CB4">
        <w:t>a</w:t>
      </w:r>
      <w:r>
        <w:t xml:space="preserve"> well-known meta-analysis of performance avoidance goals measures, which concluded that </w:t>
      </w:r>
      <w:r w:rsidR="007174BF" w:rsidRPr="00EB791D">
        <w:t xml:space="preserve">research on achievement goals has often used “the same label for different constructs” </w:t>
      </w:r>
      <w:r w:rsidR="007174BF" w:rsidRPr="00EB791D">
        <w:fldChar w:fldCharType="begin"/>
      </w:r>
      <w:r w:rsidR="007174BF" w:rsidRPr="00EB791D">
        <w:instrText xml:space="preserve"> ADDIN ZOTERO_ITEM CSL_CITATION {"citationID":"a2qqjogd697","properties":{"formattedCitation":"\\uldash{(Hulleman et al., 2010)}","plainCitation":"(Hulleman et al., 2010)","dontUpdate":true,"noteIndex":0},"citationItems":[{"id":13672,"uris":["http://zotero.org/groups/440527/items/S5BCX3WJ"],"uri":["http://zotero.org/groups/440527/items/S5BCX3WJ"],"itemData":{"id":13672,"type":"article-journal","abstract":"This meta-analysis addresses whether achievement goal researchers are using different labels for the same constructs or putting the same labels on different constructs. We systematically examined whether conceptual and methodological differences in the measurement of achievement goals moderated achievement goal intercorrelations and relationships with outcomes. We reviewed 243 correlational studies of self-reported achievement goals comprising a total of 91,087 participants. The items used to measure achievement goals were coded as being goal relevant (future-focused, cognitively represented, competence-related end states that the individual approaches or avoids) and were categorized according to the different conceptual definitions found within the literature. The results indicated that achievement goal–outcome and goal–goal correlations differed significantly depending on the goal scale chosen, the individual items used to assess goal strivings, and sociodemographic characteristics of the sample under study. For example, performance-approach goal scales coded as having a majority of normatively referenced items had a positive correlation with performance outcomes (r̂ = .14), whereas scales with a majority of appearance and evaluative items had a negative relationship (r̂ = −.14). Mastery-approach goal scales that contained goal-relevant language were not significantly related to performance outcomes (r̂ = .05), whereas those that did not contain goal-relevant language had a positive relationship with performance outcomes (r̂ = .14). We concluded that achievement goal researchers are using the same label for conceptually different constructs. This discrepancy between conceptual and operational definitions and the absence of goal-relevant language in achievement goal measures may be preventing productive theory testing, research synthesis, and practical application. (PsycINFO Database Record (c) 2019 APA, all rights reserved)","container-title":"Psychological Bulletin","DOI":"10.1037/a0018947","ISSN":"1939-1455","issue":"3","journalAbbreviation":"Psychological bulletin","note":"publisher: American Psychological Association","page":"422-449","title":"A meta-analytic review of achievement goal measures: Different labels for the same constructs or different constructs with similar labels?","volume":"136","author":[{"family":"Hulleman","given":"Chris S"},{"family":"Schrager","given":"Sheree M"},{"family":"Bodmann","given":"Shawn M"},{"family":"Harackiewicz","given":"Judith M"}],"issued":{"date-parts":[["2010"]]}}}],"schema":"https://github.com/citation-style-language/schema/raw/master/csl-citation.json"} </w:instrText>
      </w:r>
      <w:r w:rsidR="007174BF" w:rsidRPr="00EB791D">
        <w:fldChar w:fldCharType="separate"/>
      </w:r>
      <w:r w:rsidR="007174BF" w:rsidRPr="00EB791D">
        <w:rPr>
          <w:u w:val="dash"/>
        </w:rPr>
        <w:t>(</w:t>
      </w:r>
      <w:r w:rsidR="00687CB4">
        <w:rPr>
          <w:u w:val="dash"/>
        </w:rPr>
        <w:t xml:space="preserve">Hulleman et al., </w:t>
      </w:r>
      <w:r w:rsidR="007174BF" w:rsidRPr="00EB791D">
        <w:rPr>
          <w:u w:val="dash"/>
        </w:rPr>
        <w:t>2010, pg. 422)</w:t>
      </w:r>
      <w:r w:rsidR="007174BF" w:rsidRPr="00EB791D">
        <w:fldChar w:fldCharType="end"/>
      </w:r>
      <w:r w:rsidR="007174BF" w:rsidRPr="00EB791D">
        <w:t xml:space="preserve">. </w:t>
      </w:r>
      <w:r>
        <w:t xml:space="preserve">In particular, </w:t>
      </w:r>
      <w:proofErr w:type="spellStart"/>
      <w:r>
        <w:t>Hulleman</w:t>
      </w:r>
      <w:proofErr w:type="spellEnd"/>
      <w:r>
        <w:t xml:space="preserve"> et al. (2010)—and, earlier, Grant and Dweck (2003)</w:t>
      </w:r>
      <w:r w:rsidR="00687CB4">
        <w:t>—</w:t>
      </w:r>
      <w:r>
        <w:t xml:space="preserve">showed that there are </w:t>
      </w:r>
      <w:r w:rsidR="007174BF" w:rsidRPr="00EB791D">
        <w:t xml:space="preserve">two very different types of performance goal measures: those focused on </w:t>
      </w:r>
      <w:r w:rsidR="007174BF" w:rsidRPr="00EB791D">
        <w:rPr>
          <w:i/>
          <w:iCs/>
        </w:rPr>
        <w:t>appearance/ability</w:t>
      </w:r>
      <w:r w:rsidR="007174BF" w:rsidRPr="00EB791D">
        <w:t xml:space="preserve"> (i.e. validating and demonstrating one’s abilities</w:t>
      </w:r>
      <w:r>
        <w:t xml:space="preserve"> in front of or relative to others</w:t>
      </w:r>
      <w:r w:rsidR="007174BF" w:rsidRPr="00EB791D">
        <w:t xml:space="preserve">) and those focused on living up to a </w:t>
      </w:r>
      <w:r w:rsidR="007174BF" w:rsidRPr="00EB791D">
        <w:rPr>
          <w:i/>
          <w:iCs/>
        </w:rPr>
        <w:t xml:space="preserve">normative standard </w:t>
      </w:r>
      <w:r w:rsidR="007174BF" w:rsidRPr="00EB791D">
        <w:t>(e.g. doing well</w:t>
      </w:r>
      <w:r w:rsidR="00687CB4">
        <w:t xml:space="preserve">, </w:t>
      </w:r>
      <w:r>
        <w:t>or not doing poorly</w:t>
      </w:r>
      <w:r w:rsidR="00687CB4">
        <w:t xml:space="preserve">, </w:t>
      </w:r>
      <w:r w:rsidR="007174BF" w:rsidRPr="00EB791D">
        <w:t xml:space="preserve">in school) </w:t>
      </w:r>
      <w:r w:rsidR="007174BF" w:rsidRPr="00EB791D">
        <w:fldChar w:fldCharType="begin"/>
      </w:r>
      <w:r w:rsidR="007174BF" w:rsidRPr="00EB791D">
        <w:instrText xml:space="preserve"> ADDIN ZOTERO_ITEM CSL_CITATION {"citationID":"ak0k27ee2f","properties":{"formattedCitation":"\\uldash{(Grant &amp; Dweck, 2003)}","plainCitation":"(Grant &amp; Dweck, 2003)","dontUpdate":true,"noteIndex":0},"citationItems":[{"id":12111,"uris":["http://zotero.org/groups/2208729/items/A455TBK4"],"uri":["http://zotero.org/groups/2208729/items/A455TBK4"],"itemData":{"id":12111,"type":"article-journal","abstract":"The study of achievement goals has illuminated basic motivational processes, though controversy surrounds their nature and impact. In 5 studies, including a longitudinal study in a difficult premed course, the authors show that the impact of learning and performance goals depends on how they are operationalized. Active learning goals predicted active coping, sustained motivation, and higher achievement in the face of challenge. Among performance goals, ability-linked goals predicted withdrawal and ment poorer performance in the face of challenge (but provided a \"boost\" to performance when students met with success); normative goals did not predict decrements in motivation or performance; and outcome goals (wanting a good grade) were in fact equally related to learning goals and ability goals. Ways in which the findings address discrepancies in the literature are discussed.","container-title":"Journal of Personality and Social Psychology","DOI":"10.1037/0022-3514.85.3.541","ISSN":"0022-3514","issue":"3","language":"en","note":"01032","page":"541-553","source":"CrossRef","title":"Clarifying achievement goals and their impact","volume":"85","author":[{"family":"Grant","given":"Heidi"},{"family":"Dweck","given":"Carol S."}],"issued":{"date-parts":[["2003"]]}}}],"schema":"https://github.com/citation-style-language/schema/raw/master/csl-citation.json"} </w:instrText>
      </w:r>
      <w:r w:rsidR="007174BF" w:rsidRPr="00EB791D">
        <w:fldChar w:fldCharType="end"/>
      </w:r>
      <w:r w:rsidR="007174BF" w:rsidRPr="00EB791D">
        <w:t>(also see Grant &amp; Dweck, 200</w:t>
      </w:r>
      <w:r w:rsidR="007174BF">
        <w:t>3</w:t>
      </w:r>
      <w:r w:rsidR="007174BF" w:rsidRPr="00EB791D">
        <w:t xml:space="preserve">). </w:t>
      </w:r>
      <w:r>
        <w:t>Only the appearance/ability performance goals have been predicted (and found) to tap into the helplessness that characterizes a fixed mindset response to difficulty. These are goals which cause people to focus on maintaining an image as a smart (or not dumb) person, rather than on learning</w:t>
      </w:r>
      <w:r w:rsidR="00687CB4">
        <w:t xml:space="preserve">. In Blackwell et al. (2007), this goal is measured with an item like this: </w:t>
      </w:r>
      <w:r w:rsidR="00687CB4" w:rsidRPr="00EB791D">
        <w:t>“</w:t>
      </w:r>
      <w:r w:rsidR="00687CB4" w:rsidRPr="00155966">
        <w:rPr>
          <w:i/>
          <w:iCs/>
        </w:rPr>
        <w:t>It's very important to me that I don't look stupid in [this math] class.</w:t>
      </w:r>
      <w:r w:rsidR="00687CB4">
        <w:t>” In our standardized MMI measure, we assess this goal with a single item: “</w:t>
      </w:r>
      <w:r w:rsidR="00687CB4" w:rsidRPr="00155966">
        <w:rPr>
          <w:i/>
          <w:iCs/>
        </w:rPr>
        <w:t xml:space="preserve">One of my main goals for the rest of the school year is to </w:t>
      </w:r>
      <w:r w:rsidR="00687CB4" w:rsidRPr="00155966">
        <w:rPr>
          <w:bCs/>
          <w:i/>
          <w:iCs/>
        </w:rPr>
        <w:t>avoid looking dumb in my classes.”</w:t>
      </w:r>
      <w:r w:rsidR="00687CB4">
        <w:rPr>
          <w:bCs/>
        </w:rPr>
        <w:t xml:space="preserve"> </w:t>
      </w:r>
      <w:r w:rsidR="00687CB4">
        <w:t xml:space="preserve">People with this kind of avoidance goal forego learning experiences that are accompanied by difficulty, and over time tend to perform worse. A fixed mindset should therefore be positively correlated with appearance/ability performance goals. </w:t>
      </w:r>
    </w:p>
    <w:p w14:paraId="1C8EF08F" w14:textId="32AF6821" w:rsidR="00687CB4" w:rsidRDefault="00687CB4" w:rsidP="0069287B"/>
    <w:p w14:paraId="5AC30C0D" w14:textId="22D023B1" w:rsidR="007174BF" w:rsidRDefault="00687CB4" w:rsidP="00687CB4">
      <w:r>
        <w:t xml:space="preserve">Normative performance avoidance goals tap into a general motivation to do well or not do poorly. They do not reference people’s standing relative to others, and do not reflect the fixed mindset worry about revealing one’s low, fixed ability. Burgoyne et al. (2020) measured normative performance avoidance goals according to the </w:t>
      </w:r>
      <w:proofErr w:type="spellStart"/>
      <w:r>
        <w:t>Hulleman</w:t>
      </w:r>
      <w:proofErr w:type="spellEnd"/>
      <w:r>
        <w:t xml:space="preserve"> et al. (2010) categorization, with these items adapted from Elliot &amp; Church (1997): “</w:t>
      </w:r>
      <w:r w:rsidRPr="00155966">
        <w:rPr>
          <w:i/>
          <w:iCs/>
        </w:rPr>
        <w:t>I often think to myself, ‘What if I do badly (in this class, in this game, in this sport, etc.)</w:t>
      </w:r>
      <w:r w:rsidRPr="00561019">
        <w:t>?</w:t>
      </w:r>
      <w:r>
        <w:t>’” “</w:t>
      </w:r>
      <w:r w:rsidRPr="00155966">
        <w:rPr>
          <w:i/>
          <w:iCs/>
        </w:rPr>
        <w:t>I worry about the possibility of performing poorly</w:t>
      </w:r>
      <w:r>
        <w:t>” and “</w:t>
      </w:r>
      <w:r w:rsidRPr="00155966">
        <w:rPr>
          <w:i/>
          <w:iCs/>
        </w:rPr>
        <w:t>My fear of performing poorly is often what motivates me.</w:t>
      </w:r>
      <w:r>
        <w:t xml:space="preserve">” As mentioned, these items are not expected to correlate strongly with mindset. Indeed, people with a growth mindset want to avoid doing poorly, in part because their performance might be a reflection that they had not learned all that they would like to have learned. That is, mindset should not be correlated with an overall desire to do well and not poorly, but rather with a tendency to draw a certain inference about the </w:t>
      </w:r>
      <w:r>
        <w:rPr>
          <w:i/>
          <w:iCs/>
        </w:rPr>
        <w:t>meaning</w:t>
      </w:r>
      <w:r>
        <w:t xml:space="preserve"> of high or low performance. </w:t>
      </w:r>
    </w:p>
    <w:p w14:paraId="25F5F0DA" w14:textId="6725B3D5" w:rsidR="00687CB4" w:rsidRDefault="00687CB4" w:rsidP="00687CB4"/>
    <w:p w14:paraId="0696684D" w14:textId="4CCE3B22" w:rsidR="00991CD0" w:rsidRDefault="001E0A18" w:rsidP="00991CD0">
      <w:r>
        <w:t>To understand wheth</w:t>
      </w:r>
      <w:r w:rsidR="00AB09E3">
        <w:t xml:space="preserve">er </w:t>
      </w:r>
      <w:r>
        <w:t>the difference in goals items could</w:t>
      </w:r>
      <w:r w:rsidR="00687CB4">
        <w:t xml:space="preserve">, indeed, </w:t>
      </w:r>
      <w:r>
        <w:t xml:space="preserve">explain the difference in results, </w:t>
      </w:r>
      <w:r w:rsidR="00307390">
        <w:t xml:space="preserve">we were able to use </w:t>
      </w:r>
      <w:r w:rsidR="00CD1069">
        <w:t xml:space="preserve">some </w:t>
      </w:r>
      <w:r w:rsidR="00307390">
        <w:t>survey</w:t>
      </w:r>
      <w:r w:rsidR="00CD1069">
        <w:t xml:space="preserve"> space in </w:t>
      </w:r>
      <w:r w:rsidR="00307390">
        <w:t>a recent s</w:t>
      </w:r>
      <w:r w:rsidR="00CD1069">
        <w:t>tudy we conducted</w:t>
      </w:r>
      <w:r>
        <w:t xml:space="preserve"> to administer the </w:t>
      </w:r>
      <w:r w:rsidR="00687CB4">
        <w:t xml:space="preserve">normative-focused goal measures reported by </w:t>
      </w:r>
      <w:r>
        <w:t xml:space="preserve">Burgoyne et al. (2020). </w:t>
      </w:r>
      <w:r w:rsidR="003F6757">
        <w:t xml:space="preserve">It was informative to administer both kinds of measures in the same study, using the same procedures and data, because the Burgoyne et al. (2020) study </w:t>
      </w:r>
      <w:r w:rsidR="00466E73">
        <w:t>differed</w:t>
      </w:r>
      <w:r w:rsidR="003F6757">
        <w:t xml:space="preserve"> in several other ways from the large studies we </w:t>
      </w:r>
      <w:r w:rsidR="003F6757">
        <w:lastRenderedPageBreak/>
        <w:t>reported in Table 1. We used adolescents and they used college students, we used goals items directly tied to a context and time period (</w:t>
      </w:r>
      <w:proofErr w:type="gramStart"/>
      <w:r w:rsidR="003F6757">
        <w:t>i.e.</w:t>
      </w:r>
      <w:proofErr w:type="gramEnd"/>
      <w:r w:rsidR="003F6757">
        <w:t xml:space="preserve"> school this year) and their items were generic (simply saying </w:t>
      </w:r>
      <w:r w:rsidR="003F6757" w:rsidRPr="00521B42">
        <w:rPr>
          <w:i/>
          <w:iCs/>
        </w:rPr>
        <w:t>I worry about the possibility of performing poorl</w:t>
      </w:r>
      <w:r w:rsidR="003F6757">
        <w:rPr>
          <w:i/>
          <w:iCs/>
        </w:rPr>
        <w:t>y</w:t>
      </w:r>
      <w:r w:rsidR="003F6757">
        <w:t xml:space="preserve">). </w:t>
      </w:r>
      <w:r w:rsidR="00973505">
        <w:t>W</w:t>
      </w:r>
      <w:r w:rsidR="003F6757">
        <w:t xml:space="preserve">e used a 3-item fixed mindset scale and they used an 8-item scale (4 growth items and 4 fixed items). Here, we report data using both appearance/ability and normative goals, with both the 3- and 8-item growth mindset scales, in a sample of adolescents, and with all </w:t>
      </w:r>
      <w:proofErr w:type="gramStart"/>
      <w:r w:rsidR="003F6757">
        <w:t>goals</w:t>
      </w:r>
      <w:proofErr w:type="gramEnd"/>
      <w:r w:rsidR="003F6757">
        <w:t xml:space="preserve"> items referencing school. </w:t>
      </w:r>
    </w:p>
    <w:p w14:paraId="5C8ECACA" w14:textId="77777777" w:rsidR="00991CD0" w:rsidRDefault="00991CD0" w:rsidP="00CD1069"/>
    <w:p w14:paraId="31E06B78" w14:textId="59E47EE7" w:rsidR="001E0A18" w:rsidRDefault="001E0A18" w:rsidP="00CD1069">
      <w:r>
        <w:t xml:space="preserve">Our study was conducted recently by the </w:t>
      </w:r>
      <w:r w:rsidR="00CD1069">
        <w:t xml:space="preserve">Character Lab Research Network (CLRN). CLRN independently collected data for us from </w:t>
      </w:r>
      <w:r w:rsidR="00CD1069">
        <w:rPr>
          <w:i/>
          <w:iCs/>
        </w:rPr>
        <w:t>N</w:t>
      </w:r>
      <w:r w:rsidR="00CD1069">
        <w:t xml:space="preserve"> = 1,582 U.S. 8</w:t>
      </w:r>
      <w:r w:rsidR="00CD1069" w:rsidRPr="0099083E">
        <w:rPr>
          <w:vertAlign w:val="superscript"/>
        </w:rPr>
        <w:t>th</w:t>
      </w:r>
      <w:r w:rsidR="00CD1069">
        <w:t xml:space="preserve"> to 12</w:t>
      </w:r>
      <w:r w:rsidR="00CD1069" w:rsidRPr="0099083E">
        <w:rPr>
          <w:vertAlign w:val="superscript"/>
        </w:rPr>
        <w:t>th</w:t>
      </w:r>
      <w:r w:rsidR="00CD1069">
        <w:t xml:space="preserve"> graders in the Fall of 2020 (pre-registration</w:t>
      </w:r>
      <w:r>
        <w:t xml:space="preserve"> and additional analyses here</w:t>
      </w:r>
      <w:r w:rsidR="00CD1069">
        <w:t xml:space="preserve">: </w:t>
      </w:r>
      <w:hyperlink r:id="rId7" w:history="1">
        <w:r w:rsidR="00CD1069" w:rsidRPr="007A02FE">
          <w:rPr>
            <w:rStyle w:val="Hyperlink"/>
          </w:rPr>
          <w:t>osf.io/3mtcz</w:t>
        </w:r>
      </w:hyperlink>
      <w:r w:rsidR="00CD1069">
        <w:t xml:space="preserve">). </w:t>
      </w:r>
      <w:r w:rsidR="00ED75A6">
        <w:t xml:space="preserve">We note that we only had the space to include a few additional items, so we could not replicate the entire Burgoyne et al. (2020) study procedures. </w:t>
      </w:r>
      <w:r w:rsidR="00991CD0">
        <w:t>T</w:t>
      </w:r>
      <w:r w:rsidR="00ED75A6">
        <w:t>he present analysis can only speak to the potential differences in the performance avoidance goals</w:t>
      </w:r>
      <w:r w:rsidR="00AA1808">
        <w:t xml:space="preserve"> results</w:t>
      </w:r>
      <w:r w:rsidR="00ED75A6">
        <w:t>.</w:t>
      </w:r>
      <w:r w:rsidR="00AB09E3" w:rsidRPr="00AB09E3">
        <w:t xml:space="preserve"> </w:t>
      </w:r>
      <w:r w:rsidR="00AB09E3" w:rsidRPr="0009039A">
        <w:t xml:space="preserve">For additional analyses of the new data, including new exploratory analyses, see </w:t>
      </w:r>
      <w:hyperlink r:id="rId8" w:history="1">
        <w:r w:rsidR="00AB09E3" w:rsidRPr="0009039A">
          <w:rPr>
            <w:rStyle w:val="Hyperlink"/>
          </w:rPr>
          <w:t>https://osf.io/krjv5/</w:t>
        </w:r>
      </w:hyperlink>
      <w:r w:rsidR="00AB09E3" w:rsidRPr="0009039A">
        <w:t>.</w:t>
      </w:r>
      <w:r w:rsidR="003F6757">
        <w:t xml:space="preserve"> A preview of what was learned from these analyses appears at the end of this document. </w:t>
      </w:r>
      <w:r w:rsidR="00AB09E3">
        <w:tab/>
      </w:r>
    </w:p>
    <w:p w14:paraId="345E8C4D" w14:textId="77777777" w:rsidR="001E0A18" w:rsidRDefault="001E0A18" w:rsidP="00CD1069"/>
    <w:p w14:paraId="57B59024" w14:textId="0EED801C" w:rsidR="003F6757" w:rsidRDefault="00A10AA6" w:rsidP="001E0A18">
      <w:pPr>
        <w:rPr>
          <w:b/>
          <w:bCs/>
        </w:rPr>
      </w:pPr>
      <w:r>
        <w:rPr>
          <w:b/>
          <w:bCs/>
        </w:rPr>
        <w:t xml:space="preserve">Measures </w:t>
      </w:r>
    </w:p>
    <w:p w14:paraId="46685762" w14:textId="790B4FEE" w:rsidR="00155966" w:rsidRDefault="00155966" w:rsidP="001E0A18">
      <w:pPr>
        <w:rPr>
          <w:b/>
          <w:bCs/>
          <w:i/>
          <w:iCs/>
        </w:rPr>
      </w:pPr>
      <w:r>
        <w:rPr>
          <w:b/>
          <w:bCs/>
          <w:i/>
          <w:iCs/>
        </w:rPr>
        <w:t xml:space="preserve">3-item mindset scale. </w:t>
      </w:r>
    </w:p>
    <w:p w14:paraId="6D47D3BA" w14:textId="77777777" w:rsidR="00155966" w:rsidRPr="00155966" w:rsidRDefault="00155966" w:rsidP="00155966">
      <w:pPr>
        <w:keepNext/>
      </w:pPr>
      <w:r w:rsidRPr="00155966">
        <w:t>You have a certain amount of intelligence, and you really can’t do much to change it.</w:t>
      </w:r>
    </w:p>
    <w:p w14:paraId="4390A766" w14:textId="77777777" w:rsidR="00155966" w:rsidRDefault="00155966" w:rsidP="00155966">
      <w:pPr>
        <w:keepNext/>
      </w:pPr>
      <w:r w:rsidRPr="00155966">
        <w:t>Your intelligence is something about you that you can’t change very much.</w:t>
      </w:r>
    </w:p>
    <w:p w14:paraId="265784B1" w14:textId="7E0C93D7" w:rsidR="00155966" w:rsidRPr="00155966" w:rsidRDefault="00155966" w:rsidP="00155966">
      <w:pPr>
        <w:keepNext/>
      </w:pPr>
      <w:r w:rsidRPr="00155966">
        <w:t>Being a “math person” or not is something that you really can’t change. Some people are good at math and other people aren’t.</w:t>
      </w:r>
    </w:p>
    <w:p w14:paraId="24658585" w14:textId="24017D67" w:rsidR="00155966" w:rsidRDefault="00155966" w:rsidP="001E0A18">
      <w:pPr>
        <w:rPr>
          <w:b/>
          <w:bCs/>
        </w:rPr>
      </w:pPr>
    </w:p>
    <w:p w14:paraId="68349B1A" w14:textId="6B4A7DCF" w:rsidR="00155966" w:rsidRDefault="00155966" w:rsidP="001E0A18">
      <w:pPr>
        <w:rPr>
          <w:i/>
          <w:iCs/>
        </w:rPr>
      </w:pPr>
      <w:r>
        <w:rPr>
          <w:b/>
          <w:bCs/>
          <w:i/>
          <w:iCs/>
        </w:rPr>
        <w:t xml:space="preserve">8-item mindset scale. </w:t>
      </w:r>
    </w:p>
    <w:p w14:paraId="7DD312C9" w14:textId="3B2525A0" w:rsidR="00A10AA6" w:rsidRPr="00A10AA6" w:rsidRDefault="00A10AA6" w:rsidP="00A10AA6">
      <w:pPr>
        <w:keepNext/>
        <w:rPr>
          <w:bCs/>
        </w:rPr>
      </w:pPr>
      <w:r w:rsidRPr="00A10AA6">
        <w:rPr>
          <w:bCs/>
        </w:rPr>
        <w:t>You have a certain amount of intelligence, and you can’t really do much to change it.</w:t>
      </w:r>
    </w:p>
    <w:p w14:paraId="6F5FECF8" w14:textId="322E7401" w:rsidR="00A10AA6" w:rsidRPr="00A10AA6" w:rsidRDefault="00A10AA6" w:rsidP="00A10AA6">
      <w:pPr>
        <w:keepNext/>
        <w:rPr>
          <w:bCs/>
        </w:rPr>
      </w:pPr>
      <w:r w:rsidRPr="00A10AA6">
        <w:rPr>
          <w:bCs/>
        </w:rPr>
        <w:t>Your intelligence is something about you that you can’t change very much.</w:t>
      </w:r>
    </w:p>
    <w:p w14:paraId="48264ED1" w14:textId="572143AF" w:rsidR="00A10AA6" w:rsidRPr="00A10AA6" w:rsidRDefault="00A10AA6" w:rsidP="00A10AA6">
      <w:pPr>
        <w:keepNext/>
        <w:rPr>
          <w:bCs/>
        </w:rPr>
      </w:pPr>
      <w:r w:rsidRPr="00A10AA6">
        <w:rPr>
          <w:bCs/>
        </w:rPr>
        <w:t>To be honest, you can’t really change how intelligent you are.</w:t>
      </w:r>
    </w:p>
    <w:p w14:paraId="40AF95AD" w14:textId="1F72DD7B" w:rsidR="00A10AA6" w:rsidRPr="00155966" w:rsidRDefault="00A10AA6" w:rsidP="00155966">
      <w:pPr>
        <w:keepNext/>
        <w:rPr>
          <w:bCs/>
        </w:rPr>
      </w:pPr>
      <w:r w:rsidRPr="00A10AA6">
        <w:rPr>
          <w:bCs/>
        </w:rPr>
        <w:t>You can learn new things, but you can’t really change your basic intelligence.</w:t>
      </w:r>
    </w:p>
    <w:p w14:paraId="43BDE429" w14:textId="28E13D22" w:rsidR="00A10AA6" w:rsidRPr="00A10AA6" w:rsidRDefault="00A10AA6" w:rsidP="009D44E4">
      <w:pPr>
        <w:rPr>
          <w:bCs/>
        </w:rPr>
      </w:pPr>
      <w:r w:rsidRPr="00A10AA6">
        <w:rPr>
          <w:bCs/>
        </w:rPr>
        <w:t>No matter who you are, you can significantly change your intelligence level.</w:t>
      </w:r>
      <w:r w:rsidR="00FD5B33">
        <w:rPr>
          <w:bCs/>
        </w:rPr>
        <w:t xml:space="preserve"> (R)</w:t>
      </w:r>
    </w:p>
    <w:p w14:paraId="19B6A072" w14:textId="323F402C" w:rsidR="00A10AA6" w:rsidRPr="00A10AA6" w:rsidRDefault="00A10AA6" w:rsidP="009D44E4">
      <w:pPr>
        <w:rPr>
          <w:bCs/>
        </w:rPr>
      </w:pPr>
      <w:r w:rsidRPr="00A10AA6">
        <w:rPr>
          <w:bCs/>
        </w:rPr>
        <w:t>You can always substantially change how intelligent you are.</w:t>
      </w:r>
      <w:r w:rsidR="00FD5B33" w:rsidRPr="00FD5B33">
        <w:rPr>
          <w:bCs/>
        </w:rPr>
        <w:t xml:space="preserve"> </w:t>
      </w:r>
      <w:r w:rsidR="00FD5B33">
        <w:rPr>
          <w:bCs/>
        </w:rPr>
        <w:t>(R)</w:t>
      </w:r>
    </w:p>
    <w:p w14:paraId="5A54242A" w14:textId="369043FE" w:rsidR="00A10AA6" w:rsidRPr="00A10AA6" w:rsidRDefault="00A10AA6" w:rsidP="009D44E4">
      <w:pPr>
        <w:rPr>
          <w:bCs/>
        </w:rPr>
      </w:pPr>
      <w:r w:rsidRPr="00A10AA6">
        <w:rPr>
          <w:bCs/>
        </w:rPr>
        <w:t>No matter how much intelligence you have, you can always change it quite a bit.</w:t>
      </w:r>
      <w:r w:rsidR="00FD5B33" w:rsidRPr="00FD5B33">
        <w:rPr>
          <w:bCs/>
        </w:rPr>
        <w:t xml:space="preserve"> </w:t>
      </w:r>
      <w:r w:rsidR="00FD5B33">
        <w:rPr>
          <w:bCs/>
        </w:rPr>
        <w:t>(R)</w:t>
      </w:r>
    </w:p>
    <w:p w14:paraId="20AB4FCF" w14:textId="61A5E018" w:rsidR="00A10AA6" w:rsidRPr="00A10AA6" w:rsidRDefault="00A10AA6" w:rsidP="009D44E4">
      <w:pPr>
        <w:rPr>
          <w:bCs/>
        </w:rPr>
      </w:pPr>
      <w:r w:rsidRPr="00A10AA6">
        <w:rPr>
          <w:bCs/>
        </w:rPr>
        <w:t>You can change even your basic intelligence level considerably.</w:t>
      </w:r>
      <w:r w:rsidR="00FD5B33" w:rsidRPr="00FD5B33">
        <w:rPr>
          <w:bCs/>
        </w:rPr>
        <w:t xml:space="preserve"> </w:t>
      </w:r>
      <w:r w:rsidR="00FD5B33">
        <w:rPr>
          <w:bCs/>
        </w:rPr>
        <w:t>(R)</w:t>
      </w:r>
    </w:p>
    <w:p w14:paraId="7E109E17" w14:textId="77777777" w:rsidR="00A10AA6" w:rsidRDefault="00A10AA6" w:rsidP="009D44E4">
      <w:pPr>
        <w:rPr>
          <w:b/>
          <w:bCs/>
          <w:i/>
          <w:iCs/>
        </w:rPr>
      </w:pPr>
    </w:p>
    <w:p w14:paraId="41E9F40E" w14:textId="6E589BBC" w:rsidR="00A10AA6" w:rsidRDefault="00A10AA6" w:rsidP="009D44E4">
      <w:pPr>
        <w:rPr>
          <w:b/>
          <w:bCs/>
        </w:rPr>
      </w:pPr>
      <w:r>
        <w:rPr>
          <w:b/>
          <w:bCs/>
          <w:i/>
          <w:iCs/>
        </w:rPr>
        <w:t>Normative-focused performance-avoidance goals</w:t>
      </w:r>
      <w:r w:rsidR="00155966">
        <w:rPr>
          <w:b/>
          <w:bCs/>
          <w:i/>
          <w:iCs/>
        </w:rPr>
        <w:t xml:space="preserve"> (from Elliot &amp; Church, 1997)</w:t>
      </w:r>
      <w:r w:rsidR="00FD5B33">
        <w:rPr>
          <w:rStyle w:val="FootnoteReference"/>
          <w:b/>
          <w:bCs/>
          <w:i/>
          <w:iCs/>
        </w:rPr>
        <w:footnoteReference w:id="1"/>
      </w:r>
    </w:p>
    <w:p w14:paraId="1C3360B4" w14:textId="77777777" w:rsidR="00A10AA6" w:rsidRPr="00A10AA6" w:rsidRDefault="00A10AA6" w:rsidP="009D44E4">
      <w:pPr>
        <w:rPr>
          <w:bCs/>
        </w:rPr>
      </w:pPr>
      <w:r w:rsidRPr="00A10AA6">
        <w:rPr>
          <w:bCs/>
        </w:rPr>
        <w:t>I often think to myself, "What if I do badly in school?"</w:t>
      </w:r>
    </w:p>
    <w:p w14:paraId="1A4AE4EE" w14:textId="77777777" w:rsidR="00A10AA6" w:rsidRPr="00A10AA6" w:rsidRDefault="00A10AA6" w:rsidP="009D44E4">
      <w:pPr>
        <w:rPr>
          <w:bCs/>
        </w:rPr>
      </w:pPr>
      <w:r w:rsidRPr="00A10AA6">
        <w:rPr>
          <w:bCs/>
        </w:rPr>
        <w:t>I worry about the possibility of getting a bad grade in school.</w:t>
      </w:r>
    </w:p>
    <w:p w14:paraId="257BACF3" w14:textId="77777777" w:rsidR="00A10AA6" w:rsidRDefault="00A10AA6" w:rsidP="00A10AA6">
      <w:pPr>
        <w:keepNext/>
        <w:rPr>
          <w:rFonts w:asciiTheme="minorHAnsi" w:eastAsiaTheme="minorHAnsi" w:hAnsiTheme="minorHAnsi" w:cstheme="minorBidi"/>
        </w:rPr>
      </w:pPr>
      <w:r w:rsidRPr="00A10AA6">
        <w:rPr>
          <w:bCs/>
        </w:rPr>
        <w:t>My fear of performing poorly in school is often what motivates me.</w:t>
      </w:r>
    </w:p>
    <w:p w14:paraId="3C5627BA" w14:textId="5BA5EA07" w:rsidR="00155966" w:rsidRDefault="00155966">
      <w:pPr>
        <w:rPr>
          <w:b/>
          <w:bCs/>
        </w:rPr>
      </w:pPr>
    </w:p>
    <w:p w14:paraId="070FFC64" w14:textId="793309C4" w:rsidR="0091653F" w:rsidRDefault="00296C74">
      <w:pPr>
        <w:rPr>
          <w:b/>
          <w:bCs/>
        </w:rPr>
      </w:pPr>
      <w:r>
        <w:rPr>
          <w:b/>
          <w:bCs/>
          <w:i/>
          <w:iCs/>
        </w:rPr>
        <w:t xml:space="preserve">Ability-focused performance avoidance goals (from the MMI). </w:t>
      </w:r>
      <w:r w:rsidRPr="00EA32F5">
        <w:t xml:space="preserve">One of my main goals for the rest of the school year is to </w:t>
      </w:r>
      <w:r w:rsidRPr="001C04D4">
        <w:rPr>
          <w:bCs/>
        </w:rPr>
        <w:t>avoid looking dumb in my classes.</w:t>
      </w:r>
    </w:p>
    <w:p w14:paraId="6E70CCA0" w14:textId="77777777" w:rsidR="0091653F" w:rsidRDefault="0091653F">
      <w:pPr>
        <w:rPr>
          <w:b/>
          <w:bCs/>
        </w:rPr>
      </w:pPr>
    </w:p>
    <w:p w14:paraId="5819B005" w14:textId="77777777" w:rsidR="00981E47" w:rsidRDefault="00981E47">
      <w:pPr>
        <w:rPr>
          <w:b/>
          <w:bCs/>
        </w:rPr>
      </w:pPr>
    </w:p>
    <w:p w14:paraId="39053ACB" w14:textId="30376490" w:rsidR="00386AC6" w:rsidRDefault="00386AC6">
      <w:pPr>
        <w:rPr>
          <w:b/>
          <w:bCs/>
        </w:rPr>
      </w:pPr>
      <w:r>
        <w:rPr>
          <w:b/>
          <w:bCs/>
        </w:rPr>
        <w:lastRenderedPageBreak/>
        <w:t>Overview of Analyses</w:t>
      </w:r>
    </w:p>
    <w:p w14:paraId="4B662E57" w14:textId="2BE37BAD" w:rsidR="00386AC6" w:rsidRDefault="00386AC6">
      <w:pPr>
        <w:rPr>
          <w:b/>
          <w:bCs/>
        </w:rPr>
      </w:pPr>
      <w:r>
        <w:t xml:space="preserve">All analyses were conducted using the stan program in R </w:t>
      </w:r>
      <w:r>
        <w:fldChar w:fldCharType="begin"/>
      </w:r>
      <w:r>
        <w:instrText xml:space="preserve"> ADDIN ZOTERO_ITEM CSL_CITATION {"citationID":"moLz7wf7","properties":{"formattedCitation":"(Gelman et al., 2015)","plainCitation":"(Gelman et al., 2015)","noteIndex":0},"citationItems":[{"id":19645,"uris":["http://zotero.org/groups/440527/items/BM343LPB"],"uri":["http://zotero.org/groups/440527/items/BM343LPB"],"itemData":{"id":19645,"type":"article-journal","container-title":"Journal of Educational and Behavioral Statistics","ISSN":"1076-9986","issue":"5","journalAbbreviation":"Journal of Educational and Behavioral Statistics","note":"publisher: Sage Publications Sage CA: Los Angeles, CA","page":"530-543","title":"Stan: A probabilistic programming language for Bayesian inference and optimization","volume":"40","author":[{"family":"Gelman","given":"Andrew"},{"family":"Lee","given":"Daniel"},{"family":"Guo","given":"Jiqiang"}],"issued":{"date-parts":[["2015"]]}}}],"schema":"https://github.com/citation-style-language/schema/raw/master/csl-citation.json"} </w:instrText>
      </w:r>
      <w:r>
        <w:fldChar w:fldCharType="separate"/>
      </w:r>
      <w:r>
        <w:rPr>
          <w:noProof/>
        </w:rPr>
        <w:t>(Gelman et al., 2015)</w:t>
      </w:r>
      <w:r>
        <w:fldChar w:fldCharType="end"/>
      </w:r>
      <w:r>
        <w:t xml:space="preserve"> with a weakly informative prior of </w:t>
      </w:r>
      <w:r>
        <w:rPr>
          <w:i/>
          <w:iCs/>
        </w:rPr>
        <w:t>R</w:t>
      </w:r>
      <w:r>
        <w:rPr>
          <w:vertAlign w:val="superscript"/>
        </w:rPr>
        <w:t xml:space="preserve">2 </w:t>
      </w:r>
      <w:r>
        <w:t xml:space="preserve">= .04. The fully Bayesian approach can give us information about quantity of interest—the magnitude of the correlation in this sample—and also give us interpretable probabilities and uncertainty intervals when conducting hypothesis tests of a difference among the correlations. Further, the Bayesian approach allows us to compare each correlation to the threshold of </w:t>
      </w:r>
      <w:r>
        <w:rPr>
          <w:i/>
          <w:iCs/>
        </w:rPr>
        <w:t>r</w:t>
      </w:r>
      <w:r>
        <w:t xml:space="preserve"> = .20 set by Burgoyne et al. (2020). The posterior distributions for the correlations are plotted in Figures S1 and S2. </w:t>
      </w:r>
    </w:p>
    <w:p w14:paraId="40C377F3" w14:textId="77777777" w:rsidR="00386AC6" w:rsidRDefault="00386AC6">
      <w:pPr>
        <w:rPr>
          <w:b/>
          <w:bCs/>
        </w:rPr>
      </w:pPr>
    </w:p>
    <w:p w14:paraId="4F4097FF" w14:textId="552CF6CF" w:rsidR="001E0A18" w:rsidRDefault="001E0A18">
      <w:r>
        <w:rPr>
          <w:b/>
          <w:bCs/>
        </w:rPr>
        <w:t>Results</w:t>
      </w:r>
      <w:r w:rsidR="00ED75A6">
        <w:rPr>
          <w:b/>
          <w:bCs/>
        </w:rPr>
        <w:t xml:space="preserve"> Using the 3-item Fixed Mindset Measure</w:t>
      </w:r>
    </w:p>
    <w:p w14:paraId="1CEE6756" w14:textId="0D9F99D1" w:rsidR="00AA1808" w:rsidRPr="00AA1808" w:rsidRDefault="00ED75A6">
      <w:r>
        <w:t xml:space="preserve">First, we analyzed the data using the 3-item fixed mindset measure </w:t>
      </w:r>
      <w:r w:rsidR="00792A4B">
        <w:t>as a predictor</w:t>
      </w:r>
      <w:r>
        <w:t xml:space="preserve">, which is what we used in our studies of the Mindset Meaning-system Index. Burgoyne et al. (2020) reported a small correlation of </w:t>
      </w:r>
      <w:r>
        <w:rPr>
          <w:i/>
          <w:iCs/>
        </w:rPr>
        <w:t xml:space="preserve">r </w:t>
      </w:r>
      <w:r>
        <w:t xml:space="preserve">= .04 with </w:t>
      </w:r>
      <w:r w:rsidR="007D3558">
        <w:t xml:space="preserve">normative-focused </w:t>
      </w:r>
      <w:r>
        <w:t>performance avoidance goals.</w:t>
      </w:r>
      <w:r w:rsidR="00386AC6">
        <w:t xml:space="preserve"> We replicated that weak correlation</w:t>
      </w:r>
      <w:r w:rsidR="00AA1808">
        <w:t xml:space="preserve"> (Figure S1</w:t>
      </w:r>
      <w:r w:rsidR="00D64B51">
        <w:t>A</w:t>
      </w:r>
      <w:r w:rsidR="00AA1808">
        <w:t>)</w:t>
      </w:r>
      <w:r w:rsidR="00386AC6">
        <w:t xml:space="preserve">: </w:t>
      </w:r>
      <w:r w:rsidR="00386AC6">
        <w:rPr>
          <w:i/>
          <w:iCs/>
        </w:rPr>
        <w:t>r</w:t>
      </w:r>
      <w:r w:rsidR="00386AC6">
        <w:t xml:space="preserve"> = .08</w:t>
      </w:r>
      <w:r w:rsidR="00AA1808">
        <w:t xml:space="preserve"> [</w:t>
      </w:r>
      <w:r w:rsidR="00386AC6">
        <w:t>95% posterior density interval: .03, .13</w:t>
      </w:r>
      <w:r w:rsidR="00AA1808">
        <w:t>]</w:t>
      </w:r>
      <w:r w:rsidR="00792A4B">
        <w:t xml:space="preserve"> with their performance goal measure</w:t>
      </w:r>
      <w:r w:rsidR="00386AC6">
        <w:t xml:space="preserve">. </w:t>
      </w:r>
      <w:r w:rsidR="00AA1808">
        <w:t xml:space="preserve">There was a 100% posterior probability that the correlation was weaker than </w:t>
      </w:r>
      <w:r w:rsidR="00AA1808">
        <w:rPr>
          <w:i/>
          <w:iCs/>
        </w:rPr>
        <w:t>r</w:t>
      </w:r>
      <w:r w:rsidR="00AA1808">
        <w:t xml:space="preserve"> = .20 (which Burgoyne et al. 2020 called an “inferiority test”). Next, we found that the single MMI item assessing ability-focused performance avoidance goals was meaningfully correlated with fixed mindset, </w:t>
      </w:r>
      <w:r w:rsidR="00AA1808">
        <w:rPr>
          <w:i/>
          <w:iCs/>
        </w:rPr>
        <w:t>r</w:t>
      </w:r>
      <w:r w:rsidR="00AA1808">
        <w:t xml:space="preserve"> = .25 [.20, .30] (Figure S1C). There was a 98% posterior probability that the correlation we observed was greater than </w:t>
      </w:r>
      <w:r w:rsidR="00AA1808">
        <w:rPr>
          <w:i/>
          <w:iCs/>
        </w:rPr>
        <w:t>r</w:t>
      </w:r>
      <w:r w:rsidR="00AA1808">
        <w:t xml:space="preserve"> = .20 (</w:t>
      </w:r>
      <w:proofErr w:type="gramStart"/>
      <w:r w:rsidR="00AA1808">
        <w:t>i.e.</w:t>
      </w:r>
      <w:proofErr w:type="gramEnd"/>
      <w:r w:rsidR="00AA1808">
        <w:t xml:space="preserve"> in a “superiority test”). </w:t>
      </w:r>
      <w:proofErr w:type="gramStart"/>
      <w:r w:rsidR="00296C74">
        <w:t>Therefore</w:t>
      </w:r>
      <w:proofErr w:type="gramEnd"/>
      <w:r w:rsidR="00296C74">
        <w:t xml:space="preserve"> we showed that we could replicate our significant correlation with appearance/ability-focused goals and replicate the predicted null correlation with normative-focused performance avoidance goals when using the 3-item </w:t>
      </w:r>
      <w:r w:rsidR="00D64B51">
        <w:t xml:space="preserve">mindset </w:t>
      </w:r>
      <w:r w:rsidR="00296C74">
        <w:t xml:space="preserve">scale. </w:t>
      </w:r>
    </w:p>
    <w:p w14:paraId="3CB15DE7" w14:textId="77777777" w:rsidR="007D3558" w:rsidRDefault="007D3558" w:rsidP="007D3558">
      <w:pPr>
        <w:rPr>
          <w:b/>
          <w:bCs/>
          <w:i/>
          <w:iCs/>
        </w:rPr>
      </w:pPr>
    </w:p>
    <w:p w14:paraId="420E7D73" w14:textId="3CC2073E" w:rsidR="007D3558" w:rsidRPr="007533F7" w:rsidRDefault="007D3558" w:rsidP="007D3558">
      <w:pPr>
        <w:rPr>
          <w:b/>
          <w:bCs/>
          <w:i/>
          <w:iCs/>
        </w:rPr>
      </w:pPr>
      <w:r>
        <w:rPr>
          <w:b/>
          <w:bCs/>
          <w:i/>
          <w:iCs/>
        </w:rPr>
        <w:t xml:space="preserve">Figure S1. Posterior distributions for correlations between fixed mindset (3-item measure) and performance goals measures (B to C) compared to (A) simulated correlation of r = .20. </w:t>
      </w:r>
    </w:p>
    <w:p w14:paraId="2B79F9EA" w14:textId="01753F55" w:rsidR="007D3558" w:rsidRDefault="007D3558"/>
    <w:p w14:paraId="0A0B51A3" w14:textId="77777777" w:rsidR="007D3558" w:rsidRDefault="007D3558"/>
    <w:p w14:paraId="7642A3B6" w14:textId="09C38DA9" w:rsidR="00ED75A6" w:rsidRDefault="007D3558">
      <w:r>
        <w:rPr>
          <w:noProof/>
        </w:rPr>
        <w:drawing>
          <wp:inline distT="0" distB="0" distL="0" distR="0" wp14:anchorId="2E1E3D79" wp14:editId="52774102">
            <wp:extent cx="5791200" cy="25738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4555" cy="2575358"/>
                    </a:xfrm>
                    <a:prstGeom prst="rect">
                      <a:avLst/>
                    </a:prstGeom>
                  </pic:spPr>
                </pic:pic>
              </a:graphicData>
            </a:graphic>
          </wp:inline>
        </w:drawing>
      </w:r>
    </w:p>
    <w:p w14:paraId="2C999E6F" w14:textId="77777777" w:rsidR="001379F3" w:rsidRDefault="001379F3">
      <w:pPr>
        <w:rPr>
          <w:b/>
          <w:bCs/>
        </w:rPr>
      </w:pPr>
    </w:p>
    <w:p w14:paraId="39AB0363" w14:textId="77777777" w:rsidR="00B56941" w:rsidRDefault="00B56941">
      <w:pPr>
        <w:rPr>
          <w:b/>
          <w:bCs/>
        </w:rPr>
      </w:pPr>
    </w:p>
    <w:p w14:paraId="3A0D9D54" w14:textId="77777777" w:rsidR="00C9104E" w:rsidRDefault="00C9104E">
      <w:pPr>
        <w:rPr>
          <w:b/>
          <w:bCs/>
        </w:rPr>
      </w:pPr>
    </w:p>
    <w:p w14:paraId="7EDC265D" w14:textId="77777777" w:rsidR="00C9104E" w:rsidRDefault="00C9104E">
      <w:pPr>
        <w:rPr>
          <w:b/>
          <w:bCs/>
        </w:rPr>
      </w:pPr>
    </w:p>
    <w:p w14:paraId="717CD7B9" w14:textId="77777777" w:rsidR="00C9104E" w:rsidRDefault="00C9104E">
      <w:pPr>
        <w:rPr>
          <w:b/>
          <w:bCs/>
        </w:rPr>
      </w:pPr>
    </w:p>
    <w:p w14:paraId="46CA4A35" w14:textId="5EB8C57B" w:rsidR="00ED75A6" w:rsidRDefault="00ED75A6">
      <w:r>
        <w:rPr>
          <w:b/>
          <w:bCs/>
        </w:rPr>
        <w:lastRenderedPageBreak/>
        <w:t>Results Using the 8-item Mindset Measure</w:t>
      </w:r>
    </w:p>
    <w:p w14:paraId="38A4E977" w14:textId="2A22F32A" w:rsidR="00ED75A6" w:rsidRDefault="00ED75A6">
      <w:r>
        <w:t>Next, we analyzed the data using the same 8-item</w:t>
      </w:r>
      <w:r w:rsidR="00A60D2C">
        <w:t xml:space="preserve"> mindset measure</w:t>
      </w:r>
      <w:r>
        <w:t xml:space="preserve"> reported by Burgoyne et al. (2020). This composite was created by taking the unweighted average of 4 fixed mindset items and 4 growth mindset items (reverse-coded). We replicated the Burgoyne et al. (2020) small correlation</w:t>
      </w:r>
      <w:r w:rsidR="00D64B51">
        <w:t xml:space="preserve"> with appearance-focused performance avoidance goals</w:t>
      </w:r>
      <w:r>
        <w:t xml:space="preserve">; we find that it is almost perfectly zero (see Figure S2B). There is an approximately 100% probability that the correlation with the normative-focused performance avoidance goals was smaller than a correlation of </w:t>
      </w:r>
      <w:r>
        <w:rPr>
          <w:i/>
          <w:iCs/>
        </w:rPr>
        <w:t>r</w:t>
      </w:r>
      <w:r>
        <w:t xml:space="preserve"> = .2. </w:t>
      </w:r>
    </w:p>
    <w:p w14:paraId="232DA5BE" w14:textId="293C364D" w:rsidR="00ED75A6" w:rsidRDefault="00ED75A6"/>
    <w:p w14:paraId="05FBFE5E" w14:textId="174514F7" w:rsidR="00ED75A6" w:rsidRPr="00ED75A6" w:rsidRDefault="00ED75A6">
      <w:r>
        <w:t xml:space="preserve">We next used the same 8-item mindset scale to estimate the correlation with the standardized performance avoidance goals item. Figure S2C shows that the correlation of </w:t>
      </w:r>
      <w:r>
        <w:rPr>
          <w:i/>
          <w:iCs/>
        </w:rPr>
        <w:t>r</w:t>
      </w:r>
      <w:r>
        <w:t>=.20</w:t>
      </w:r>
      <w:r>
        <w:rPr>
          <w:i/>
          <w:iCs/>
        </w:rPr>
        <w:t xml:space="preserve"> </w:t>
      </w:r>
      <w:r>
        <w:t xml:space="preserve">is slightly smaller than the </w:t>
      </w:r>
      <w:r>
        <w:rPr>
          <w:i/>
          <w:iCs/>
        </w:rPr>
        <w:t>r</w:t>
      </w:r>
      <w:r>
        <w:t xml:space="preserve"> = .25 reported in Figure S1, which used the fixed-framed items only. But the correlation is also clearly overlapping with posterior distribution of the simulated correlation of </w:t>
      </w:r>
      <w:r>
        <w:rPr>
          <w:i/>
          <w:iCs/>
        </w:rPr>
        <w:t>r</w:t>
      </w:r>
      <w:r>
        <w:t xml:space="preserve"> = .20, posterior probability that the mindset correlation is less than the simulated correlation = 48%, which is consistent with a conclusion of no difference</w:t>
      </w:r>
      <w:r w:rsidR="001379F3">
        <w:t xml:space="preserve"> from </w:t>
      </w:r>
      <w:r w:rsidR="001379F3" w:rsidRPr="001379F3">
        <w:rPr>
          <w:i/>
          <w:iCs/>
        </w:rPr>
        <w:t>r</w:t>
      </w:r>
      <w:r w:rsidR="001379F3">
        <w:t xml:space="preserve"> = .20</w:t>
      </w:r>
    </w:p>
    <w:p w14:paraId="209A2208" w14:textId="54183E6F" w:rsidR="00ED75A6" w:rsidRDefault="00ED75A6"/>
    <w:p w14:paraId="045EB2AA" w14:textId="77777777" w:rsidR="00ED75A6" w:rsidRPr="007533F7" w:rsidRDefault="00ED75A6" w:rsidP="00ED75A6">
      <w:pPr>
        <w:rPr>
          <w:b/>
          <w:bCs/>
          <w:i/>
          <w:iCs/>
        </w:rPr>
      </w:pPr>
      <w:r>
        <w:rPr>
          <w:b/>
          <w:bCs/>
          <w:i/>
          <w:iCs/>
        </w:rPr>
        <w:t xml:space="preserve">Figure S2. Posterior distributions for correlations between fixed mindset (8-item measure) and performance goals measures (B to C) compared to (A) simulated correlation of r = .20. </w:t>
      </w:r>
    </w:p>
    <w:p w14:paraId="3FF8E83E" w14:textId="77777777" w:rsidR="00ED75A6" w:rsidRDefault="00ED75A6" w:rsidP="00ED75A6">
      <w:pPr>
        <w:rPr>
          <w:b/>
          <w:bCs/>
        </w:rPr>
      </w:pPr>
      <w:r>
        <w:rPr>
          <w:b/>
          <w:bCs/>
          <w:noProof/>
        </w:rPr>
        <w:drawing>
          <wp:inline distT="0" distB="0" distL="0" distR="0" wp14:anchorId="4AF26D1D" wp14:editId="5150BC2A">
            <wp:extent cx="5943600" cy="264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641600"/>
                    </a:xfrm>
                    <a:prstGeom prst="rect">
                      <a:avLst/>
                    </a:prstGeom>
                  </pic:spPr>
                </pic:pic>
              </a:graphicData>
            </a:graphic>
          </wp:inline>
        </w:drawing>
      </w:r>
    </w:p>
    <w:p w14:paraId="412004A3" w14:textId="77777777" w:rsidR="00ED75A6" w:rsidRPr="00ED75A6" w:rsidRDefault="00ED75A6"/>
    <w:p w14:paraId="704242A0" w14:textId="65EDAEF4" w:rsidR="001E0A18" w:rsidRDefault="00AA1808">
      <w:r>
        <w:rPr>
          <w:b/>
          <w:bCs/>
        </w:rPr>
        <w:t>Summary</w:t>
      </w:r>
      <w:r>
        <w:t xml:space="preserve">. </w:t>
      </w:r>
      <w:r w:rsidR="001379F3">
        <w:t>We found null or small correlations between mindset and normative-focused performance avoidance goals</w:t>
      </w:r>
      <w:r w:rsidR="00F74701">
        <w:t xml:space="preserve"> (not wanting to do poorly)</w:t>
      </w:r>
      <w:r w:rsidR="001379F3">
        <w:t xml:space="preserve"> either way mindset was operationalized. We further found correlations that were the same as or greater than the criterion of </w:t>
      </w:r>
      <w:r w:rsidR="001379F3">
        <w:rPr>
          <w:i/>
          <w:iCs/>
        </w:rPr>
        <w:t>r</w:t>
      </w:r>
      <w:r w:rsidR="001379F3">
        <w:t xml:space="preserve"> = .20 when ability-focused performance avoidance goals</w:t>
      </w:r>
      <w:r w:rsidR="00F74701">
        <w:t xml:space="preserve"> (wanting to avoid negative ability judgments)</w:t>
      </w:r>
      <w:r w:rsidR="001379F3">
        <w:t xml:space="preserve"> were used, regardless of how mindset was measured. The mindset measure used by Burgoyne et al. (2020), however, yielded somewhat smaller correlations. Overall, the conclusion from this analysis is that </w:t>
      </w:r>
      <w:r w:rsidR="00C420A0">
        <w:t>Burgoyne et al. (2020) used items to assess performance goals that are not a test of the</w:t>
      </w:r>
      <w:r w:rsidR="00BD10B4">
        <w:t xml:space="preserve"> mindset meaning system hypothesis</w:t>
      </w:r>
      <w:r w:rsidR="00F8780B">
        <w:t xml:space="preserve">. </w:t>
      </w:r>
    </w:p>
    <w:p w14:paraId="6A5DAD5D" w14:textId="77777777" w:rsidR="00981E47" w:rsidRDefault="00981E47"/>
    <w:p w14:paraId="3F971C9A" w14:textId="233122A1" w:rsidR="00850A83" w:rsidRDefault="00850A83"/>
    <w:p w14:paraId="0EBA0873" w14:textId="77777777" w:rsidR="00FD676D" w:rsidRDefault="00FD676D">
      <w:pPr>
        <w:rPr>
          <w:b/>
          <w:bCs/>
        </w:rPr>
      </w:pPr>
    </w:p>
    <w:p w14:paraId="4A149FFF" w14:textId="77777777" w:rsidR="00FD676D" w:rsidRDefault="00FD676D">
      <w:pPr>
        <w:rPr>
          <w:b/>
          <w:bCs/>
        </w:rPr>
      </w:pPr>
    </w:p>
    <w:p w14:paraId="14D3AA2D" w14:textId="77777777" w:rsidR="00FD676D" w:rsidRDefault="00FD676D">
      <w:pPr>
        <w:rPr>
          <w:b/>
          <w:bCs/>
        </w:rPr>
      </w:pPr>
    </w:p>
    <w:p w14:paraId="2F0A366F" w14:textId="144ACE29" w:rsidR="00850A83" w:rsidRDefault="00850A83">
      <w:r>
        <w:rPr>
          <w:b/>
          <w:bCs/>
        </w:rPr>
        <w:lastRenderedPageBreak/>
        <w:t>Additional Analyses</w:t>
      </w:r>
    </w:p>
    <w:p w14:paraId="0295E391" w14:textId="7AF64588" w:rsidR="00850A83" w:rsidRDefault="00FD676D">
      <w:r>
        <w:t>Our pre-registration focused on the performance-avoidance goals analysis just described (</w:t>
      </w:r>
      <w:hyperlink r:id="rId11" w:history="1">
        <w:r w:rsidRPr="007A02FE">
          <w:rPr>
            <w:rStyle w:val="Hyperlink"/>
          </w:rPr>
          <w:t>osf.io/3mtcz</w:t>
        </w:r>
      </w:hyperlink>
      <w:r>
        <w:rPr>
          <w:rStyle w:val="Hyperlink"/>
        </w:rPr>
        <w:t>)</w:t>
      </w:r>
      <w:r>
        <w:t xml:space="preserve">. As a secondary matter we were also able to administer one other scale from the Burgoyne et al. (2020) study: </w:t>
      </w:r>
      <w:r w:rsidR="00C9104E">
        <w:t xml:space="preserve">the Elliot &amp; Church </w:t>
      </w:r>
      <w:r>
        <w:t xml:space="preserve">(1997) </w:t>
      </w:r>
      <w:r w:rsidR="00C9104E">
        <w:t xml:space="preserve">mastery-approach </w:t>
      </w:r>
      <w:r>
        <w:t xml:space="preserve">(or learning) </w:t>
      </w:r>
      <w:r w:rsidR="00C9104E">
        <w:t xml:space="preserve">goals, and </w:t>
      </w:r>
      <w:r>
        <w:t xml:space="preserve">our measure of challenge-seeking (Appendix 1), which is a learning-oriented behavioral intention. These results were more ambiguous and complex and are reported in a memo on these secondary analyses here: </w:t>
      </w:r>
      <w:hyperlink r:id="rId12" w:history="1">
        <w:r w:rsidRPr="0009039A">
          <w:rPr>
            <w:rStyle w:val="Hyperlink"/>
          </w:rPr>
          <w:t>https://osf.io/krjv5/</w:t>
        </w:r>
      </w:hyperlink>
      <w:r>
        <w:rPr>
          <w:rStyle w:val="Hyperlink"/>
        </w:rPr>
        <w:t xml:space="preserve">. </w:t>
      </w:r>
    </w:p>
    <w:p w14:paraId="5BF2738E" w14:textId="7F47F456" w:rsidR="00FD676D" w:rsidRDefault="00FD676D"/>
    <w:p w14:paraId="06757AB6" w14:textId="53A1501A" w:rsidR="00FD676D" w:rsidRDefault="00FD676D">
      <w:r>
        <w:t xml:space="preserve">In Table 1 in the paper, we showed that the learning goals correlations were the weakest in the MMI and were consistently lower than .2. In the CLRN data we find the same thing, and the correlation with mindset even lower, and significantly lower than .2. This was true for the 3-item and the 8-item mindset measure. We note that these are correlations between a single, dichotomous choice (between a hard or an easy assignment) and a 3-item scale, and that measure was designed initially as a manipulation check (for Yeager et al., 2016), not to maximize raw correlations. </w:t>
      </w:r>
    </w:p>
    <w:p w14:paraId="49392C57" w14:textId="3166EA76" w:rsidR="00FD676D" w:rsidRDefault="00FD676D"/>
    <w:p w14:paraId="543D7713" w14:textId="51CE20C6" w:rsidR="00FD676D" w:rsidRPr="00FD676D" w:rsidRDefault="00FD676D">
      <w:r>
        <w:t xml:space="preserve">Interestingly, we also found that we failed replicate the Burgoyne et al. (2020) finding that mindset was uncorrelated with the Elliot &amp; Church (1997) learning goals. When using the 8-item measure, fixed mindset was correlated with learning goals at </w:t>
      </w:r>
      <w:r>
        <w:rPr>
          <w:i/>
          <w:iCs/>
        </w:rPr>
        <w:t>r</w:t>
      </w:r>
      <w:r>
        <w:t xml:space="preserve"> = -.21, which is not weaker than </w:t>
      </w:r>
      <w:r w:rsidR="00F17CE3">
        <w:t>|</w:t>
      </w:r>
      <w:r w:rsidR="00F17CE3" w:rsidRPr="00F17CE3">
        <w:rPr>
          <w:i/>
          <w:iCs/>
        </w:rPr>
        <w:t>r</w:t>
      </w:r>
      <w:r w:rsidR="00F17CE3">
        <w:t xml:space="preserve">| = .20 in an “inferiority test.” </w:t>
      </w:r>
      <w:proofErr w:type="gramStart"/>
      <w:r w:rsidR="00F17CE3">
        <w:t>Therefore</w:t>
      </w:r>
      <w:proofErr w:type="gramEnd"/>
      <w:r w:rsidR="00F17CE3">
        <w:t xml:space="preserve"> Burgoyne’s null correlation of learning goals with mindset was not replicated in our data. </w:t>
      </w:r>
    </w:p>
    <w:sectPr w:rsidR="00FD676D" w:rsidRPr="00FD676D" w:rsidSect="00CA7BD9">
      <w:headerReference w:type="even" r:id="rId13"/>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49E97" w14:textId="77777777" w:rsidR="00323733" w:rsidRDefault="00323733">
      <w:r>
        <w:separator/>
      </w:r>
    </w:p>
  </w:endnote>
  <w:endnote w:type="continuationSeparator" w:id="0">
    <w:p w14:paraId="4D541F84" w14:textId="77777777" w:rsidR="00323733" w:rsidRDefault="0032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23B02" w14:textId="77777777" w:rsidR="00323733" w:rsidRDefault="00323733">
      <w:r>
        <w:separator/>
      </w:r>
    </w:p>
  </w:footnote>
  <w:footnote w:type="continuationSeparator" w:id="0">
    <w:p w14:paraId="77EDBAE8" w14:textId="77777777" w:rsidR="00323733" w:rsidRDefault="00323733">
      <w:r>
        <w:continuationSeparator/>
      </w:r>
    </w:p>
  </w:footnote>
  <w:footnote w:id="1">
    <w:p w14:paraId="585B7B33" w14:textId="0ADC1234" w:rsidR="00FD5B33" w:rsidRPr="00E62EAE" w:rsidRDefault="00FD5B33" w:rsidP="00FD5B33">
      <w:pPr>
        <w:rPr>
          <w:sz w:val="20"/>
          <w:szCs w:val="20"/>
        </w:rPr>
      </w:pPr>
      <w:r w:rsidRPr="00E62EAE">
        <w:rPr>
          <w:rStyle w:val="FootnoteReference"/>
          <w:sz w:val="20"/>
          <w:szCs w:val="20"/>
        </w:rPr>
        <w:footnoteRef/>
      </w:r>
      <w:r w:rsidRPr="00E62EAE">
        <w:rPr>
          <w:sz w:val="20"/>
          <w:szCs w:val="20"/>
        </w:rPr>
        <w:t xml:space="preserve"> </w:t>
      </w:r>
      <w:r w:rsidR="00E62EAE">
        <w:rPr>
          <w:sz w:val="20"/>
          <w:szCs w:val="20"/>
        </w:rPr>
        <w:t xml:space="preserve">The full scale from </w:t>
      </w:r>
      <w:r w:rsidRPr="00E62EAE">
        <w:rPr>
          <w:sz w:val="20"/>
          <w:szCs w:val="20"/>
        </w:rPr>
        <w:t xml:space="preserve">Elliot &amp; Church (1997) also included one item which appeared to be an ability-focused performance </w:t>
      </w:r>
      <w:r w:rsidR="00D91EE0">
        <w:rPr>
          <w:sz w:val="20"/>
          <w:szCs w:val="20"/>
        </w:rPr>
        <w:t xml:space="preserve">avoidance </w:t>
      </w:r>
      <w:r w:rsidRPr="00E62EAE">
        <w:rPr>
          <w:sz w:val="20"/>
          <w:szCs w:val="20"/>
        </w:rPr>
        <w:t xml:space="preserve">goal. Burgoyne et al. (2020) do not report whether they measured that question and did not post or disclose the item-level data, having only posted the full composite. </w:t>
      </w:r>
      <w:proofErr w:type="gramStart"/>
      <w:r w:rsidR="00047050">
        <w:rPr>
          <w:sz w:val="20"/>
          <w:szCs w:val="20"/>
        </w:rPr>
        <w:t>Therefore</w:t>
      </w:r>
      <w:proofErr w:type="gramEnd"/>
      <w:r w:rsidR="00047050">
        <w:rPr>
          <w:sz w:val="20"/>
          <w:szCs w:val="20"/>
        </w:rPr>
        <w:t xml:space="preserve"> w</w:t>
      </w:r>
      <w:r w:rsidRPr="00E62EAE">
        <w:rPr>
          <w:sz w:val="20"/>
          <w:szCs w:val="20"/>
        </w:rPr>
        <w:t xml:space="preserve">e cannot evaluate whether that single </w:t>
      </w:r>
      <w:r w:rsidR="00047050">
        <w:rPr>
          <w:sz w:val="20"/>
          <w:szCs w:val="20"/>
        </w:rPr>
        <w:t xml:space="preserve">ability-focused </w:t>
      </w:r>
      <w:r w:rsidRPr="00E62EAE">
        <w:rPr>
          <w:sz w:val="20"/>
          <w:szCs w:val="20"/>
        </w:rPr>
        <w:t>item was correlated with mindset in their data</w:t>
      </w:r>
      <w:r w:rsidR="00E62EAE">
        <w:rPr>
          <w:sz w:val="20"/>
          <w:szCs w:val="20"/>
        </w:rPr>
        <w:t>, as would be expected by theory</w:t>
      </w:r>
      <w:r w:rsidRPr="00E62EAE">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0522934"/>
      <w:docPartObj>
        <w:docPartGallery w:val="Page Numbers (Top of Page)"/>
        <w:docPartUnique/>
      </w:docPartObj>
    </w:sdtPr>
    <w:sdtEndPr>
      <w:rPr>
        <w:rStyle w:val="PageNumber"/>
      </w:rPr>
    </w:sdtEndPr>
    <w:sdtContent>
      <w:p w14:paraId="5B0C0836" w14:textId="77777777" w:rsidR="00CA7BD9" w:rsidRDefault="00CA7BD9" w:rsidP="00CA7BD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A3EB96" w14:textId="77777777" w:rsidR="00CA7BD9" w:rsidRDefault="00CA7BD9" w:rsidP="00CA7BD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5908894"/>
      <w:docPartObj>
        <w:docPartGallery w:val="Page Numbers (Top of Page)"/>
        <w:docPartUnique/>
      </w:docPartObj>
    </w:sdtPr>
    <w:sdtEndPr>
      <w:rPr>
        <w:rStyle w:val="PageNumber"/>
      </w:rPr>
    </w:sdtEndPr>
    <w:sdtContent>
      <w:p w14:paraId="02E0C448" w14:textId="77777777" w:rsidR="00CA7BD9" w:rsidRDefault="00CA7BD9" w:rsidP="00CA7BD9">
        <w:pPr>
          <w:pStyle w:val="Header"/>
          <w:framePr w:wrap="none" w:vAnchor="text" w:hAnchor="margin" w:xAlign="right" w:y="1"/>
          <w:rPr>
            <w:rStyle w:val="PageNumber"/>
          </w:rPr>
        </w:pPr>
        <w:r w:rsidRPr="001936F5">
          <w:rPr>
            <w:rStyle w:val="PageNumber"/>
            <w:rFonts w:ascii="Times New Roman" w:hAnsi="Times New Roman" w:cs="Times New Roman"/>
          </w:rPr>
          <w:fldChar w:fldCharType="begin"/>
        </w:r>
        <w:r w:rsidRPr="001936F5">
          <w:rPr>
            <w:rStyle w:val="PageNumber"/>
            <w:rFonts w:ascii="Times New Roman" w:hAnsi="Times New Roman" w:cs="Times New Roman"/>
          </w:rPr>
          <w:instrText xml:space="preserve"> PAGE </w:instrText>
        </w:r>
        <w:r w:rsidRPr="001936F5">
          <w:rPr>
            <w:rStyle w:val="PageNumber"/>
            <w:rFonts w:ascii="Times New Roman" w:hAnsi="Times New Roman" w:cs="Times New Roman"/>
          </w:rPr>
          <w:fldChar w:fldCharType="separate"/>
        </w:r>
        <w:r>
          <w:rPr>
            <w:rStyle w:val="PageNumber"/>
            <w:rFonts w:ascii="Times New Roman" w:hAnsi="Times New Roman" w:cs="Times New Roman"/>
            <w:noProof/>
          </w:rPr>
          <w:t>5</w:t>
        </w:r>
        <w:r w:rsidRPr="001936F5">
          <w:rPr>
            <w:rStyle w:val="PageNumber"/>
            <w:rFonts w:ascii="Times New Roman" w:hAnsi="Times New Roman" w:cs="Times New Roman"/>
          </w:rPr>
          <w:fldChar w:fldCharType="end"/>
        </w:r>
      </w:p>
    </w:sdtContent>
  </w:sdt>
  <w:p w14:paraId="03D6B3F5" w14:textId="580682FD" w:rsidR="00CA7BD9" w:rsidRPr="00477A89" w:rsidRDefault="00CA7BD9" w:rsidP="00CA7BD9">
    <w:pPr>
      <w:pStyle w:val="Header"/>
      <w:ind w:right="360"/>
      <w:rPr>
        <w:rFonts w:ascii="Times New Roman" w:hAnsi="Times New Roman" w:cs="Times New Roman"/>
      </w:rPr>
    </w:pPr>
    <w:r>
      <w:rPr>
        <w:rFonts w:ascii="Times New Roman" w:hAnsi="Times New Roman" w:cs="Times New Roman"/>
      </w:rPr>
      <w:t xml:space="preserve">Online Supplement: </w:t>
    </w:r>
    <w:r w:rsidRPr="00477A89">
      <w:rPr>
        <w:rFonts w:ascii="Times New Roman" w:hAnsi="Times New Roman" w:cs="Times New Roman"/>
      </w:rPr>
      <w:t>Growth Mindset Controversies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40FB2D76"/>
    <w:multiLevelType w:val="hybridMultilevel"/>
    <w:tmpl w:val="18C47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E2C04"/>
    <w:multiLevelType w:val="hybridMultilevel"/>
    <w:tmpl w:val="391A1C12"/>
    <w:lvl w:ilvl="0" w:tplc="0CB0F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97A16F7"/>
    <w:multiLevelType w:val="hybridMultilevel"/>
    <w:tmpl w:val="18C47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7C64EE"/>
    <w:multiLevelType w:val="hybridMultilevel"/>
    <w:tmpl w:val="8C7C0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975DE"/>
    <w:multiLevelType w:val="hybridMultilevel"/>
    <w:tmpl w:val="2A5C7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45"/>
    <w:rsid w:val="000041AF"/>
    <w:rsid w:val="00012B45"/>
    <w:rsid w:val="000366B3"/>
    <w:rsid w:val="00042DF7"/>
    <w:rsid w:val="00047050"/>
    <w:rsid w:val="000522E2"/>
    <w:rsid w:val="00056A23"/>
    <w:rsid w:val="0009039A"/>
    <w:rsid w:val="000B7292"/>
    <w:rsid w:val="000F2695"/>
    <w:rsid w:val="000F62F9"/>
    <w:rsid w:val="00124FF1"/>
    <w:rsid w:val="001379F3"/>
    <w:rsid w:val="00155966"/>
    <w:rsid w:val="001A183A"/>
    <w:rsid w:val="001A3246"/>
    <w:rsid w:val="001C04D4"/>
    <w:rsid w:val="001D623E"/>
    <w:rsid w:val="001E0A18"/>
    <w:rsid w:val="001F3E15"/>
    <w:rsid w:val="001F51F3"/>
    <w:rsid w:val="00250DFB"/>
    <w:rsid w:val="00296914"/>
    <w:rsid w:val="00296C74"/>
    <w:rsid w:val="002F6427"/>
    <w:rsid w:val="0030052B"/>
    <w:rsid w:val="00307390"/>
    <w:rsid w:val="00310FEA"/>
    <w:rsid w:val="003157F0"/>
    <w:rsid w:val="0032191D"/>
    <w:rsid w:val="00323733"/>
    <w:rsid w:val="003272EF"/>
    <w:rsid w:val="00340FB5"/>
    <w:rsid w:val="0036151D"/>
    <w:rsid w:val="00386AC6"/>
    <w:rsid w:val="003F6757"/>
    <w:rsid w:val="003F7313"/>
    <w:rsid w:val="004342C7"/>
    <w:rsid w:val="00466E73"/>
    <w:rsid w:val="00467274"/>
    <w:rsid w:val="004C6785"/>
    <w:rsid w:val="004C7D90"/>
    <w:rsid w:val="00512C3A"/>
    <w:rsid w:val="00561019"/>
    <w:rsid w:val="00573723"/>
    <w:rsid w:val="005C1BBB"/>
    <w:rsid w:val="005C2B82"/>
    <w:rsid w:val="005D252C"/>
    <w:rsid w:val="005F0C4F"/>
    <w:rsid w:val="00604A16"/>
    <w:rsid w:val="00606515"/>
    <w:rsid w:val="00645CD6"/>
    <w:rsid w:val="00666FA2"/>
    <w:rsid w:val="00687CB4"/>
    <w:rsid w:val="0069287B"/>
    <w:rsid w:val="00700DE0"/>
    <w:rsid w:val="007174BF"/>
    <w:rsid w:val="0074726E"/>
    <w:rsid w:val="007533F7"/>
    <w:rsid w:val="00787805"/>
    <w:rsid w:val="00792A4B"/>
    <w:rsid w:val="007C0AAC"/>
    <w:rsid w:val="007D3558"/>
    <w:rsid w:val="0082086C"/>
    <w:rsid w:val="00850A83"/>
    <w:rsid w:val="00866805"/>
    <w:rsid w:val="0087145A"/>
    <w:rsid w:val="008761CC"/>
    <w:rsid w:val="008C4411"/>
    <w:rsid w:val="008E3FF5"/>
    <w:rsid w:val="008E7E46"/>
    <w:rsid w:val="00907FEA"/>
    <w:rsid w:val="0091653F"/>
    <w:rsid w:val="00973505"/>
    <w:rsid w:val="00981E47"/>
    <w:rsid w:val="00991CD0"/>
    <w:rsid w:val="009A3B9F"/>
    <w:rsid w:val="009D44E4"/>
    <w:rsid w:val="00A10AA6"/>
    <w:rsid w:val="00A51921"/>
    <w:rsid w:val="00A55A23"/>
    <w:rsid w:val="00A60D2C"/>
    <w:rsid w:val="00A65683"/>
    <w:rsid w:val="00A7714C"/>
    <w:rsid w:val="00AA1808"/>
    <w:rsid w:val="00AB09E3"/>
    <w:rsid w:val="00B010BF"/>
    <w:rsid w:val="00B23D14"/>
    <w:rsid w:val="00B41408"/>
    <w:rsid w:val="00B41A6F"/>
    <w:rsid w:val="00B51BEF"/>
    <w:rsid w:val="00B56941"/>
    <w:rsid w:val="00BA7869"/>
    <w:rsid w:val="00BD10B4"/>
    <w:rsid w:val="00C04270"/>
    <w:rsid w:val="00C31D27"/>
    <w:rsid w:val="00C420A0"/>
    <w:rsid w:val="00C46F3C"/>
    <w:rsid w:val="00C86391"/>
    <w:rsid w:val="00C9104E"/>
    <w:rsid w:val="00C96845"/>
    <w:rsid w:val="00CA1185"/>
    <w:rsid w:val="00CA7BD9"/>
    <w:rsid w:val="00CD1069"/>
    <w:rsid w:val="00CF4A35"/>
    <w:rsid w:val="00D06950"/>
    <w:rsid w:val="00D262EE"/>
    <w:rsid w:val="00D2767F"/>
    <w:rsid w:val="00D44430"/>
    <w:rsid w:val="00D51A53"/>
    <w:rsid w:val="00D64B51"/>
    <w:rsid w:val="00D72474"/>
    <w:rsid w:val="00D760F5"/>
    <w:rsid w:val="00D8164D"/>
    <w:rsid w:val="00D90472"/>
    <w:rsid w:val="00D91EE0"/>
    <w:rsid w:val="00D923D6"/>
    <w:rsid w:val="00DB00F9"/>
    <w:rsid w:val="00DD061C"/>
    <w:rsid w:val="00DE35C8"/>
    <w:rsid w:val="00E14495"/>
    <w:rsid w:val="00E441E2"/>
    <w:rsid w:val="00E62EAE"/>
    <w:rsid w:val="00E90611"/>
    <w:rsid w:val="00EB4AC2"/>
    <w:rsid w:val="00EB6EB2"/>
    <w:rsid w:val="00ED75A6"/>
    <w:rsid w:val="00EE4DD9"/>
    <w:rsid w:val="00F17CE3"/>
    <w:rsid w:val="00F7008E"/>
    <w:rsid w:val="00F74701"/>
    <w:rsid w:val="00F8780B"/>
    <w:rsid w:val="00FA6308"/>
    <w:rsid w:val="00FC642F"/>
    <w:rsid w:val="00FC70DE"/>
    <w:rsid w:val="00FD5B33"/>
    <w:rsid w:val="00FD676D"/>
    <w:rsid w:val="00FE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6FC03C"/>
  <w15:chartTrackingRefBased/>
  <w15:docId w15:val="{E6EFFEA0-38A9-A34F-9D11-F038B5DD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84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845"/>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C9684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96845"/>
  </w:style>
  <w:style w:type="character" w:styleId="PageNumber">
    <w:name w:val="page number"/>
    <w:basedOn w:val="DefaultParagraphFont"/>
    <w:uiPriority w:val="99"/>
    <w:semiHidden/>
    <w:unhideWhenUsed/>
    <w:rsid w:val="00C96845"/>
  </w:style>
  <w:style w:type="numbering" w:customStyle="1" w:styleId="Singlepunch">
    <w:name w:val="Single punch"/>
    <w:rsid w:val="00C96845"/>
    <w:pPr>
      <w:numPr>
        <w:numId w:val="1"/>
      </w:numPr>
    </w:pPr>
  </w:style>
  <w:style w:type="character" w:styleId="Hyperlink">
    <w:name w:val="Hyperlink"/>
    <w:basedOn w:val="DefaultParagraphFont"/>
    <w:uiPriority w:val="99"/>
    <w:unhideWhenUsed/>
    <w:rsid w:val="00B41408"/>
    <w:rPr>
      <w:color w:val="0000FF"/>
      <w:u w:val="single"/>
    </w:rPr>
  </w:style>
  <w:style w:type="paragraph" w:styleId="BalloonText">
    <w:name w:val="Balloon Text"/>
    <w:basedOn w:val="Normal"/>
    <w:link w:val="BalloonTextChar"/>
    <w:uiPriority w:val="99"/>
    <w:semiHidden/>
    <w:unhideWhenUsed/>
    <w:rsid w:val="0082086C"/>
    <w:rPr>
      <w:sz w:val="18"/>
      <w:szCs w:val="18"/>
    </w:rPr>
  </w:style>
  <w:style w:type="character" w:customStyle="1" w:styleId="BalloonTextChar">
    <w:name w:val="Balloon Text Char"/>
    <w:basedOn w:val="DefaultParagraphFont"/>
    <w:link w:val="BalloonText"/>
    <w:uiPriority w:val="99"/>
    <w:semiHidden/>
    <w:rsid w:val="0082086C"/>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573723"/>
    <w:pPr>
      <w:tabs>
        <w:tab w:val="center" w:pos="4680"/>
        <w:tab w:val="right" w:pos="9360"/>
      </w:tabs>
    </w:pPr>
  </w:style>
  <w:style w:type="character" w:customStyle="1" w:styleId="FooterChar">
    <w:name w:val="Footer Char"/>
    <w:basedOn w:val="DefaultParagraphFont"/>
    <w:link w:val="Footer"/>
    <w:uiPriority w:val="99"/>
    <w:rsid w:val="0057372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10AA6"/>
    <w:rPr>
      <w:color w:val="954F72" w:themeColor="followedHyperlink"/>
      <w:u w:val="single"/>
    </w:rPr>
  </w:style>
  <w:style w:type="character" w:styleId="UnresolvedMention">
    <w:name w:val="Unresolved Mention"/>
    <w:basedOn w:val="DefaultParagraphFont"/>
    <w:uiPriority w:val="99"/>
    <w:semiHidden/>
    <w:unhideWhenUsed/>
    <w:rsid w:val="00A10AA6"/>
    <w:rPr>
      <w:color w:val="605E5C"/>
      <w:shd w:val="clear" w:color="auto" w:fill="E1DFDD"/>
    </w:rPr>
  </w:style>
  <w:style w:type="table" w:customStyle="1" w:styleId="QQuestionIconTable">
    <w:name w:val="QQuestionIconTable"/>
    <w:uiPriority w:val="99"/>
    <w:qFormat/>
    <w:rsid w:val="00A10AA6"/>
    <w:pPr>
      <w:jc w:val="center"/>
    </w:pPr>
    <w:rPr>
      <w:rFonts w:eastAsiaTheme="minorEastAsia"/>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uestionSeparator">
    <w:name w:val="QuestionSeparator"/>
    <w:basedOn w:val="Normal"/>
    <w:qFormat/>
    <w:rsid w:val="00A10AA6"/>
    <w:pPr>
      <w:pBdr>
        <w:top w:val="dashed" w:sz="8" w:space="0" w:color="CCCCCC"/>
      </w:pBdr>
      <w:spacing w:before="120" w:after="120" w:line="12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0F2695"/>
    <w:rPr>
      <w:sz w:val="16"/>
      <w:szCs w:val="16"/>
    </w:rPr>
  </w:style>
  <w:style w:type="paragraph" w:styleId="CommentText">
    <w:name w:val="annotation text"/>
    <w:basedOn w:val="Normal"/>
    <w:link w:val="CommentTextChar"/>
    <w:uiPriority w:val="99"/>
    <w:semiHidden/>
    <w:unhideWhenUsed/>
    <w:rsid w:val="000F2695"/>
    <w:rPr>
      <w:sz w:val="20"/>
      <w:szCs w:val="20"/>
    </w:rPr>
  </w:style>
  <w:style w:type="character" w:customStyle="1" w:styleId="CommentTextChar">
    <w:name w:val="Comment Text Char"/>
    <w:basedOn w:val="DefaultParagraphFont"/>
    <w:link w:val="CommentText"/>
    <w:uiPriority w:val="99"/>
    <w:semiHidden/>
    <w:rsid w:val="000F26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2695"/>
    <w:rPr>
      <w:b/>
      <w:bCs/>
    </w:rPr>
  </w:style>
  <w:style w:type="character" w:customStyle="1" w:styleId="CommentSubjectChar">
    <w:name w:val="Comment Subject Char"/>
    <w:basedOn w:val="CommentTextChar"/>
    <w:link w:val="CommentSubject"/>
    <w:uiPriority w:val="99"/>
    <w:semiHidden/>
    <w:rsid w:val="000F269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D5B33"/>
    <w:rPr>
      <w:sz w:val="20"/>
      <w:szCs w:val="20"/>
    </w:rPr>
  </w:style>
  <w:style w:type="character" w:customStyle="1" w:styleId="FootnoteTextChar">
    <w:name w:val="Footnote Text Char"/>
    <w:basedOn w:val="DefaultParagraphFont"/>
    <w:link w:val="FootnoteText"/>
    <w:uiPriority w:val="99"/>
    <w:semiHidden/>
    <w:rsid w:val="00FD5B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D5B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405669">
      <w:bodyDiv w:val="1"/>
      <w:marLeft w:val="0"/>
      <w:marRight w:val="0"/>
      <w:marTop w:val="0"/>
      <w:marBottom w:val="0"/>
      <w:divBdr>
        <w:top w:val="none" w:sz="0" w:space="0" w:color="auto"/>
        <w:left w:val="none" w:sz="0" w:space="0" w:color="auto"/>
        <w:bottom w:val="none" w:sz="0" w:space="0" w:color="auto"/>
        <w:right w:val="none" w:sz="0" w:space="0" w:color="auto"/>
      </w:divBdr>
    </w:div>
    <w:div w:id="1486626654">
      <w:bodyDiv w:val="1"/>
      <w:marLeft w:val="0"/>
      <w:marRight w:val="0"/>
      <w:marTop w:val="0"/>
      <w:marBottom w:val="0"/>
      <w:divBdr>
        <w:top w:val="none" w:sz="0" w:space="0" w:color="auto"/>
        <w:left w:val="none" w:sz="0" w:space="0" w:color="auto"/>
        <w:bottom w:val="none" w:sz="0" w:space="0" w:color="auto"/>
        <w:right w:val="none" w:sz="0" w:space="0" w:color="auto"/>
      </w:divBdr>
    </w:div>
    <w:div w:id="20725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krjv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sf.io/3mtcz" TargetMode="External"/><Relationship Id="rId12" Type="http://schemas.openxmlformats.org/officeDocument/2006/relationships/hyperlink" Target="https://osf.io/krjv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f.io/3mt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4978</Words>
  <Characters>28376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Yeager, David S</dc:creator>
  <cp:keywords/>
  <dc:description/>
  <cp:lastModifiedBy>Yeager, David S</cp:lastModifiedBy>
  <cp:revision>12</cp:revision>
  <dcterms:created xsi:type="dcterms:W3CDTF">2020-11-20T18:50:00Z</dcterms:created>
  <dcterms:modified xsi:type="dcterms:W3CDTF">2020-11-20T21:49:00Z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id="qakiNUz2"/&gt;&lt;style id="http://www.zotero.org/styles/apa" locale="en-US" hasBibliography="1" bibliographyStyleHasBeenSet="0"/&gt;&lt;prefs&gt;&lt;pref name="fieldType" value="Field"/&gt;&lt;/prefs&gt;&lt;/data&gt;</vt:lpwstr>
  </property>
</Properties>
</file>