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731DB" w14:textId="5816AD0C" w:rsidR="00AF0388" w:rsidRDefault="004A0685" w:rsidP="00AF0388">
      <w:pPr>
        <w:spacing w:line="480" w:lineRule="auto"/>
        <w:jc w:val="center"/>
        <w:rPr>
          <w:rFonts w:ascii="Arial" w:eastAsia="Arial" w:hAnsi="Arial" w:cs="Arial"/>
          <w:b/>
          <w:bCs/>
          <w:i/>
          <w:lang w:val="en-US"/>
        </w:rPr>
      </w:pPr>
      <w:r>
        <w:rPr>
          <w:rFonts w:ascii="Arial" w:eastAsia="Arial" w:hAnsi="Arial" w:cs="Arial"/>
          <w:b/>
          <w:bCs/>
          <w:lang w:val="en-US"/>
        </w:rPr>
        <w:t>S</w:t>
      </w:r>
      <w:r>
        <w:rPr>
          <w:rFonts w:ascii="Arial" w:eastAsia="Arial" w:hAnsi="Arial" w:cs="Arial"/>
          <w:b/>
          <w:bCs/>
          <w:lang w:val="en-US"/>
        </w:rPr>
        <w:t>upplementary materials</w:t>
      </w:r>
      <w:r>
        <w:rPr>
          <w:rFonts w:ascii="Arial" w:eastAsia="Arial" w:hAnsi="Arial" w:cs="Arial"/>
          <w:b/>
          <w:bCs/>
          <w:lang w:val="en-US"/>
        </w:rPr>
        <w:t xml:space="preserve">: </w:t>
      </w:r>
      <w:r w:rsidR="00AF0388">
        <w:rPr>
          <w:rFonts w:ascii="Arial" w:eastAsia="Arial" w:hAnsi="Arial" w:cs="Arial"/>
          <w:b/>
          <w:bCs/>
          <w:lang w:val="en-US"/>
        </w:rPr>
        <w:t>Music-evoked pleasantness modulates theta synchronization within a fronto-temporal music-related network</w:t>
      </w:r>
    </w:p>
    <w:tbl>
      <w:tblPr>
        <w:tblW w:w="9029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29"/>
      </w:tblGrid>
      <w:tr w:rsidR="00803841" w:rsidRPr="00C66A6A" w14:paraId="0C9B361C" w14:textId="77777777">
        <w:tc>
          <w:tcPr>
            <w:tcW w:w="9029" w:type="dxa"/>
            <w:shd w:val="clear" w:color="auto" w:fill="auto"/>
          </w:tcPr>
          <w:p w14:paraId="6E9CB366" w14:textId="178BADF3" w:rsidR="00803841" w:rsidRPr="00623727" w:rsidRDefault="00592D6F">
            <w:pPr>
              <w:spacing w:after="0" w:line="480" w:lineRule="auto"/>
              <w:jc w:val="center"/>
              <w:rPr>
                <w:lang w:val="en-US"/>
              </w:rPr>
            </w:pPr>
            <w:r>
              <w:rPr>
                <w:rFonts w:ascii="Arial" w:eastAsia="Arial" w:hAnsi="Arial" w:cs="Arial"/>
                <w:i/>
                <w:iCs/>
                <w:lang w:val="en-US"/>
              </w:rPr>
              <w:br w:type="page"/>
            </w:r>
            <w:r w:rsidR="00373B9A">
              <w:rPr>
                <w:noProof/>
              </w:rPr>
              <w:drawing>
                <wp:inline distT="0" distB="0" distL="0" distR="0" wp14:anchorId="37D51A00" wp14:editId="7ED8A24A">
                  <wp:extent cx="5733415" cy="5733415"/>
                  <wp:effectExtent l="0" t="0" r="635" b="63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3415" cy="5733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3841" w:rsidRPr="004A0685" w14:paraId="3B4CAE98" w14:textId="77777777">
        <w:tc>
          <w:tcPr>
            <w:tcW w:w="9029" w:type="dxa"/>
            <w:shd w:val="clear" w:color="auto" w:fill="auto"/>
          </w:tcPr>
          <w:p w14:paraId="397792EF" w14:textId="6ED422B9" w:rsidR="00803841" w:rsidRPr="0080293D" w:rsidRDefault="00874699">
            <w:pPr>
              <w:spacing w:after="0" w:line="360" w:lineRule="auto"/>
              <w:jc w:val="both"/>
              <w:rPr>
                <w:lang w:val="en-US"/>
              </w:rPr>
            </w:pPr>
            <w:r w:rsidRPr="0080293D">
              <w:rPr>
                <w:rFonts w:ascii="Arial" w:eastAsia="Arial" w:hAnsi="Arial" w:cs="Arial"/>
                <w:color w:val="000000" w:themeColor="text1"/>
                <w:lang w:val="en-CA"/>
              </w:rPr>
              <w:t xml:space="preserve">Figure S1. </w:t>
            </w:r>
            <w:r w:rsidRPr="0080293D">
              <w:rPr>
                <w:rFonts w:ascii="Arial" w:eastAsia="Arial" w:hAnsi="Arial" w:cs="Arial"/>
                <w:color w:val="323232"/>
                <w:lang w:val="en-CA"/>
              </w:rPr>
              <w:t>Distribution of time-weighted average</w:t>
            </w:r>
            <w:r w:rsidR="00294AF8" w:rsidRPr="0080293D">
              <w:rPr>
                <w:rFonts w:ascii="Arial" w:eastAsia="Arial" w:hAnsi="Arial" w:cs="Arial"/>
                <w:color w:val="323232"/>
                <w:lang w:val="en-CA"/>
              </w:rPr>
              <w:t xml:space="preserve"> </w:t>
            </w:r>
            <w:r w:rsidR="00294AF8" w:rsidRPr="005F3513">
              <w:rPr>
                <w:rFonts w:ascii="Arial" w:eastAsia="Times New Roman" w:hAnsi="Arial" w:cs="Arial"/>
                <w:lang w:val="en-CA" w:eastAsia="es-ES"/>
              </w:rPr>
              <w:t xml:space="preserve">(ratings </w:t>
            </w:r>
            <w:r w:rsidR="00294AF8" w:rsidRPr="005F3513">
              <w:rPr>
                <w:rFonts w:ascii="Arial" w:eastAsia="Calibri" w:hAnsi="Arial" w:cs="Arial"/>
                <w:lang w:val="en-CA"/>
              </w:rPr>
              <w:t>weighted for the time of each rating)</w:t>
            </w:r>
            <w:r w:rsidRPr="005F3513">
              <w:rPr>
                <w:rFonts w:ascii="Arial" w:eastAsia="Arial" w:hAnsi="Arial" w:cs="Arial"/>
                <w:lang w:val="en-CA"/>
              </w:rPr>
              <w:t xml:space="preserve"> </w:t>
            </w:r>
            <w:r w:rsidRPr="0080293D">
              <w:rPr>
                <w:rFonts w:ascii="Arial" w:eastAsia="Arial" w:hAnsi="Arial" w:cs="Arial"/>
                <w:color w:val="323232"/>
                <w:lang w:val="en-CA"/>
              </w:rPr>
              <w:t>reported pleasantness per subject (top) and excerpt (bottom).</w:t>
            </w:r>
            <w:r w:rsidR="002A5E51" w:rsidRPr="0080293D">
              <w:rPr>
                <w:rFonts w:ascii="Arial" w:eastAsia="Arial" w:hAnsi="Arial" w:cs="Arial"/>
                <w:color w:val="323232"/>
                <w:lang w:val="en-CA"/>
              </w:rPr>
              <w:t xml:space="preserve"> </w:t>
            </w:r>
            <w:r w:rsidR="00E14DC8" w:rsidRPr="005F3513">
              <w:rPr>
                <w:rFonts w:ascii="Arial" w:eastAsia="Arial" w:hAnsi="Arial" w:cs="Arial"/>
                <w:lang w:val="en-CA"/>
              </w:rPr>
              <w:t xml:space="preserve">Excerpts ID, from left to right: </w:t>
            </w:r>
            <w:r w:rsidR="00E14DC8" w:rsidRPr="0080293D">
              <w:rPr>
                <w:rFonts w:ascii="Arial" w:eastAsia="Arial" w:hAnsi="Arial" w:cs="Arial"/>
                <w:color w:val="4472C4" w:themeColor="accent1"/>
                <w:lang w:val="en-CA"/>
              </w:rPr>
              <w:t xml:space="preserve">(1) </w:t>
            </w:r>
            <w:r w:rsidR="0087372F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>Mazurka No.13, Op.17, No.4 (Chopin)</w:t>
            </w:r>
            <w:r w:rsidR="00E14DC8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>; (2)</w:t>
            </w:r>
            <w:r w:rsidR="003E2DAB">
              <w:rPr>
                <w:rFonts w:ascii="Arial" w:eastAsia="Liberation Sans" w:hAnsi="Arial" w:cs="Arial"/>
                <w:color w:val="4472C4" w:themeColor="accent1"/>
                <w:lang w:val="en-US"/>
              </w:rPr>
              <w:t xml:space="preserve"> </w:t>
            </w:r>
            <w:r w:rsidR="003E2DAB" w:rsidRPr="0080293D">
              <w:rPr>
                <w:rFonts w:ascii="Arial" w:eastAsia="Liberation Sans" w:hAnsi="Arial" w:cs="Arial"/>
                <w:color w:val="4472C4" w:themeColor="accent1"/>
                <w:lang w:val="en-CA"/>
              </w:rPr>
              <w:t>The Firebird Suite, Op.8, Finale</w:t>
            </w:r>
            <w:r w:rsidR="003E2DAB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 xml:space="preserve"> (Stravinsky)</w:t>
            </w:r>
            <w:r w:rsidR="00E14DC8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>;</w:t>
            </w:r>
            <w:r w:rsidR="001F2C84">
              <w:rPr>
                <w:rFonts w:ascii="Arial" w:eastAsia="Liberation Sans" w:hAnsi="Arial" w:cs="Arial"/>
                <w:color w:val="4472C4" w:themeColor="accent1"/>
                <w:lang w:val="en-US"/>
              </w:rPr>
              <w:t xml:space="preserve"> </w:t>
            </w:r>
            <w:r w:rsidR="00E14DC8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 xml:space="preserve">(3) </w:t>
            </w:r>
            <w:r w:rsidR="001F2C84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>Symphony No.4, Op.60, Mov.2 (Beethoven)</w:t>
            </w:r>
            <w:r w:rsidR="001F2C84">
              <w:rPr>
                <w:rFonts w:ascii="Arial" w:eastAsia="Liberation Sans" w:hAnsi="Arial" w:cs="Arial"/>
                <w:color w:val="4472C4" w:themeColor="accent1"/>
                <w:lang w:val="en-US"/>
              </w:rPr>
              <w:t xml:space="preserve">; </w:t>
            </w:r>
            <w:r w:rsidR="00E14DC8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>(4)</w:t>
            </w:r>
            <w:r w:rsidR="001F2C84">
              <w:rPr>
                <w:rFonts w:ascii="Arial" w:eastAsia="Liberation Sans" w:hAnsi="Arial" w:cs="Arial"/>
                <w:color w:val="4472C4" w:themeColor="accent1"/>
                <w:lang w:val="en-US"/>
              </w:rPr>
              <w:t xml:space="preserve"> </w:t>
            </w:r>
            <w:r w:rsidR="001F2C84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>Symphony No.38, Hob I:38, Mov.3 (Haydn)</w:t>
            </w:r>
            <w:r w:rsidR="00E14DC8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 xml:space="preserve">; (5) </w:t>
            </w:r>
            <w:r w:rsidR="00D83C86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>Sonata for Violin and Piano No.1, Op.13, Mov.1 (Fauré)</w:t>
            </w:r>
            <w:r w:rsidR="00D83C86">
              <w:rPr>
                <w:rFonts w:ascii="Arial" w:eastAsia="Liberation Sans" w:hAnsi="Arial" w:cs="Arial"/>
                <w:color w:val="4472C4" w:themeColor="accent1"/>
                <w:lang w:val="en-US"/>
              </w:rPr>
              <w:t>;</w:t>
            </w:r>
            <w:r w:rsidR="00E14DC8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 xml:space="preserve"> (6) </w:t>
            </w:r>
            <w:r w:rsidR="001B2BFA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>The Planets, Op.32, 2. Venus, The Bringer of Peace (Holst)</w:t>
            </w:r>
            <w:r w:rsidR="00E14DC8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 xml:space="preserve">; (7) </w:t>
            </w:r>
            <w:r w:rsidR="001B2BFA" w:rsidRPr="0080293D">
              <w:rPr>
                <w:rFonts w:ascii="Arial" w:eastAsia="Liberation Sans" w:hAnsi="Arial" w:cs="Arial"/>
                <w:color w:val="4472C4" w:themeColor="accent1"/>
                <w:lang w:val="en-CA"/>
              </w:rPr>
              <w:t>Symphony No.9, Op.125, Mov.2</w:t>
            </w:r>
            <w:r w:rsidR="001B2BFA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 xml:space="preserve"> (Beethoven)</w:t>
            </w:r>
            <w:r w:rsidR="00E14DC8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>; (8)</w:t>
            </w:r>
            <w:r w:rsidR="00671B8F">
              <w:rPr>
                <w:rFonts w:ascii="Arial" w:eastAsia="Liberation Sans" w:hAnsi="Arial" w:cs="Arial"/>
                <w:color w:val="4472C4" w:themeColor="accent1"/>
                <w:lang w:val="en-US"/>
              </w:rPr>
              <w:t xml:space="preserve"> </w:t>
            </w:r>
            <w:r w:rsidR="00671B8F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>New World Symphony, Op.95, Mov.4 (Dvorak)</w:t>
            </w:r>
            <w:r w:rsidR="00E14DC8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>; (9)</w:t>
            </w:r>
            <w:r w:rsidR="000527B6">
              <w:rPr>
                <w:rFonts w:ascii="Arial" w:eastAsia="Liberation Sans" w:hAnsi="Arial" w:cs="Arial"/>
                <w:color w:val="4472C4" w:themeColor="accent1"/>
                <w:lang w:val="en-US"/>
              </w:rPr>
              <w:t xml:space="preserve"> </w:t>
            </w:r>
            <w:r w:rsidR="000527B6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>The Nutcracker, Op.71, Dance of the Sugar Plum Fairy (Tchaikovsky)</w:t>
            </w:r>
            <w:r w:rsidR="00E14DC8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>; (10)</w:t>
            </w:r>
            <w:r w:rsidR="00D5306A">
              <w:rPr>
                <w:rFonts w:ascii="Arial" w:eastAsia="Liberation Sans" w:hAnsi="Arial" w:cs="Arial"/>
                <w:color w:val="4472C4" w:themeColor="accent1"/>
                <w:lang w:val="en-US"/>
              </w:rPr>
              <w:t xml:space="preserve"> </w:t>
            </w:r>
            <w:r w:rsidR="00D5306A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>The Four Seasons, Op. 8, Spring Mov.1 (Vivaldi)</w:t>
            </w:r>
            <w:r w:rsidR="00E14DC8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>; (11)</w:t>
            </w:r>
            <w:r w:rsidR="00D5306A">
              <w:rPr>
                <w:rFonts w:ascii="Arial" w:eastAsia="Liberation Sans" w:hAnsi="Arial" w:cs="Arial"/>
                <w:color w:val="4472C4" w:themeColor="accent1"/>
                <w:lang w:val="en-US"/>
              </w:rPr>
              <w:t xml:space="preserve"> </w:t>
            </w:r>
            <w:r w:rsidR="00D5306A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>The Four Seasons, Op.8, Winter Mov.1 (Vivaldi)</w:t>
            </w:r>
            <w:r w:rsidR="00E14DC8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 xml:space="preserve">; (12) </w:t>
            </w:r>
            <w:r w:rsidR="00D5306A" w:rsidRPr="0080293D">
              <w:rPr>
                <w:rFonts w:ascii="Arial" w:eastAsia="Liberation Sans" w:hAnsi="Arial" w:cs="Arial"/>
                <w:color w:val="4472C4" w:themeColor="accent1"/>
                <w:lang w:val="en-CA"/>
              </w:rPr>
              <w:t>Für Elise, WoO 5</w:t>
            </w:r>
            <w:r w:rsidR="00D5306A">
              <w:rPr>
                <w:rFonts w:ascii="Arial" w:eastAsia="Liberation Sans" w:hAnsi="Arial" w:cs="Arial"/>
                <w:color w:val="4472C4" w:themeColor="accent1"/>
                <w:lang w:val="en-CA"/>
              </w:rPr>
              <w:t>9</w:t>
            </w:r>
            <w:r w:rsidR="00D5306A" w:rsidRPr="0080293D">
              <w:rPr>
                <w:rFonts w:ascii="Arial" w:eastAsia="Liberation Sans" w:hAnsi="Arial" w:cs="Arial"/>
                <w:color w:val="4472C4" w:themeColor="accent1"/>
                <w:lang w:val="en-CA"/>
              </w:rPr>
              <w:t xml:space="preserve"> Bia 515</w:t>
            </w:r>
            <w:r w:rsidR="00D5306A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 xml:space="preserve"> (Beethoven)</w:t>
            </w:r>
            <w:r w:rsidR="00E14DC8" w:rsidRPr="0080293D">
              <w:rPr>
                <w:rFonts w:ascii="Arial" w:eastAsia="Liberation Sans" w:hAnsi="Arial" w:cs="Arial"/>
                <w:color w:val="4472C4" w:themeColor="accent1"/>
                <w:lang w:val="en-US"/>
              </w:rPr>
              <w:t>.</w:t>
            </w:r>
          </w:p>
        </w:tc>
      </w:tr>
    </w:tbl>
    <w:p w14:paraId="07D2D9E9" w14:textId="77777777" w:rsidR="00803841" w:rsidRPr="00874699" w:rsidRDefault="00803841">
      <w:pPr>
        <w:rPr>
          <w:lang w:val="en-US"/>
        </w:rPr>
      </w:pPr>
    </w:p>
    <w:tbl>
      <w:tblPr>
        <w:tblW w:w="9029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29"/>
      </w:tblGrid>
      <w:tr w:rsidR="00803841" w:rsidRPr="003065EC" w14:paraId="40CA327F" w14:textId="77777777">
        <w:tc>
          <w:tcPr>
            <w:tcW w:w="9029" w:type="dxa"/>
            <w:shd w:val="clear" w:color="auto" w:fill="auto"/>
          </w:tcPr>
          <w:p w14:paraId="3EFE6735" w14:textId="3BB7D63A" w:rsidR="00803841" w:rsidRPr="003065EC" w:rsidRDefault="00763303">
            <w:pPr>
              <w:spacing w:after="0" w:line="240" w:lineRule="auto"/>
              <w:jc w:val="center"/>
              <w:rPr>
                <w:lang w:val="en-US"/>
              </w:rPr>
            </w:pPr>
            <w:r w:rsidRPr="00763303">
              <w:rPr>
                <w:noProof/>
                <w:lang w:val="en-US"/>
              </w:rPr>
              <w:lastRenderedPageBreak/>
              <w:drawing>
                <wp:inline distT="0" distB="0" distL="0" distR="0" wp14:anchorId="016E4C38" wp14:editId="30434E7F">
                  <wp:extent cx="5795963" cy="7727950"/>
                  <wp:effectExtent l="0" t="0" r="0" b="6350"/>
                  <wp:docPr id="12" name="Picture 12" descr="C:\Users\aararo\OneDrive - McGill University\paper 2\cosas\liking series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araro\OneDrive - McGill University\paper 2\cosas\liking series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5315" cy="7753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3841" w:rsidRPr="004A0685" w14:paraId="253CE2F8" w14:textId="77777777">
        <w:tc>
          <w:tcPr>
            <w:tcW w:w="9029" w:type="dxa"/>
            <w:shd w:val="clear" w:color="auto" w:fill="auto"/>
          </w:tcPr>
          <w:p w14:paraId="28000E9A" w14:textId="77777777" w:rsidR="00803841" w:rsidRPr="00874699" w:rsidRDefault="00874699">
            <w:pPr>
              <w:spacing w:after="0" w:line="360" w:lineRule="auto"/>
              <w:jc w:val="both"/>
              <w:rPr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color w:val="323232"/>
                <w:lang w:val="en-CA"/>
              </w:rPr>
              <w:t>Figure S2.</w:t>
            </w:r>
            <w:r>
              <w:rPr>
                <w:rFonts w:ascii="Arial" w:eastAsia="Arial" w:hAnsi="Arial" w:cs="Arial"/>
                <w:color w:val="323232"/>
                <w:lang w:val="en-CA"/>
              </w:rPr>
              <w:t xml:space="preserve"> Average pleasantness time courses given for each excerpt. Straight lines represent the mean rating across participants at each time point (in TRs) and the ribbons around them represent these expectations ± their associated standard deviations.</w:t>
            </w:r>
          </w:p>
        </w:tc>
      </w:tr>
    </w:tbl>
    <w:p w14:paraId="3205BE95" w14:textId="77777777" w:rsidR="00803841" w:rsidRPr="00874699" w:rsidRDefault="00803841">
      <w:pPr>
        <w:rPr>
          <w:lang w:val="en-US"/>
        </w:rPr>
      </w:pPr>
    </w:p>
    <w:p w14:paraId="216D1DB7" w14:textId="77777777" w:rsidR="00803841" w:rsidRPr="00874699" w:rsidRDefault="00803841">
      <w:pPr>
        <w:rPr>
          <w:lang w:val="en-US"/>
        </w:rPr>
      </w:pPr>
    </w:p>
    <w:p w14:paraId="1F7A46A2" w14:textId="232003FE" w:rsidR="00803841" w:rsidRDefault="00803841">
      <w:pPr>
        <w:rPr>
          <w:lang w:val="en-US"/>
        </w:rPr>
      </w:pPr>
    </w:p>
    <w:p w14:paraId="1E45E5D7" w14:textId="77777777" w:rsidR="00763303" w:rsidRPr="00874699" w:rsidRDefault="00763303">
      <w:pPr>
        <w:rPr>
          <w:lang w:val="en-US"/>
        </w:rPr>
      </w:pPr>
    </w:p>
    <w:tbl>
      <w:tblPr>
        <w:tblStyle w:val="Tablanormal4"/>
        <w:tblW w:w="9015" w:type="dxa"/>
        <w:tblLook w:val="06A0" w:firstRow="1" w:lastRow="0" w:firstColumn="1" w:lastColumn="0" w:noHBand="1" w:noVBand="1"/>
      </w:tblPr>
      <w:tblGrid>
        <w:gridCol w:w="1319"/>
        <w:gridCol w:w="2580"/>
        <w:gridCol w:w="2507"/>
        <w:gridCol w:w="2609"/>
      </w:tblGrid>
      <w:tr w:rsidR="00803841" w14:paraId="76D8C624" w14:textId="77777777" w:rsidTr="008038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8" w:type="dxa"/>
            <w:shd w:val="clear" w:color="auto" w:fill="auto"/>
          </w:tcPr>
          <w:p w14:paraId="30F47990" w14:textId="77777777" w:rsidR="00803841" w:rsidRPr="00874699" w:rsidRDefault="0080384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580" w:type="dxa"/>
            <w:shd w:val="clear" w:color="auto" w:fill="auto"/>
          </w:tcPr>
          <w:p w14:paraId="2DE85272" w14:textId="77777777" w:rsidR="00803841" w:rsidRDefault="0087469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202122"/>
                <w:sz w:val="24"/>
                <w:szCs w:val="24"/>
                <w:lang w:val="en-US"/>
              </w:rPr>
              <w:t>θ ~ liking</w:t>
            </w:r>
          </w:p>
        </w:tc>
        <w:tc>
          <w:tcPr>
            <w:tcW w:w="2507" w:type="dxa"/>
            <w:shd w:val="clear" w:color="auto" w:fill="auto"/>
          </w:tcPr>
          <w:p w14:paraId="44AF9DAE" w14:textId="77777777" w:rsidR="00803841" w:rsidRDefault="0087469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202122"/>
                <w:sz w:val="24"/>
                <w:szCs w:val="24"/>
                <w:lang w:val="en-US"/>
              </w:rPr>
              <w:t>θ ~ music gIC</w:t>
            </w:r>
          </w:p>
        </w:tc>
        <w:tc>
          <w:tcPr>
            <w:tcW w:w="2609" w:type="dxa"/>
            <w:shd w:val="clear" w:color="auto" w:fill="auto"/>
          </w:tcPr>
          <w:p w14:paraId="2040F3E1" w14:textId="77777777" w:rsidR="00803841" w:rsidRDefault="0087469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202122"/>
                <w:sz w:val="24"/>
                <w:szCs w:val="24"/>
                <w:lang w:val="en-US"/>
              </w:rPr>
              <w:t>θ ~ liking × music gIC</w:t>
            </w:r>
          </w:p>
        </w:tc>
      </w:tr>
      <w:tr w:rsidR="00803841" w14:paraId="47C344ED" w14:textId="77777777" w:rsidTr="00803841">
        <w:trPr>
          <w:trHeight w:val="2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8" w:type="dxa"/>
            <w:shd w:val="clear" w:color="auto" w:fill="auto"/>
            <w:vAlign w:val="center"/>
          </w:tcPr>
          <w:p w14:paraId="75365740" w14:textId="77777777" w:rsidR="00803841" w:rsidRDefault="0087469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 w:val="0"/>
                <w:bCs w:val="0"/>
                <w:sz w:val="24"/>
                <w:szCs w:val="24"/>
              </w:rPr>
              <w:t>p &lt; 0.05</w:t>
            </w:r>
          </w:p>
        </w:tc>
        <w:tc>
          <w:tcPr>
            <w:tcW w:w="2580" w:type="dxa"/>
            <w:shd w:val="clear" w:color="auto" w:fill="auto"/>
          </w:tcPr>
          <w:p w14:paraId="40BE1BF9" w14:textId="77777777" w:rsidR="00803841" w:rsidRDefault="0087469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 wp14:anchorId="16F72B37" wp14:editId="23418E83">
                  <wp:extent cx="1397000" cy="1841500"/>
                  <wp:effectExtent l="0" t="0" r="0" b="0"/>
                  <wp:docPr id="3" name="Imag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29912" r="302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84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7" w:type="dxa"/>
            <w:shd w:val="clear" w:color="auto" w:fill="auto"/>
          </w:tcPr>
          <w:p w14:paraId="584404AF" w14:textId="77777777" w:rsidR="00803841" w:rsidRDefault="0087469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 wp14:anchorId="2504ED8A" wp14:editId="49199894">
                  <wp:extent cx="1400810" cy="1842770"/>
                  <wp:effectExtent l="0" t="0" r="0" b="0"/>
                  <wp:docPr id="4" name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30152" r="298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810" cy="1842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9" w:type="dxa"/>
            <w:shd w:val="clear" w:color="auto" w:fill="auto"/>
          </w:tcPr>
          <w:p w14:paraId="447496A0" w14:textId="77777777" w:rsidR="00803841" w:rsidRDefault="0087469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 wp14:anchorId="75FF509C" wp14:editId="5EC4719F">
                  <wp:extent cx="1413510" cy="1845310"/>
                  <wp:effectExtent l="0" t="0" r="0" b="0"/>
                  <wp:docPr id="5" name="Imag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30185" r="298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3510" cy="1845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3841" w14:paraId="74C0C0F3" w14:textId="77777777" w:rsidTr="008038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8" w:type="dxa"/>
            <w:shd w:val="clear" w:color="auto" w:fill="auto"/>
            <w:vAlign w:val="center"/>
          </w:tcPr>
          <w:p w14:paraId="293818E8" w14:textId="77777777" w:rsidR="00803841" w:rsidRDefault="0087469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 w:val="0"/>
                <w:bCs w:val="0"/>
                <w:sz w:val="24"/>
                <w:szCs w:val="24"/>
              </w:rPr>
              <w:t>p &lt; 0.01</w:t>
            </w:r>
          </w:p>
        </w:tc>
        <w:tc>
          <w:tcPr>
            <w:tcW w:w="2580" w:type="dxa"/>
            <w:shd w:val="clear" w:color="auto" w:fill="auto"/>
          </w:tcPr>
          <w:p w14:paraId="682049D4" w14:textId="77777777" w:rsidR="00803841" w:rsidRDefault="0080384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07" w:type="dxa"/>
            <w:shd w:val="clear" w:color="auto" w:fill="auto"/>
          </w:tcPr>
          <w:p w14:paraId="39BD4A25" w14:textId="77777777" w:rsidR="00803841" w:rsidRDefault="0087469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 wp14:anchorId="3147D1D4" wp14:editId="2B498F87">
                  <wp:extent cx="1400810" cy="1867535"/>
                  <wp:effectExtent l="0" t="0" r="0" b="0"/>
                  <wp:docPr id="6" name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30452" r="300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810" cy="186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9" w:type="dxa"/>
            <w:shd w:val="clear" w:color="auto" w:fill="auto"/>
          </w:tcPr>
          <w:p w14:paraId="2DD23825" w14:textId="77777777" w:rsidR="00803841" w:rsidRDefault="0087469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 wp14:anchorId="4013FBE5" wp14:editId="59B34F77">
                  <wp:extent cx="1453515" cy="1864360"/>
                  <wp:effectExtent l="0" t="0" r="0" b="0"/>
                  <wp:docPr id="7" name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30185" r="291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515" cy="186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3841" w14:paraId="4C9B2F47" w14:textId="77777777" w:rsidTr="008038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8" w:type="dxa"/>
            <w:shd w:val="clear" w:color="auto" w:fill="auto"/>
            <w:vAlign w:val="center"/>
          </w:tcPr>
          <w:p w14:paraId="21B71E7E" w14:textId="77777777" w:rsidR="00803841" w:rsidRDefault="0087469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 w:val="0"/>
                <w:bCs w:val="0"/>
                <w:sz w:val="24"/>
                <w:szCs w:val="24"/>
              </w:rPr>
              <w:t>p &lt; 0.005</w:t>
            </w:r>
          </w:p>
        </w:tc>
        <w:tc>
          <w:tcPr>
            <w:tcW w:w="2580" w:type="dxa"/>
            <w:shd w:val="clear" w:color="auto" w:fill="auto"/>
          </w:tcPr>
          <w:p w14:paraId="09199720" w14:textId="77777777" w:rsidR="00803841" w:rsidRDefault="0080384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07" w:type="dxa"/>
            <w:shd w:val="clear" w:color="auto" w:fill="auto"/>
          </w:tcPr>
          <w:p w14:paraId="35C767D0" w14:textId="77777777" w:rsidR="00803841" w:rsidRDefault="0087469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 wp14:anchorId="4EFC68D0" wp14:editId="444DD292">
                  <wp:extent cx="1407160" cy="1823720"/>
                  <wp:effectExtent l="0" t="0" r="0" b="0"/>
                  <wp:docPr id="8" name="Imag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29699" r="296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160" cy="182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9" w:type="dxa"/>
            <w:shd w:val="clear" w:color="auto" w:fill="auto"/>
          </w:tcPr>
          <w:p w14:paraId="3DE67173" w14:textId="77777777" w:rsidR="00803841" w:rsidRDefault="0087469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 wp14:anchorId="7894112A" wp14:editId="63636833">
                  <wp:extent cx="1437005" cy="1844040"/>
                  <wp:effectExtent l="0" t="0" r="0" b="0"/>
                  <wp:docPr id="9" name="Imag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29736" r="295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1844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3841" w14:paraId="03DA0840" w14:textId="77777777" w:rsidTr="008038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8" w:type="dxa"/>
            <w:shd w:val="clear" w:color="auto" w:fill="auto"/>
            <w:vAlign w:val="center"/>
          </w:tcPr>
          <w:p w14:paraId="7871A336" w14:textId="77777777" w:rsidR="00803841" w:rsidRDefault="0087469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 w:val="0"/>
                <w:bCs w:val="0"/>
                <w:sz w:val="24"/>
                <w:szCs w:val="24"/>
              </w:rPr>
              <w:t>p &lt; 0.001</w:t>
            </w:r>
          </w:p>
        </w:tc>
        <w:tc>
          <w:tcPr>
            <w:tcW w:w="2580" w:type="dxa"/>
            <w:shd w:val="clear" w:color="auto" w:fill="auto"/>
          </w:tcPr>
          <w:p w14:paraId="3A8F4874" w14:textId="77777777" w:rsidR="00803841" w:rsidRDefault="0080384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07" w:type="dxa"/>
            <w:shd w:val="clear" w:color="auto" w:fill="auto"/>
          </w:tcPr>
          <w:p w14:paraId="25DB4B1B" w14:textId="77777777" w:rsidR="00803841" w:rsidRDefault="0087469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 wp14:anchorId="77A154C0" wp14:editId="033D3CFE">
                  <wp:extent cx="1433195" cy="1824355"/>
                  <wp:effectExtent l="0" t="0" r="0" b="0"/>
                  <wp:docPr id="10" name="Image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29322" r="293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195" cy="1824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9" w:type="dxa"/>
            <w:shd w:val="clear" w:color="auto" w:fill="auto"/>
          </w:tcPr>
          <w:p w14:paraId="68DD10CA" w14:textId="77777777" w:rsidR="00803841" w:rsidRDefault="0087469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 wp14:anchorId="5F599DD6" wp14:editId="0C08F21D">
                  <wp:extent cx="1428750" cy="1832610"/>
                  <wp:effectExtent l="0" t="0" r="0" b="0"/>
                  <wp:docPr id="11" name="Image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30185" r="291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832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3841" w14:paraId="39F39D1C" w14:textId="77777777" w:rsidTr="008038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4" w:type="dxa"/>
            <w:gridSpan w:val="4"/>
            <w:shd w:val="clear" w:color="auto" w:fill="auto"/>
          </w:tcPr>
          <w:p w14:paraId="5E7B442F" w14:textId="77777777" w:rsidR="00803841" w:rsidRDefault="00874699">
            <w:pPr>
              <w:spacing w:after="0" w:line="360" w:lineRule="auto"/>
              <w:jc w:val="both"/>
            </w:pPr>
            <w:r w:rsidRPr="00874699">
              <w:rPr>
                <w:rFonts w:ascii="Arial" w:eastAsia="Arial" w:hAnsi="Arial" w:cs="Arial"/>
                <w:lang w:val="en-US"/>
              </w:rPr>
              <w:t>Figure S3.</w:t>
            </w:r>
            <w:r w:rsidRPr="00874699">
              <w:rPr>
                <w:rFonts w:ascii="Arial" w:eastAsia="Arial" w:hAnsi="Arial" w:cs="Arial"/>
                <w:b w:val="0"/>
                <w:bCs w:val="0"/>
                <w:lang w:val="en-US"/>
              </w:rPr>
              <w:t xml:space="preserve"> Significant connections in theta under the frequentist framework with different alpha levels for </w:t>
            </w:r>
            <w:r w:rsidRPr="00874699">
              <w:rPr>
                <w:rFonts w:ascii="Arial" w:eastAsia="Arial" w:hAnsi="Arial" w:cs="Arial"/>
                <w:lang w:val="en-US"/>
              </w:rPr>
              <w:t>A)</w:t>
            </w:r>
            <w:r w:rsidRPr="00874699">
              <w:rPr>
                <w:rFonts w:ascii="Arial" w:eastAsia="Arial" w:hAnsi="Arial" w:cs="Arial"/>
                <w:b w:val="0"/>
                <w:bCs w:val="0"/>
                <w:lang w:val="en-US"/>
              </w:rPr>
              <w:t xml:space="preserve"> main effects of liking, </w:t>
            </w:r>
            <w:r w:rsidRPr="00874699">
              <w:rPr>
                <w:rFonts w:ascii="Arial" w:eastAsia="Arial" w:hAnsi="Arial" w:cs="Arial"/>
                <w:lang w:val="en-US"/>
              </w:rPr>
              <w:t>B)</w:t>
            </w:r>
            <w:r w:rsidRPr="00874699">
              <w:rPr>
                <w:rFonts w:ascii="Arial" w:eastAsia="Arial" w:hAnsi="Arial" w:cs="Arial"/>
                <w:b w:val="0"/>
                <w:bCs w:val="0"/>
                <w:lang w:val="en-US"/>
              </w:rPr>
              <w:t xml:space="preserve"> main effects of music-related brain function and </w:t>
            </w:r>
            <w:r w:rsidRPr="00874699">
              <w:rPr>
                <w:rFonts w:ascii="Arial" w:eastAsia="Arial" w:hAnsi="Arial" w:cs="Arial"/>
                <w:lang w:val="en-US"/>
              </w:rPr>
              <w:t>C)</w:t>
            </w:r>
            <w:r w:rsidRPr="00874699">
              <w:rPr>
                <w:rFonts w:ascii="Arial" w:eastAsia="Arial" w:hAnsi="Arial" w:cs="Arial"/>
                <w:b w:val="0"/>
                <w:bCs w:val="0"/>
                <w:lang w:val="en-US"/>
              </w:rPr>
              <w:t xml:space="preserve"> the interaction between the two. Red lines indicate positive relationships and bluelines negative relationships. No connection survived standard family-wise error or false discovery rate corrections. </w:t>
            </w:r>
            <w:r>
              <w:rPr>
                <w:rFonts w:ascii="Arial" w:eastAsia="Arial" w:hAnsi="Arial" w:cs="Arial"/>
                <w:b w:val="0"/>
                <w:bCs w:val="0"/>
              </w:rPr>
              <w:t>Models were implemented with R package glmmTMB.</w:t>
            </w:r>
          </w:p>
        </w:tc>
      </w:tr>
    </w:tbl>
    <w:p w14:paraId="51DF1370" w14:textId="77777777" w:rsidR="00803841" w:rsidRDefault="00803841"/>
    <w:sectPr w:rsidR="00803841">
      <w:pgSz w:w="11909" w:h="16834"/>
      <w:pgMar w:top="1440" w:right="1440" w:bottom="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841"/>
    <w:rsid w:val="000527B6"/>
    <w:rsid w:val="000D2FA0"/>
    <w:rsid w:val="0019106A"/>
    <w:rsid w:val="001B2BFA"/>
    <w:rsid w:val="001F2C84"/>
    <w:rsid w:val="002427F0"/>
    <w:rsid w:val="00294AF8"/>
    <w:rsid w:val="002A5E51"/>
    <w:rsid w:val="003065EC"/>
    <w:rsid w:val="00373B9A"/>
    <w:rsid w:val="003E2DAB"/>
    <w:rsid w:val="003E49E4"/>
    <w:rsid w:val="00431EA0"/>
    <w:rsid w:val="004A0685"/>
    <w:rsid w:val="00592D6F"/>
    <w:rsid w:val="005F3513"/>
    <w:rsid w:val="006040E8"/>
    <w:rsid w:val="00611B9E"/>
    <w:rsid w:val="00623727"/>
    <w:rsid w:val="00671B8F"/>
    <w:rsid w:val="006A23AB"/>
    <w:rsid w:val="00763303"/>
    <w:rsid w:val="00791103"/>
    <w:rsid w:val="0080293D"/>
    <w:rsid w:val="00803841"/>
    <w:rsid w:val="0087372F"/>
    <w:rsid w:val="00874699"/>
    <w:rsid w:val="00945C89"/>
    <w:rsid w:val="00A53A1E"/>
    <w:rsid w:val="00A878B6"/>
    <w:rsid w:val="00A9521F"/>
    <w:rsid w:val="00AF0388"/>
    <w:rsid w:val="00B2358F"/>
    <w:rsid w:val="00BA5CA2"/>
    <w:rsid w:val="00C66A6A"/>
    <w:rsid w:val="00CE6F37"/>
    <w:rsid w:val="00D5306A"/>
    <w:rsid w:val="00D83C86"/>
    <w:rsid w:val="00D934B3"/>
    <w:rsid w:val="00E14DC8"/>
    <w:rsid w:val="00E1634D"/>
    <w:rsid w:val="00E303A5"/>
    <w:rsid w:val="00EE2173"/>
    <w:rsid w:val="00F8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868C5"/>
  <w15:docId w15:val="{9804568F-DA7C-4553-B814-69AFE9D2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Lohit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Piedepgina">
    <w:name w:val="footer"/>
    <w:basedOn w:val="Normal"/>
    <w:pPr>
      <w:suppressLineNumbers/>
      <w:tabs>
        <w:tab w:val="center" w:pos="4513"/>
        <w:tab w:val="right" w:pos="9026"/>
      </w:tabs>
    </w:pPr>
  </w:style>
  <w:style w:type="table" w:styleId="Tablaconcuadrcula">
    <w:name w:val="Table Grid"/>
    <w:basedOn w:val="Tab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normal4">
    <w:name w:val="Plain Table 4"/>
    <w:basedOn w:val="Tablanormal"/>
    <w:uiPriority w:val="4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clara">
    <w:name w:val="Grid Table Light"/>
    <w:basedOn w:val="Tablanormal"/>
    <w:uiPriority w:val="4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8F3EE70B5BFA45A098F3BF3CCA52CE" ma:contentTypeVersion="13" ma:contentTypeDescription="Create a new document." ma:contentTypeScope="" ma:versionID="32e02ab92509a12548c8293c1825f63e">
  <xsd:schema xmlns:xsd="http://www.w3.org/2001/XMLSchema" xmlns:xs="http://www.w3.org/2001/XMLSchema" xmlns:p="http://schemas.microsoft.com/office/2006/metadata/properties" xmlns:ns3="ae6ea37a-c98d-4861-b194-435a527c4601" xmlns:ns4="99ccb744-e935-47f8-b629-b9c224807057" targetNamespace="http://schemas.microsoft.com/office/2006/metadata/properties" ma:root="true" ma:fieldsID="f8e3504a22a090f24fcde7a7397a776c" ns3:_="" ns4:_="">
    <xsd:import namespace="ae6ea37a-c98d-4861-b194-435a527c4601"/>
    <xsd:import namespace="99ccb744-e935-47f8-b629-b9c22480705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6ea37a-c98d-4861-b194-435a527c46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cb744-e935-47f8-b629-b9c22480705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FAEA79-4446-4D30-9216-7191EC4A0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6ea37a-c98d-4861-b194-435a527c4601"/>
    <ds:schemaRef ds:uri="99ccb744-e935-47f8-b629-b9c224807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BD12B8-D5BD-44F5-B8A3-0375A78DAB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4BDA76-A9D5-445A-88CC-E0A661330AD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271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Ara Romero</dc:creator>
  <dc:description/>
  <cp:lastModifiedBy>Josep Marco Pallares</cp:lastModifiedBy>
  <cp:revision>18</cp:revision>
  <dcterms:created xsi:type="dcterms:W3CDTF">2022-10-25T22:46:00Z</dcterms:created>
  <dcterms:modified xsi:type="dcterms:W3CDTF">2022-10-31T15:32:00Z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00.0001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0x0101004C8F3EE70B5BFA45A098F3BF3CCA52CE</vt:lpwstr>
  </property>
</Properties>
</file>