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C6B75" w14:textId="788AA44D" w:rsidR="009B5593" w:rsidRPr="004C0570" w:rsidRDefault="00786907" w:rsidP="00786907">
      <w:pPr>
        <w:jc w:val="center"/>
        <w:rPr>
          <w:rFonts w:cs="Times New Roman"/>
          <w:b/>
          <w:bCs/>
          <w:szCs w:val="24"/>
        </w:rPr>
      </w:pPr>
      <w:r w:rsidRPr="004C0570">
        <w:rPr>
          <w:rFonts w:cs="Times New Roman"/>
          <w:b/>
          <w:bCs/>
          <w:szCs w:val="24"/>
        </w:rPr>
        <w:t>Supplementary Materials</w:t>
      </w:r>
    </w:p>
    <w:p w14:paraId="64FCCD39" w14:textId="515C605D" w:rsidR="00B911DF" w:rsidRPr="002C76BB" w:rsidRDefault="00B911DF" w:rsidP="00B911DF">
      <w:pPr>
        <w:rPr>
          <w:rFonts w:cs="Times New Roman"/>
          <w:szCs w:val="24"/>
        </w:rPr>
      </w:pPr>
      <w:r>
        <w:rPr>
          <w:rFonts w:cs="Times New Roman"/>
          <w:b/>
          <w:bCs/>
          <w:szCs w:val="24"/>
        </w:rPr>
        <w:t>Data Screening in the Pandemic Cohort</w:t>
      </w:r>
    </w:p>
    <w:p w14:paraId="5159E2F1" w14:textId="77777777" w:rsidR="00B911DF" w:rsidRPr="00B911DF" w:rsidRDefault="00B911DF" w:rsidP="00B911DF">
      <w:pPr>
        <w:ind w:firstLine="720"/>
        <w:rPr>
          <w:rFonts w:cs="Times New Roman"/>
          <w:szCs w:val="24"/>
        </w:rPr>
      </w:pPr>
      <w:r w:rsidRPr="5871A29B">
        <w:rPr>
          <w:rFonts w:cs="Times New Roman"/>
          <w:szCs w:val="24"/>
        </w:rPr>
        <w:t>Responses were carefully screened for potentially fraudulent participation. We investigated responses to identify invalid data (i.e., a non-existent zip code), if the baby’s birth date was more than two weeks discrepant from the originally provided due date, if the prenatal and three-month surveys did not match (i.e., respondents stated that they themselves were pregnant during the prenatal survey but that their partner gave birth on the three-month survey), if the participant’s zip code did not match their IP address, or if participants completed the survey more than once. We contacted participants directly to clarify discrepancies in cases of suspected fraud, and dropped participants whose discrepancies were not resolved.</w:t>
      </w:r>
    </w:p>
    <w:p w14:paraId="00640C39" w14:textId="77777777" w:rsidR="00B911DF" w:rsidRPr="00A06BA8" w:rsidRDefault="00B911DF" w:rsidP="00B911DF">
      <w:pPr>
        <w:rPr>
          <w:rFonts w:cs="Times New Roman"/>
          <w:b/>
          <w:bCs/>
          <w:szCs w:val="24"/>
        </w:rPr>
      </w:pPr>
      <w:r w:rsidRPr="00A06BA8">
        <w:rPr>
          <w:rFonts w:cs="Times New Roman"/>
          <w:b/>
          <w:bCs/>
          <w:szCs w:val="24"/>
        </w:rPr>
        <w:t>Depressive symptoms and ethnic minority status</w:t>
      </w:r>
    </w:p>
    <w:p w14:paraId="7388DFC0" w14:textId="12851EB9" w:rsidR="00B911DF" w:rsidRDefault="00B911DF" w:rsidP="00B911DF">
      <w:pPr>
        <w:ind w:firstLine="720"/>
        <w:rPr>
          <w:rFonts w:cs="Times New Roman"/>
          <w:szCs w:val="24"/>
        </w:rPr>
      </w:pPr>
      <w:r w:rsidRPr="00A06BA8">
        <w:rPr>
          <w:rFonts w:cs="Times New Roman"/>
          <w:szCs w:val="24"/>
        </w:rPr>
        <w:t xml:space="preserve">We used a one-way analysis of variance (ANOVA) and Tukey’s Honest Significant Difference (HSD) test to evaluate differences in depressive symptoms at each time point with respect to each participant’s ethnicity (i.e., American Indian or Alaskan Native, Asian, Black, Latinx, Other, or White). We found no significant differences in depressive symptoms at any time point between any pair of ethnic groups. </w:t>
      </w:r>
      <w:r w:rsidR="00CB6E30">
        <w:rPr>
          <w:rFonts w:cs="Times New Roman"/>
          <w:szCs w:val="24"/>
        </w:rPr>
        <w:t>We also</w:t>
      </w:r>
      <w:r w:rsidRPr="00A06BA8">
        <w:rPr>
          <w:rFonts w:cs="Times New Roman"/>
          <w:szCs w:val="24"/>
        </w:rPr>
        <w:t xml:space="preserve"> conducted a one-way ANOVA after dichotomizing participants’ ethnicity as either “1” = ethnic minority (i.e., American Indian or Alaskan Native, Asian, Black, Latinx, or Other) or “0” = White. We found that depressive symptoms during pregnancy were significantly lower in participants who identify as an ethnic minority, </w:t>
      </w:r>
      <w:r w:rsidRPr="00A06BA8">
        <w:rPr>
          <w:rFonts w:cs="Times New Roman"/>
          <w:i/>
          <w:iCs/>
          <w:szCs w:val="24"/>
        </w:rPr>
        <w:t>F</w:t>
      </w:r>
      <w:r w:rsidRPr="00A06BA8">
        <w:rPr>
          <w:rFonts w:cs="Times New Roman"/>
          <w:szCs w:val="24"/>
        </w:rPr>
        <w:t>(1, 757) = 5.98, p = .02). Therefore, we elected to include the minority variable as a covariate in our focal analysis rather than including separate covariates for each category of the ethnic minority variable.</w:t>
      </w:r>
    </w:p>
    <w:p w14:paraId="00D4532F" w14:textId="6B46CD11" w:rsidR="00D35105" w:rsidRDefault="00D35105" w:rsidP="00D35105">
      <w:pPr>
        <w:rPr>
          <w:rFonts w:cs="Times New Roman"/>
          <w:b/>
          <w:bCs/>
          <w:szCs w:val="24"/>
        </w:rPr>
      </w:pPr>
      <w:r>
        <w:rPr>
          <w:rFonts w:cs="Times New Roman"/>
          <w:b/>
          <w:bCs/>
          <w:szCs w:val="24"/>
        </w:rPr>
        <w:t>Dyadic Adjustment Scale (DAS)</w:t>
      </w:r>
    </w:p>
    <w:p w14:paraId="5598B747" w14:textId="77777777" w:rsidR="00D35105" w:rsidRPr="008A7E2F" w:rsidRDefault="00D35105" w:rsidP="00D35105">
      <w:pPr>
        <w:spacing w:line="240" w:lineRule="auto"/>
        <w:ind w:firstLine="720"/>
        <w:rPr>
          <w:rFonts w:cs="Times New Roman"/>
          <w:szCs w:val="24"/>
        </w:rPr>
      </w:pPr>
      <w:r w:rsidRPr="008A7E2F">
        <w:rPr>
          <w:rFonts w:cs="Times New Roman"/>
          <w:szCs w:val="24"/>
        </w:rPr>
        <w:t xml:space="preserve">The </w:t>
      </w:r>
      <w:r>
        <w:rPr>
          <w:rFonts w:cs="Times New Roman"/>
          <w:szCs w:val="24"/>
        </w:rPr>
        <w:t>full Dyadic Adjustment Scale (</w:t>
      </w:r>
      <w:r w:rsidRPr="008A7E2F">
        <w:rPr>
          <w:rFonts w:cs="Times New Roman"/>
          <w:szCs w:val="24"/>
        </w:rPr>
        <w:t>DAS</w:t>
      </w:r>
      <w:r>
        <w:rPr>
          <w:rFonts w:cs="Times New Roman"/>
          <w:szCs w:val="24"/>
        </w:rPr>
        <w:t>)</w:t>
      </w:r>
      <w:r w:rsidRPr="008A7E2F">
        <w:rPr>
          <w:rFonts w:cs="Times New Roman"/>
          <w:szCs w:val="24"/>
        </w:rPr>
        <w:t xml:space="preserve"> is a 32-item questionnaire with four subscales including dyadic consensus (the degree of agreement with a partner), dyadic satisfaction (the degree of satisfaction with a partner), dyadic cohesion (the degree of participation in joint activities), and affectional expression (the degree of agreement with partner in relation to emotional affection) (Spanier, 1976). When scored together, these scales produce a combined Global Adjustment Score, with higher scores suggesting a greater degree of positive dyadic adjustment. </w:t>
      </w:r>
    </w:p>
    <w:p w14:paraId="31063129" w14:textId="5FF657FA" w:rsidR="00D35105" w:rsidRPr="00D35105" w:rsidRDefault="00D35105" w:rsidP="00D35105">
      <w:pPr>
        <w:spacing w:line="240" w:lineRule="auto"/>
        <w:ind w:firstLine="720"/>
        <w:rPr>
          <w:rFonts w:cs="Times New Roman"/>
          <w:b/>
          <w:bCs/>
          <w:szCs w:val="24"/>
        </w:rPr>
      </w:pPr>
      <w:r w:rsidRPr="008A7E2F">
        <w:rPr>
          <w:rFonts w:cs="Times New Roman"/>
          <w:szCs w:val="24"/>
        </w:rPr>
        <w:t xml:space="preserve">In prior studies, the DAS demonstrates high content and criterion validity as well as satisfactory internal consistency (Carey et al., 1993; Graham et al., 2006; Spanier, 1976). In the pandemic sample, a 7-item version of the DAS (DAS-7; Sharpley &amp; Rogers, 1984; Items 8, 10, 11, 25, 27, 28, 31), which has been validated in prior studies (Hunsley et al., 2001; Sabourin et al., 2005), was used to keep the full questionnaire brief. In the DAS-7, six of the items are scored on a six-point Likert type scale, and one is scored on a seven-point Likert type scale. </w:t>
      </w:r>
      <w:r>
        <w:rPr>
          <w:rFonts w:cs="Times New Roman"/>
          <w:szCs w:val="24"/>
        </w:rPr>
        <w:t xml:space="preserve">Although the </w:t>
      </w:r>
      <w:r w:rsidRPr="008A7E2F">
        <w:rPr>
          <w:rFonts w:cs="Times New Roman"/>
          <w:szCs w:val="24"/>
        </w:rPr>
        <w:t>full 32-item DAS was used in the</w:t>
      </w:r>
      <w:r>
        <w:rPr>
          <w:rFonts w:cs="Times New Roman"/>
          <w:szCs w:val="24"/>
        </w:rPr>
        <w:t xml:space="preserve"> pre</w:t>
      </w:r>
      <w:r w:rsidRPr="008A7E2F">
        <w:rPr>
          <w:rFonts w:cs="Times New Roman"/>
          <w:szCs w:val="24"/>
        </w:rPr>
        <w:t>-pandemic sample,</w:t>
      </w:r>
      <w:r>
        <w:rPr>
          <w:rFonts w:cs="Times New Roman"/>
          <w:szCs w:val="24"/>
        </w:rPr>
        <w:t xml:space="preserve"> </w:t>
      </w:r>
      <w:r w:rsidRPr="008A7E2F">
        <w:rPr>
          <w:rFonts w:cs="Times New Roman"/>
          <w:szCs w:val="24"/>
        </w:rPr>
        <w:t xml:space="preserve">we only scored the 7-item version </w:t>
      </w:r>
      <w:r w:rsidRPr="008A7E2F">
        <w:rPr>
          <w:rFonts w:cs="Times New Roman"/>
          <w:szCs w:val="24"/>
        </w:rPr>
        <w:lastRenderedPageBreak/>
        <w:t>to maintain consistency across cohorts</w:t>
      </w:r>
      <w:r>
        <w:rPr>
          <w:rFonts w:cs="Times New Roman"/>
          <w:szCs w:val="24"/>
        </w:rPr>
        <w:t>. The DAS-7 was highly correlated with the full 32-item DAS in the pre-pandemic sample (</w:t>
      </w:r>
      <w:r>
        <w:rPr>
          <w:rFonts w:cs="Times New Roman"/>
          <w:i/>
          <w:iCs/>
          <w:szCs w:val="24"/>
        </w:rPr>
        <w:t xml:space="preserve">r </w:t>
      </w:r>
      <w:r>
        <w:rPr>
          <w:rFonts w:cs="Times New Roman"/>
          <w:szCs w:val="24"/>
        </w:rPr>
        <w:t xml:space="preserve">= .86), suggesting the DAS-7 was an adequate proxy for the </w:t>
      </w:r>
      <w:r w:rsidR="009D3E10">
        <w:rPr>
          <w:rFonts w:cs="Times New Roman"/>
          <w:szCs w:val="24"/>
        </w:rPr>
        <w:t>full-scale</w:t>
      </w:r>
      <w:r>
        <w:rPr>
          <w:rFonts w:cs="Times New Roman"/>
          <w:szCs w:val="24"/>
        </w:rPr>
        <w:t xml:space="preserve"> DAS in this sample.</w:t>
      </w:r>
    </w:p>
    <w:p w14:paraId="782E5B2D" w14:textId="5984D8AB" w:rsidR="00253ABB" w:rsidRDefault="00253ABB" w:rsidP="00253ABB">
      <w:pPr>
        <w:rPr>
          <w:rFonts w:cs="Times New Roman"/>
          <w:b/>
          <w:bCs/>
          <w:szCs w:val="24"/>
        </w:rPr>
      </w:pPr>
      <w:r>
        <w:rPr>
          <w:rFonts w:cs="Times New Roman"/>
          <w:b/>
          <w:bCs/>
          <w:szCs w:val="24"/>
        </w:rPr>
        <w:t>Covariance Pattern Modeling</w:t>
      </w:r>
    </w:p>
    <w:p w14:paraId="15D5CB37" w14:textId="4D8776DB" w:rsidR="0040471B" w:rsidRDefault="0040471B" w:rsidP="0040471B">
      <w:pPr>
        <w:spacing w:line="240" w:lineRule="auto"/>
        <w:ind w:firstLine="720"/>
        <w:rPr>
          <w:rFonts w:cs="Times New Roman"/>
          <w:szCs w:val="24"/>
        </w:rPr>
      </w:pPr>
      <w:r>
        <w:rPr>
          <w:rFonts w:cs="Times New Roman"/>
          <w:szCs w:val="24"/>
        </w:rPr>
        <w:t>The primary difference between covariance pattern modeling and traditional multigroup growth modeling is that rather than partitioning within- (</w:t>
      </w:r>
      <w:proofErr w:type="spellStart"/>
      <w:r>
        <w:rPr>
          <w:rFonts w:cs="Times New Roman"/>
          <w:szCs w:val="24"/>
        </w:rPr>
        <w:t>Θ</w:t>
      </w:r>
      <w:r>
        <w:rPr>
          <w:rFonts w:cs="Times New Roman"/>
          <w:szCs w:val="24"/>
          <w:vertAlign w:val="subscript"/>
        </w:rPr>
        <w:t>ig</w:t>
      </w:r>
      <w:proofErr w:type="spellEnd"/>
      <w:r>
        <w:rPr>
          <w:rFonts w:cs="Times New Roman"/>
          <w:szCs w:val="24"/>
        </w:rPr>
        <w:t>) and between-level (</w:t>
      </w:r>
      <w:proofErr w:type="spellStart"/>
      <w:r w:rsidRPr="00BC36B5">
        <w:rPr>
          <w:rFonts w:cs="Times New Roman"/>
          <w:szCs w:val="24"/>
        </w:rPr>
        <w:t>Ψ</w:t>
      </w:r>
      <w:r w:rsidRPr="00790C7A">
        <w:rPr>
          <w:rFonts w:cs="Times New Roman"/>
          <w:i/>
          <w:szCs w:val="24"/>
          <w:vertAlign w:val="subscript"/>
        </w:rPr>
        <w:t>g</w:t>
      </w:r>
      <w:proofErr w:type="spellEnd"/>
      <w:r>
        <w:rPr>
          <w:rFonts w:cs="Times New Roman"/>
          <w:szCs w:val="24"/>
        </w:rPr>
        <w:t xml:space="preserve">) variance in each group </w:t>
      </w:r>
      <w:r>
        <w:rPr>
          <w:rFonts w:cs="Times New Roman"/>
          <w:i/>
          <w:iCs/>
          <w:szCs w:val="24"/>
        </w:rPr>
        <w:t xml:space="preserve">g </w:t>
      </w:r>
      <w:r>
        <w:rPr>
          <w:rFonts w:cs="Times New Roman"/>
          <w:szCs w:val="24"/>
        </w:rPr>
        <w:t>using random-effects (i.e.,</w:t>
      </w:r>
      <w:r w:rsidRPr="00BC36B5">
        <w:rPr>
          <w:rFonts w:cs="Times New Roman"/>
          <w:szCs w:val="24"/>
        </w:rPr>
        <w:t xml:space="preserve"> Var(</w:t>
      </w:r>
      <w:proofErr w:type="spellStart"/>
      <w:r w:rsidRPr="00BC36B5">
        <w:rPr>
          <w:rFonts w:cs="Times New Roman"/>
          <w:szCs w:val="24"/>
        </w:rPr>
        <w:t>y</w:t>
      </w:r>
      <w:r w:rsidRPr="008841AC">
        <w:rPr>
          <w:rFonts w:cs="Times New Roman"/>
          <w:szCs w:val="24"/>
          <w:vertAlign w:val="subscript"/>
        </w:rPr>
        <w:t>i</w:t>
      </w:r>
      <w:proofErr w:type="spellEnd"/>
      <w:r w:rsidRPr="00BC36B5">
        <w:rPr>
          <w:rFonts w:cs="Times New Roman"/>
          <w:szCs w:val="24"/>
        </w:rPr>
        <w:t xml:space="preserve">) = </w:t>
      </w:r>
      <w:proofErr w:type="spellStart"/>
      <w:r w:rsidRPr="00BC36B5">
        <w:rPr>
          <w:rFonts w:cs="Times New Roman"/>
          <w:szCs w:val="24"/>
        </w:rPr>
        <w:t>Σ</w:t>
      </w:r>
      <w:r w:rsidRPr="008841AC">
        <w:rPr>
          <w:rFonts w:cs="Times New Roman"/>
          <w:szCs w:val="24"/>
          <w:vertAlign w:val="subscript"/>
        </w:rPr>
        <w:t>i</w:t>
      </w:r>
      <w:r>
        <w:rPr>
          <w:rFonts w:cs="Times New Roman"/>
          <w:szCs w:val="24"/>
          <w:vertAlign w:val="subscript"/>
        </w:rPr>
        <w:t>g</w:t>
      </w:r>
      <w:proofErr w:type="spellEnd"/>
      <w:r w:rsidRPr="00BC36B5">
        <w:rPr>
          <w:rFonts w:cs="Times New Roman"/>
          <w:szCs w:val="24"/>
        </w:rPr>
        <w:t xml:space="preserve"> = Λ(</w:t>
      </w:r>
      <w:proofErr w:type="spellStart"/>
      <w:r w:rsidRPr="00BC36B5">
        <w:rPr>
          <w:rFonts w:cs="Times New Roman"/>
          <w:szCs w:val="24"/>
        </w:rPr>
        <w:t>Γ</w:t>
      </w:r>
      <w:r w:rsidRPr="008841AC">
        <w:rPr>
          <w:rFonts w:cs="Times New Roman"/>
          <w:szCs w:val="24"/>
          <w:vertAlign w:val="subscript"/>
        </w:rPr>
        <w:t>g</w:t>
      </w:r>
      <w:proofErr w:type="spellEnd"/>
      <w:r w:rsidRPr="00BC36B5">
        <w:rPr>
          <w:rFonts w:cs="Times New Roman"/>
          <w:szCs w:val="24"/>
        </w:rPr>
        <w:t xml:space="preserve"> </w:t>
      </w:r>
      <w:proofErr w:type="spellStart"/>
      <w:r w:rsidRPr="00BC36B5">
        <w:rPr>
          <w:rFonts w:cs="Times New Roman"/>
          <w:szCs w:val="24"/>
        </w:rPr>
        <w:t>Φ</w:t>
      </w:r>
      <w:r w:rsidRPr="008841AC">
        <w:rPr>
          <w:rFonts w:cs="Times New Roman"/>
          <w:i/>
          <w:szCs w:val="24"/>
        </w:rPr>
        <w:t>g</w:t>
      </w:r>
      <w:proofErr w:type="spellEnd"/>
      <w:r w:rsidRPr="00BC36B5">
        <w:rPr>
          <w:rFonts w:cs="Times New Roman"/>
          <w:szCs w:val="24"/>
        </w:rPr>
        <w:t xml:space="preserve"> </w:t>
      </w:r>
      <w:proofErr w:type="spellStart"/>
      <w:r w:rsidRPr="00BC36B5">
        <w:rPr>
          <w:rFonts w:cs="Times New Roman"/>
          <w:szCs w:val="24"/>
        </w:rPr>
        <w:t>Γ</w:t>
      </w:r>
      <w:r>
        <w:rPr>
          <w:rFonts w:cs="Times New Roman"/>
          <w:szCs w:val="24"/>
          <w:vertAlign w:val="subscript"/>
        </w:rPr>
        <w:t>g</w:t>
      </w:r>
      <w:proofErr w:type="spellEnd"/>
      <w:r w:rsidRPr="00BC36B5">
        <w:rPr>
          <w:rFonts w:cs="Times New Roman"/>
          <w:szCs w:val="24"/>
        </w:rPr>
        <w:t xml:space="preserve">ᵀ + </w:t>
      </w:r>
      <w:proofErr w:type="spellStart"/>
      <w:r w:rsidRPr="00BC36B5">
        <w:rPr>
          <w:rFonts w:cs="Times New Roman"/>
          <w:szCs w:val="24"/>
        </w:rPr>
        <w:t>Ψ</w:t>
      </w:r>
      <w:r w:rsidRPr="008841AC">
        <w:rPr>
          <w:rFonts w:cs="Times New Roman"/>
          <w:i/>
          <w:szCs w:val="24"/>
          <w:vertAlign w:val="subscript"/>
        </w:rPr>
        <w:t>g</w:t>
      </w:r>
      <w:proofErr w:type="spellEnd"/>
      <w:r w:rsidRPr="00BC36B5">
        <w:rPr>
          <w:rFonts w:cs="Times New Roman"/>
          <w:szCs w:val="24"/>
        </w:rPr>
        <w:t xml:space="preserve">)Λᵀ + </w:t>
      </w:r>
      <w:proofErr w:type="spellStart"/>
      <w:r w:rsidRPr="00BC36B5">
        <w:rPr>
          <w:rFonts w:cs="Times New Roman"/>
          <w:szCs w:val="24"/>
        </w:rPr>
        <w:t>Θ</w:t>
      </w:r>
      <w:r w:rsidRPr="008841AC">
        <w:rPr>
          <w:rFonts w:cs="Times New Roman"/>
          <w:i/>
          <w:szCs w:val="24"/>
          <w:vertAlign w:val="subscript"/>
        </w:rPr>
        <w:t>ig</w:t>
      </w:r>
      <w:proofErr w:type="spellEnd"/>
      <w:r>
        <w:rPr>
          <w:rFonts w:cs="Times New Roman"/>
          <w:i/>
          <w:szCs w:val="24"/>
          <w:vertAlign w:val="subscript"/>
        </w:rPr>
        <w:t xml:space="preserve"> </w:t>
      </w:r>
      <w:r>
        <w:rPr>
          <w:rFonts w:cs="Times New Roman"/>
          <w:iCs/>
          <w:szCs w:val="24"/>
        </w:rPr>
        <w:t>), the marginal covariance among the repeated measures is modeled directly</w:t>
      </w:r>
      <w:r>
        <w:rPr>
          <w:rFonts w:cs="Times New Roman"/>
          <w:szCs w:val="24"/>
        </w:rPr>
        <w:t xml:space="preserve"> by estimating the elements of a residual variance-covariance matrix (i.e., ϵ</w:t>
      </w:r>
      <w:r>
        <w:rPr>
          <w:rFonts w:cs="Times New Roman"/>
          <w:szCs w:val="24"/>
          <w:vertAlign w:val="subscript"/>
        </w:rPr>
        <w:t>i</w:t>
      </w:r>
      <w:r>
        <w:rPr>
          <w:rFonts w:cs="Times New Roman"/>
          <w:szCs w:val="24"/>
        </w:rPr>
        <w:t xml:space="preserve"> ~ </w:t>
      </w:r>
      <w:r>
        <w:rPr>
          <w:rFonts w:cs="Times New Roman"/>
          <w:i/>
          <w:iCs/>
          <w:szCs w:val="24"/>
        </w:rPr>
        <w:t>MVN</w:t>
      </w:r>
      <w:r>
        <w:rPr>
          <w:rFonts w:cs="Times New Roman"/>
          <w:szCs w:val="24"/>
        </w:rPr>
        <w:t>(</w:t>
      </w:r>
      <w:r w:rsidRPr="008841AC">
        <w:rPr>
          <w:rFonts w:cs="Times New Roman"/>
          <w:b/>
          <w:bCs/>
          <w:szCs w:val="24"/>
        </w:rPr>
        <w:t>0</w:t>
      </w:r>
      <w:r>
        <w:rPr>
          <w:rFonts w:cs="Times New Roman"/>
          <w:szCs w:val="24"/>
        </w:rPr>
        <w:t>,</w:t>
      </w:r>
      <w:r w:rsidRPr="007C28F1">
        <w:rPr>
          <w:rFonts w:cs="Times New Roman"/>
          <w:szCs w:val="24"/>
        </w:rPr>
        <w:t xml:space="preserve"> </w:t>
      </w:r>
      <w:r>
        <w:rPr>
          <w:rFonts w:cs="Times New Roman"/>
          <w:szCs w:val="24"/>
        </w:rPr>
        <w:t>Σ</w:t>
      </w:r>
      <w:r>
        <w:rPr>
          <w:rFonts w:cs="Times New Roman"/>
          <w:szCs w:val="24"/>
          <w:vertAlign w:val="subscript"/>
        </w:rPr>
        <w:t>i</w:t>
      </w:r>
      <w:r>
        <w:rPr>
          <w:rFonts w:cs="Times New Roman"/>
          <w:szCs w:val="24"/>
        </w:rPr>
        <w:t>), where</w:t>
      </w:r>
      <w:r w:rsidR="00283754">
        <w:rPr>
          <w:rFonts w:cs="Times New Roman"/>
          <w:szCs w:val="24"/>
        </w:rPr>
        <w:t xml:space="preserve"> the covariance matrix</w:t>
      </w:r>
      <w:r>
        <w:rPr>
          <w:rFonts w:cs="Times New Roman"/>
          <w:szCs w:val="24"/>
        </w:rPr>
        <w:t xml:space="preserve"> Σ follow</w:t>
      </w:r>
      <w:r w:rsidR="00283754">
        <w:rPr>
          <w:rFonts w:cs="Times New Roman"/>
          <w:szCs w:val="24"/>
        </w:rPr>
        <w:t>s</w:t>
      </w:r>
      <w:r>
        <w:rPr>
          <w:rFonts w:cs="Times New Roman"/>
          <w:szCs w:val="24"/>
        </w:rPr>
        <w:t xml:space="preserve"> a pattern prespecified by the researcher</w:t>
      </w:r>
      <w:r w:rsidR="00B6276E">
        <w:rPr>
          <w:rFonts w:cs="Times New Roman"/>
          <w:szCs w:val="24"/>
        </w:rPr>
        <w:t>. For example, one such pattern</w:t>
      </w:r>
      <w:r w:rsidR="00B93A38">
        <w:rPr>
          <w:rFonts w:cs="Times New Roman"/>
          <w:szCs w:val="24"/>
        </w:rPr>
        <w:t xml:space="preserve"> (or structure)</w:t>
      </w:r>
      <w:r w:rsidR="00B6276E">
        <w:rPr>
          <w:rFonts w:cs="Times New Roman"/>
          <w:szCs w:val="24"/>
        </w:rPr>
        <w:t xml:space="preserve"> could be that </w:t>
      </w:r>
      <w:r>
        <w:rPr>
          <w:rFonts w:cs="Times New Roman"/>
          <w:szCs w:val="24"/>
        </w:rPr>
        <w:t xml:space="preserve">all </w:t>
      </w:r>
      <w:r w:rsidR="00B6276E">
        <w:rPr>
          <w:rFonts w:cs="Times New Roman"/>
          <w:szCs w:val="24"/>
        </w:rPr>
        <w:t xml:space="preserve">repeated </w:t>
      </w:r>
      <w:r>
        <w:rPr>
          <w:rFonts w:cs="Times New Roman"/>
          <w:szCs w:val="24"/>
        </w:rPr>
        <w:t xml:space="preserve">measures separated by </w:t>
      </w:r>
      <w:r>
        <w:rPr>
          <w:rFonts w:cs="Times New Roman"/>
          <w:i/>
          <w:iCs/>
          <w:szCs w:val="24"/>
        </w:rPr>
        <w:t xml:space="preserve">n </w:t>
      </w:r>
      <w:r>
        <w:rPr>
          <w:rFonts w:cs="Times New Roman"/>
          <w:szCs w:val="24"/>
        </w:rPr>
        <w:t>measurement occasions share correlation ρ</w:t>
      </w:r>
      <w:r>
        <w:rPr>
          <w:rFonts w:cs="Times New Roman"/>
          <w:szCs w:val="24"/>
          <w:vertAlign w:val="subscript"/>
        </w:rPr>
        <w:t>n</w:t>
      </w:r>
      <w:r w:rsidR="00B6276E">
        <w:rPr>
          <w:rFonts w:cs="Times New Roman"/>
          <w:szCs w:val="24"/>
        </w:rPr>
        <w:t xml:space="preserve"> (i.e., </w:t>
      </w:r>
      <w:r w:rsidR="00B93A38">
        <w:rPr>
          <w:rFonts w:cs="Times New Roman"/>
          <w:szCs w:val="24"/>
        </w:rPr>
        <w:t>Toeplitz structure)</w:t>
      </w:r>
      <w:r>
        <w:rPr>
          <w:rFonts w:cs="Times New Roman"/>
          <w:szCs w:val="24"/>
        </w:rPr>
        <w:t xml:space="preserve">. </w:t>
      </w:r>
      <w:r>
        <w:rPr>
          <w:rFonts w:cs="Times New Roman"/>
          <w:iCs/>
          <w:szCs w:val="24"/>
        </w:rPr>
        <w:t>By forgoing the estimation of within-group random effects, covariance pattern models often lead to fewer nonconvergence issues without sacrificing information needed to test between-group differences in marginal growth trajectories (</w:t>
      </w:r>
      <w:r>
        <w:rPr>
          <w:rFonts w:cs="Times New Roman"/>
          <w:szCs w:val="24"/>
        </w:rPr>
        <w:t>Diallo et al., 2016; Liu &amp; Hancock, 2014</w:t>
      </w:r>
      <w:r>
        <w:rPr>
          <w:rFonts w:cs="Times New Roman"/>
          <w:iCs/>
          <w:szCs w:val="24"/>
        </w:rPr>
        <w:t>). Moreover,</w:t>
      </w:r>
      <w:r>
        <w:rPr>
          <w:rFonts w:cs="Times New Roman"/>
          <w:szCs w:val="24"/>
        </w:rPr>
        <w:t xml:space="preserve"> </w:t>
      </w:r>
      <w:r w:rsidR="00AB03C1">
        <w:rPr>
          <w:rFonts w:cs="Times New Roman"/>
          <w:szCs w:val="24"/>
        </w:rPr>
        <w:t xml:space="preserve">explicitly </w:t>
      </w:r>
      <w:r>
        <w:rPr>
          <w:rFonts w:cs="Times New Roman"/>
          <w:szCs w:val="24"/>
        </w:rPr>
        <w:t xml:space="preserve">modeling the </w:t>
      </w:r>
      <w:r w:rsidR="00AB03C1">
        <w:rPr>
          <w:rFonts w:cs="Times New Roman"/>
          <w:szCs w:val="24"/>
        </w:rPr>
        <w:t>covariance among repeating measures</w:t>
      </w:r>
      <w:r>
        <w:rPr>
          <w:rFonts w:cs="Times New Roman"/>
          <w:szCs w:val="24"/>
        </w:rPr>
        <w:t xml:space="preserve"> (i.e., ϵ</w:t>
      </w:r>
      <w:r>
        <w:rPr>
          <w:rFonts w:cs="Times New Roman"/>
          <w:szCs w:val="24"/>
          <w:vertAlign w:val="subscript"/>
        </w:rPr>
        <w:t>i</w:t>
      </w:r>
      <w:r>
        <w:rPr>
          <w:rFonts w:cs="Times New Roman"/>
          <w:szCs w:val="24"/>
        </w:rPr>
        <w:t xml:space="preserve"> ~  </w:t>
      </w:r>
      <w:r w:rsidRPr="00790C7A">
        <w:rPr>
          <w:rFonts w:cs="Times New Roman"/>
          <w:i/>
          <w:iCs/>
          <w:szCs w:val="24"/>
        </w:rPr>
        <w:t>MV</w:t>
      </w:r>
      <w:r>
        <w:rPr>
          <w:rFonts w:cs="Times New Roman"/>
          <w:i/>
          <w:iCs/>
          <w:szCs w:val="24"/>
        </w:rPr>
        <w:t>N</w:t>
      </w:r>
      <w:r>
        <w:rPr>
          <w:rFonts w:cs="Times New Roman"/>
          <w:szCs w:val="24"/>
        </w:rPr>
        <w:t>(0, Σ</w:t>
      </w:r>
      <w:r>
        <w:rPr>
          <w:rFonts w:cs="Times New Roman"/>
          <w:szCs w:val="24"/>
          <w:vertAlign w:val="subscript"/>
        </w:rPr>
        <w:t>i</w:t>
      </w:r>
      <w:r>
        <w:rPr>
          <w:rFonts w:cs="Times New Roman"/>
          <w:szCs w:val="24"/>
        </w:rPr>
        <w:t xml:space="preserve">)) avoids the need to assume residuals are homoscedastic and independent (e.g., ϵ ~ </w:t>
      </w:r>
      <w:r>
        <w:rPr>
          <w:rFonts w:cs="Times New Roman"/>
          <w:szCs w:val="24"/>
          <w:vertAlign w:val="superscript"/>
        </w:rPr>
        <w:t>i.i.d</w:t>
      </w:r>
      <w:r>
        <w:rPr>
          <w:rFonts w:cs="Times New Roman"/>
          <w:szCs w:val="24"/>
        </w:rPr>
        <w:t xml:space="preserve"> </w:t>
      </w:r>
      <w:r>
        <w:rPr>
          <w:rFonts w:cs="Times New Roman"/>
          <w:i/>
          <w:iCs/>
          <w:szCs w:val="24"/>
        </w:rPr>
        <w:t>N</w:t>
      </w:r>
      <w:r>
        <w:rPr>
          <w:rFonts w:cs="Times New Roman"/>
          <w:szCs w:val="24"/>
        </w:rPr>
        <w:t>(0, σ</w:t>
      </w:r>
      <w:r>
        <w:rPr>
          <w:rFonts w:cs="Times New Roman"/>
          <w:szCs w:val="24"/>
          <w:vertAlign w:val="superscript"/>
        </w:rPr>
        <w:t>2</w:t>
      </w:r>
      <w:r w:rsidR="00E841A1">
        <w:rPr>
          <w:rFonts w:cs="Times New Roman"/>
          <w:szCs w:val="24"/>
        </w:rPr>
        <w:t xml:space="preserve">; </w:t>
      </w:r>
      <w:r>
        <w:rPr>
          <w:rFonts w:cs="Times New Roman"/>
          <w:szCs w:val="24"/>
        </w:rPr>
        <w:t>McNeish &amp; Harring, 2020).</w:t>
      </w:r>
    </w:p>
    <w:p w14:paraId="36CF8F09" w14:textId="6F78E1A8" w:rsidR="00253ABB" w:rsidRPr="00253ABB" w:rsidRDefault="0040471B" w:rsidP="0040471B">
      <w:pPr>
        <w:spacing w:line="240" w:lineRule="auto"/>
        <w:ind w:firstLine="720"/>
        <w:rPr>
          <w:rFonts w:cs="Times New Roman"/>
          <w:szCs w:val="24"/>
        </w:rPr>
      </w:pPr>
      <w:r>
        <w:rPr>
          <w:rFonts w:cs="Times New Roman"/>
          <w:szCs w:val="24"/>
        </w:rPr>
        <w:t xml:space="preserve">We chose a covariance pattern approach for two primary reasons. First, while we acknowledge symptom trajectories appear to vary within each cohort of our sample (e.g., Figure 2), we do not need to partition within- and between-level variance using subject-specific random effects to test our focal hypotheses regarding the marginal growth trajectories of each cohort (Hypothesis 1) conditional on between-person covariates (Hypothesis 2). Second, estimating subject-specific random effects would most likely increase the chance of </w:t>
      </w:r>
      <w:r w:rsidRPr="00B43628">
        <w:rPr>
          <w:rFonts w:cs="Times New Roman"/>
          <w:szCs w:val="24"/>
        </w:rPr>
        <w:t xml:space="preserve">nonconvergence </w:t>
      </w:r>
      <w:r>
        <w:rPr>
          <w:rFonts w:cs="Times New Roman"/>
          <w:szCs w:val="24"/>
        </w:rPr>
        <w:t xml:space="preserve">issues </w:t>
      </w:r>
      <w:r w:rsidRPr="00B43628">
        <w:rPr>
          <w:rFonts w:cs="Times New Roman"/>
          <w:szCs w:val="24"/>
        </w:rPr>
        <w:t xml:space="preserve">and inadmissible solutions given </w:t>
      </w:r>
      <w:r>
        <w:rPr>
          <w:rFonts w:cs="Times New Roman"/>
          <w:szCs w:val="24"/>
        </w:rPr>
        <w:t>the comparatively smaller sample size of our</w:t>
      </w:r>
      <w:r w:rsidRPr="00B43628">
        <w:rPr>
          <w:rFonts w:cs="Times New Roman"/>
          <w:szCs w:val="24"/>
        </w:rPr>
        <w:t xml:space="preserve"> pre-pandemic </w:t>
      </w:r>
      <w:r>
        <w:rPr>
          <w:rFonts w:cs="Times New Roman"/>
          <w:szCs w:val="24"/>
        </w:rPr>
        <w:t>cohort</w:t>
      </w:r>
      <w:r w:rsidRPr="00B43628">
        <w:rPr>
          <w:rFonts w:cs="Times New Roman"/>
          <w:szCs w:val="24"/>
        </w:rPr>
        <w:t xml:space="preserve"> (</w:t>
      </w:r>
      <w:r w:rsidRPr="00B43628">
        <w:rPr>
          <w:rFonts w:cs="Times New Roman"/>
          <w:i/>
          <w:iCs/>
          <w:szCs w:val="24"/>
        </w:rPr>
        <w:t xml:space="preserve">n </w:t>
      </w:r>
      <w:r w:rsidRPr="00B43628">
        <w:rPr>
          <w:rFonts w:cs="Times New Roman"/>
          <w:szCs w:val="24"/>
        </w:rPr>
        <w:t xml:space="preserve">= 99) </w:t>
      </w:r>
      <w:r>
        <w:rPr>
          <w:rFonts w:cs="Times New Roman"/>
          <w:szCs w:val="24"/>
        </w:rPr>
        <w:t>relative</w:t>
      </w:r>
      <w:r w:rsidRPr="00B43628">
        <w:rPr>
          <w:rFonts w:cs="Times New Roman"/>
          <w:szCs w:val="24"/>
        </w:rPr>
        <w:t xml:space="preserve"> to our pandemic </w:t>
      </w:r>
      <w:r>
        <w:rPr>
          <w:rFonts w:cs="Times New Roman"/>
          <w:szCs w:val="24"/>
        </w:rPr>
        <w:t>cohort</w:t>
      </w:r>
      <w:r w:rsidRPr="00B43628">
        <w:rPr>
          <w:rFonts w:cs="Times New Roman"/>
          <w:szCs w:val="24"/>
        </w:rPr>
        <w:t xml:space="preserve"> (</w:t>
      </w:r>
      <w:r w:rsidRPr="00B43628">
        <w:rPr>
          <w:rFonts w:cs="Times New Roman"/>
          <w:i/>
          <w:iCs/>
          <w:szCs w:val="24"/>
        </w:rPr>
        <w:t xml:space="preserve">n </w:t>
      </w:r>
      <w:r w:rsidRPr="00B43628">
        <w:rPr>
          <w:rFonts w:cs="Times New Roman"/>
          <w:szCs w:val="24"/>
        </w:rPr>
        <w:t>= 615</w:t>
      </w:r>
      <w:r>
        <w:rPr>
          <w:rFonts w:cs="Times New Roman"/>
          <w:szCs w:val="24"/>
        </w:rPr>
        <w:t>; McNeish &amp; Harring, 2020</w:t>
      </w:r>
      <w:r w:rsidRPr="00B43628">
        <w:rPr>
          <w:rFonts w:cs="Times New Roman"/>
          <w:szCs w:val="24"/>
        </w:rPr>
        <w:t>)</w:t>
      </w:r>
      <w:r>
        <w:rPr>
          <w:rFonts w:cs="Times New Roman"/>
          <w:szCs w:val="24"/>
        </w:rPr>
        <w:t xml:space="preserve">. In sum, the covariance pattern approach is easier to estimate than a traditional growth model, makes fewer assumptions about the data, and sufficiently tests Hypotheses 1 and 2 (Jennrich &amp; Schluchter, 1986; McNeish &amp; Harring, 2020). </w:t>
      </w:r>
    </w:p>
    <w:p w14:paraId="25ACAEF9" w14:textId="1DA8E5E9" w:rsidR="00C17BE3" w:rsidRDefault="00C17BE3" w:rsidP="00770CCC">
      <w:pPr>
        <w:rPr>
          <w:rFonts w:cs="Times New Roman"/>
          <w:b/>
          <w:bCs/>
          <w:szCs w:val="24"/>
        </w:rPr>
      </w:pPr>
      <w:r>
        <w:rPr>
          <w:rFonts w:cs="Times New Roman"/>
          <w:b/>
          <w:bCs/>
          <w:szCs w:val="24"/>
        </w:rPr>
        <w:t xml:space="preserve">Missing Data </w:t>
      </w:r>
      <w:r w:rsidR="007E0AA4">
        <w:rPr>
          <w:rFonts w:cs="Times New Roman"/>
          <w:b/>
          <w:bCs/>
          <w:szCs w:val="24"/>
        </w:rPr>
        <w:t>and the Diggle-Kenward Component</w:t>
      </w:r>
    </w:p>
    <w:p w14:paraId="5C3F2798" w14:textId="42528759" w:rsidR="007E0AA4" w:rsidRDefault="00E90E10" w:rsidP="00E33943">
      <w:pPr>
        <w:ind w:firstLine="720"/>
        <w:rPr>
          <w:rFonts w:cs="Times New Roman"/>
          <w:szCs w:val="24"/>
        </w:rPr>
      </w:pPr>
      <w:r>
        <w:rPr>
          <w:rFonts w:cs="Times New Roman"/>
          <w:szCs w:val="24"/>
        </w:rPr>
        <w:t>Conducting a sensitivity analysis for missingness not at random (MNAR)</w:t>
      </w:r>
      <w:r w:rsidR="00E33943">
        <w:rPr>
          <w:rFonts w:cs="Times New Roman"/>
          <w:szCs w:val="24"/>
        </w:rPr>
        <w:t xml:space="preserve"> consists of creating a missing indictor </w:t>
      </w:r>
      <w:r w:rsidR="00E33943">
        <w:rPr>
          <w:rFonts w:cs="Times New Roman"/>
          <w:i/>
          <w:iCs/>
          <w:szCs w:val="24"/>
        </w:rPr>
        <w:t>m</w:t>
      </w:r>
      <w:r w:rsidR="00E33943">
        <w:rPr>
          <w:rFonts w:cs="Times New Roman"/>
          <w:i/>
          <w:iCs/>
          <w:szCs w:val="24"/>
          <w:vertAlign w:val="subscript"/>
        </w:rPr>
        <w:t>it</w:t>
      </w:r>
      <w:r w:rsidR="00E33943">
        <w:rPr>
          <w:rFonts w:cs="Times New Roman"/>
          <w:i/>
          <w:iCs/>
          <w:szCs w:val="24"/>
        </w:rPr>
        <w:t xml:space="preserve"> </w:t>
      </w:r>
      <w:r w:rsidR="00E33943">
        <w:rPr>
          <w:rFonts w:cs="Times New Roman"/>
          <w:szCs w:val="24"/>
        </w:rPr>
        <w:t xml:space="preserve">(1 = “missing”; 0 = “not missing”) for focal outcome </w:t>
      </w:r>
      <w:r w:rsidR="00E33943">
        <w:rPr>
          <w:rFonts w:cs="Times New Roman"/>
          <w:i/>
          <w:iCs/>
          <w:szCs w:val="24"/>
        </w:rPr>
        <w:t>y</w:t>
      </w:r>
      <w:r w:rsidR="00E33943">
        <w:rPr>
          <w:rFonts w:cs="Times New Roman"/>
          <w:i/>
          <w:iCs/>
          <w:szCs w:val="24"/>
          <w:vertAlign w:val="subscript"/>
        </w:rPr>
        <w:t>it</w:t>
      </w:r>
      <w:r w:rsidR="00E33943">
        <w:rPr>
          <w:rFonts w:cs="Times New Roman"/>
          <w:szCs w:val="24"/>
        </w:rPr>
        <w:t xml:space="preserve"> (i.e., depressive symptoms of person </w:t>
      </w:r>
      <w:r w:rsidR="00E33943">
        <w:rPr>
          <w:rFonts w:cs="Times New Roman"/>
          <w:i/>
          <w:iCs/>
          <w:szCs w:val="24"/>
        </w:rPr>
        <w:t xml:space="preserve">i </w:t>
      </w:r>
      <w:r w:rsidR="00E33943">
        <w:rPr>
          <w:rFonts w:cs="Times New Roman"/>
          <w:szCs w:val="24"/>
        </w:rPr>
        <w:t xml:space="preserve">at time </w:t>
      </w:r>
      <w:r w:rsidR="00E33943">
        <w:rPr>
          <w:rFonts w:cs="Times New Roman"/>
          <w:i/>
          <w:iCs/>
          <w:szCs w:val="24"/>
        </w:rPr>
        <w:t>t</w:t>
      </w:r>
      <w:r w:rsidR="00E33943">
        <w:rPr>
          <w:rFonts w:cs="Times New Roman"/>
          <w:szCs w:val="24"/>
        </w:rPr>
        <w:t xml:space="preserve">) and regressing </w:t>
      </w:r>
      <w:r w:rsidR="00E33943">
        <w:rPr>
          <w:rFonts w:cs="Times New Roman"/>
          <w:i/>
          <w:iCs/>
          <w:szCs w:val="24"/>
        </w:rPr>
        <w:t>m</w:t>
      </w:r>
      <w:r w:rsidR="00E33943">
        <w:rPr>
          <w:rFonts w:cs="Times New Roman"/>
          <w:i/>
          <w:iCs/>
          <w:szCs w:val="24"/>
          <w:vertAlign w:val="subscript"/>
        </w:rPr>
        <w:t xml:space="preserve">it </w:t>
      </w:r>
      <w:r w:rsidR="00E33943">
        <w:rPr>
          <w:rFonts w:cs="Times New Roman"/>
          <w:szCs w:val="24"/>
        </w:rPr>
        <w:t xml:space="preserve">on to </w:t>
      </w:r>
      <w:r w:rsidR="00E33943">
        <w:rPr>
          <w:rFonts w:cs="Times New Roman"/>
          <w:i/>
          <w:iCs/>
          <w:szCs w:val="24"/>
        </w:rPr>
        <w:t>y</w:t>
      </w:r>
      <w:r w:rsidR="00E33943">
        <w:rPr>
          <w:rFonts w:cs="Times New Roman"/>
          <w:i/>
          <w:iCs/>
          <w:szCs w:val="24"/>
          <w:vertAlign w:val="subscript"/>
        </w:rPr>
        <w:t>it</w:t>
      </w:r>
      <w:r w:rsidR="00E33943">
        <w:rPr>
          <w:rFonts w:cs="Times New Roman"/>
          <w:szCs w:val="24"/>
        </w:rPr>
        <w:t xml:space="preserve"> and </w:t>
      </w:r>
      <w:r w:rsidR="00E33943">
        <w:rPr>
          <w:rFonts w:cs="Times New Roman"/>
          <w:i/>
          <w:iCs/>
          <w:szCs w:val="24"/>
        </w:rPr>
        <w:t>y</w:t>
      </w:r>
      <w:r w:rsidR="00E33943">
        <w:rPr>
          <w:rFonts w:cs="Times New Roman"/>
          <w:i/>
          <w:iCs/>
          <w:szCs w:val="24"/>
          <w:vertAlign w:val="subscript"/>
        </w:rPr>
        <w:t>it</w:t>
      </w:r>
      <w:r w:rsidR="00E33943">
        <w:rPr>
          <w:rFonts w:cs="Times New Roman"/>
          <w:szCs w:val="24"/>
        </w:rPr>
        <w:t xml:space="preserve"> at the previous measurement occasion (i.e., </w:t>
      </w:r>
      <w:r w:rsidR="00E33943">
        <w:rPr>
          <w:rFonts w:cs="Times New Roman"/>
          <w:i/>
          <w:iCs/>
          <w:szCs w:val="24"/>
        </w:rPr>
        <w:t>y</w:t>
      </w:r>
      <w:r w:rsidR="00E33943">
        <w:rPr>
          <w:rFonts w:cs="Times New Roman"/>
          <w:i/>
          <w:iCs/>
          <w:szCs w:val="24"/>
          <w:vertAlign w:val="subscript"/>
        </w:rPr>
        <w:t>it-1</w:t>
      </w:r>
      <w:r w:rsidR="00E33943">
        <w:rPr>
          <w:rFonts w:cs="Times New Roman"/>
          <w:szCs w:val="24"/>
        </w:rPr>
        <w:t>; Diggle &amp; Kenward, 1994</w:t>
      </w:r>
      <w:r w:rsidR="00950003">
        <w:rPr>
          <w:rFonts w:cs="Times New Roman"/>
          <w:szCs w:val="24"/>
        </w:rPr>
        <w:t>; McNeish, 2024</w:t>
      </w:r>
      <w:r w:rsidR="00E33943">
        <w:rPr>
          <w:rFonts w:cs="Times New Roman"/>
          <w:szCs w:val="24"/>
        </w:rPr>
        <w:t xml:space="preserve">). The Diggle-Kenward component assesses if missingness tends to occur more often when participants report more depressive symptoms. Clearly, </w:t>
      </w:r>
      <w:r w:rsidR="00E33943">
        <w:rPr>
          <w:rFonts w:cs="Times New Roman"/>
          <w:i/>
          <w:iCs/>
          <w:szCs w:val="24"/>
        </w:rPr>
        <w:t>y</w:t>
      </w:r>
      <w:r w:rsidR="00E33943" w:rsidRPr="008841AC">
        <w:rPr>
          <w:rFonts w:cs="Times New Roman"/>
          <w:i/>
          <w:iCs/>
          <w:szCs w:val="24"/>
          <w:vertAlign w:val="subscript"/>
        </w:rPr>
        <w:t>it</w:t>
      </w:r>
      <w:r w:rsidR="00E33943">
        <w:rPr>
          <w:rFonts w:cs="Times New Roman"/>
          <w:i/>
          <w:iCs/>
          <w:szCs w:val="24"/>
        </w:rPr>
        <w:t xml:space="preserve"> </w:t>
      </w:r>
      <w:r w:rsidR="00E33943">
        <w:rPr>
          <w:rFonts w:cs="Times New Roman"/>
          <w:szCs w:val="24"/>
        </w:rPr>
        <w:t xml:space="preserve">is missing any time </w:t>
      </w:r>
      <w:r w:rsidR="00E33943">
        <w:rPr>
          <w:rFonts w:cs="Times New Roman"/>
          <w:i/>
          <w:iCs/>
          <w:szCs w:val="24"/>
        </w:rPr>
        <w:t>m</w:t>
      </w:r>
      <w:r w:rsidR="00E33943">
        <w:rPr>
          <w:rFonts w:cs="Times New Roman"/>
          <w:i/>
          <w:iCs/>
          <w:szCs w:val="24"/>
          <w:vertAlign w:val="subscript"/>
        </w:rPr>
        <w:t>it</w:t>
      </w:r>
      <w:r w:rsidR="00E33943">
        <w:rPr>
          <w:rFonts w:cs="Times New Roman"/>
          <w:szCs w:val="24"/>
        </w:rPr>
        <w:t xml:space="preserve"> = “1”, so the model must make distributional assumptions of </w:t>
      </w:r>
      <w:r w:rsidR="00E33943">
        <w:rPr>
          <w:rFonts w:cs="Times New Roman"/>
          <w:i/>
          <w:iCs/>
          <w:szCs w:val="24"/>
        </w:rPr>
        <w:t>y</w:t>
      </w:r>
      <w:r w:rsidR="00E33943" w:rsidRPr="00790C7A">
        <w:rPr>
          <w:rFonts w:cs="Times New Roman"/>
          <w:i/>
          <w:iCs/>
          <w:szCs w:val="24"/>
          <w:vertAlign w:val="subscript"/>
        </w:rPr>
        <w:t>it</w:t>
      </w:r>
      <w:r w:rsidR="00E33943">
        <w:rPr>
          <w:rFonts w:cs="Times New Roman"/>
          <w:szCs w:val="24"/>
        </w:rPr>
        <w:t xml:space="preserve"> (i.e., normally distributed, in the case of continuous outcomes) in order to be identifiable. Because we lack the ability to verify these distributional assumptions of </w:t>
      </w:r>
      <w:r w:rsidR="00E33943">
        <w:rPr>
          <w:rFonts w:cs="Times New Roman"/>
          <w:i/>
          <w:iCs/>
          <w:szCs w:val="24"/>
        </w:rPr>
        <w:t>y</w:t>
      </w:r>
      <w:r w:rsidR="00E33943" w:rsidRPr="00790C7A">
        <w:rPr>
          <w:rFonts w:cs="Times New Roman"/>
          <w:i/>
          <w:iCs/>
          <w:szCs w:val="24"/>
          <w:vertAlign w:val="subscript"/>
        </w:rPr>
        <w:t>it</w:t>
      </w:r>
      <w:r w:rsidR="00E33943">
        <w:rPr>
          <w:rFonts w:cs="Times New Roman"/>
          <w:szCs w:val="24"/>
        </w:rPr>
        <w:t xml:space="preserve">, we employ the Diggle-Kenward component as a sensitivity analysis for MAR but not a definitive test of the mechanisms by which data are missing </w:t>
      </w:r>
      <w:r w:rsidR="00470EAE">
        <w:rPr>
          <w:rFonts w:cs="Times New Roman"/>
          <w:szCs w:val="24"/>
        </w:rPr>
        <w:t xml:space="preserve">not </w:t>
      </w:r>
      <w:r w:rsidR="00E33943">
        <w:rPr>
          <w:rFonts w:cs="Times New Roman"/>
          <w:szCs w:val="24"/>
        </w:rPr>
        <w:t>at random (i.e., MNAR; Enders, 2023).</w:t>
      </w:r>
    </w:p>
    <w:p w14:paraId="69B83A96" w14:textId="5AEE63C3" w:rsidR="002A562A" w:rsidRDefault="00F97CD1" w:rsidP="00E33943">
      <w:pPr>
        <w:ind w:firstLine="720"/>
        <w:rPr>
          <w:rFonts w:cs="Times New Roman"/>
          <w:b/>
          <w:bCs/>
          <w:szCs w:val="24"/>
        </w:rPr>
      </w:pPr>
      <w:r>
        <w:rPr>
          <w:rFonts w:cs="Times New Roman"/>
          <w:szCs w:val="24"/>
        </w:rPr>
        <w:lastRenderedPageBreak/>
        <w:t xml:space="preserve">After adding the Diggle-Kenward component to the models testing Hypotheses 1 and 2, we </w:t>
      </w:r>
      <w:r w:rsidR="00C3226B" w:rsidRPr="00C3226B">
        <w:rPr>
          <w:rFonts w:cs="Times New Roman"/>
          <w:szCs w:val="24"/>
        </w:rPr>
        <w:t xml:space="preserve">find </w:t>
      </w:r>
      <w:r w:rsidR="00C2520E">
        <w:rPr>
          <w:rFonts w:cs="Times New Roman"/>
          <w:szCs w:val="24"/>
        </w:rPr>
        <w:t xml:space="preserve">evidence </w:t>
      </w:r>
      <w:r w:rsidR="00C3226B" w:rsidRPr="00C3226B">
        <w:rPr>
          <w:rFonts w:cs="Times New Roman"/>
          <w:szCs w:val="24"/>
        </w:rPr>
        <w:t xml:space="preserve">that our data </w:t>
      </w:r>
      <w:r w:rsidR="00C2520E">
        <w:rPr>
          <w:rFonts w:cs="Times New Roman"/>
          <w:szCs w:val="24"/>
        </w:rPr>
        <w:t>may be</w:t>
      </w:r>
      <w:r w:rsidR="00C3226B" w:rsidRPr="00C3226B">
        <w:rPr>
          <w:rFonts w:cs="Times New Roman"/>
          <w:szCs w:val="24"/>
        </w:rPr>
        <w:t xml:space="preserve"> missing not at random (MNAR). Namely, missingness is positively associated with our focal outcome such that participants with higher depressive symptoms at the current timepoint (</w:t>
      </w:r>
      <w:r w:rsidR="00C3226B" w:rsidRPr="00C2520E">
        <w:rPr>
          <w:rFonts w:cs="Times New Roman"/>
          <w:i/>
          <w:iCs/>
          <w:szCs w:val="24"/>
        </w:rPr>
        <w:t>t</w:t>
      </w:r>
      <w:r w:rsidR="00C3226B" w:rsidRPr="00C3226B">
        <w:rPr>
          <w:rFonts w:cs="Times New Roman"/>
          <w:szCs w:val="24"/>
        </w:rPr>
        <w:t>) and previous timepoint (</w:t>
      </w:r>
      <w:r w:rsidR="00C3226B" w:rsidRPr="00C2520E">
        <w:rPr>
          <w:rFonts w:cs="Times New Roman"/>
          <w:i/>
          <w:iCs/>
          <w:szCs w:val="24"/>
        </w:rPr>
        <w:t xml:space="preserve">t </w:t>
      </w:r>
      <w:r w:rsidR="00C3226B" w:rsidRPr="00C3226B">
        <w:rPr>
          <w:rFonts w:cs="Times New Roman"/>
          <w:szCs w:val="24"/>
        </w:rPr>
        <w:t xml:space="preserve">– 1) were more likely to drop out of our study. When plotting the trajectory of models that </w:t>
      </w:r>
      <w:r w:rsidR="00F9691D">
        <w:rPr>
          <w:rFonts w:cs="Times New Roman"/>
          <w:szCs w:val="24"/>
        </w:rPr>
        <w:t>account for MNAR in depressive symptoms (via the</w:t>
      </w:r>
      <w:r w:rsidR="00C3226B" w:rsidRPr="00C3226B">
        <w:rPr>
          <w:rFonts w:cs="Times New Roman"/>
          <w:szCs w:val="24"/>
        </w:rPr>
        <w:t xml:space="preserve"> Diggle-Kenward component</w:t>
      </w:r>
      <w:r w:rsidR="00F9691D">
        <w:rPr>
          <w:rFonts w:cs="Times New Roman"/>
          <w:szCs w:val="24"/>
        </w:rPr>
        <w:t>)</w:t>
      </w:r>
      <w:r w:rsidR="00C3226B" w:rsidRPr="00C3226B">
        <w:rPr>
          <w:rFonts w:cs="Times New Roman"/>
          <w:szCs w:val="24"/>
        </w:rPr>
        <w:t>, we</w:t>
      </w:r>
      <w:r w:rsidR="00C3226B">
        <w:rPr>
          <w:rFonts w:cs="Times New Roman"/>
          <w:szCs w:val="24"/>
        </w:rPr>
        <w:t xml:space="preserve"> find</w:t>
      </w:r>
      <w:r w:rsidR="00C3226B" w:rsidRPr="00C3226B">
        <w:rPr>
          <w:rFonts w:cs="Times New Roman"/>
          <w:szCs w:val="24"/>
        </w:rPr>
        <w:t xml:space="preserve"> that depressive symptoms in the pandemic cohort were predicted to be greater at all four time points</w:t>
      </w:r>
      <w:r w:rsidR="00B56141">
        <w:rPr>
          <w:rFonts w:cs="Times New Roman"/>
          <w:szCs w:val="24"/>
        </w:rPr>
        <w:t xml:space="preserve"> compared to the model that did not include the Diggle-Kenward component</w:t>
      </w:r>
      <w:r w:rsidR="00C3226B" w:rsidRPr="00C3226B">
        <w:rPr>
          <w:rFonts w:cs="Times New Roman"/>
          <w:szCs w:val="24"/>
        </w:rPr>
        <w:t>. Moreover, th</w:t>
      </w:r>
      <w:r w:rsidR="00AD7414">
        <w:rPr>
          <w:rFonts w:cs="Times New Roman"/>
          <w:szCs w:val="24"/>
        </w:rPr>
        <w:t>e</w:t>
      </w:r>
      <w:r w:rsidR="00C3226B" w:rsidRPr="00C3226B">
        <w:rPr>
          <w:rFonts w:cs="Times New Roman"/>
          <w:szCs w:val="24"/>
        </w:rPr>
        <w:t xml:space="preserve"> model </w:t>
      </w:r>
      <w:r w:rsidR="00AD7414">
        <w:rPr>
          <w:rFonts w:cs="Times New Roman"/>
          <w:szCs w:val="24"/>
        </w:rPr>
        <w:t xml:space="preserve">which included the Diggle-Kenward </w:t>
      </w:r>
      <w:r w:rsidR="00D03C6D">
        <w:rPr>
          <w:rFonts w:cs="Times New Roman"/>
          <w:szCs w:val="24"/>
        </w:rPr>
        <w:t>component predicted</w:t>
      </w:r>
      <w:r w:rsidR="00C3226B" w:rsidRPr="00C3226B">
        <w:rPr>
          <w:rFonts w:cs="Times New Roman"/>
          <w:szCs w:val="24"/>
        </w:rPr>
        <w:t xml:space="preserve"> that depressive symptoms trajectories in the pandemic cohort tend to</w:t>
      </w:r>
      <w:r w:rsidR="00C3226B" w:rsidRPr="00EA41FB">
        <w:rPr>
          <w:rFonts w:cs="Times New Roman"/>
          <w:i/>
          <w:iCs/>
          <w:szCs w:val="24"/>
        </w:rPr>
        <w:t xml:space="preserve"> increase </w:t>
      </w:r>
      <w:r w:rsidR="00C3226B" w:rsidRPr="00C3226B">
        <w:rPr>
          <w:rFonts w:cs="Times New Roman"/>
          <w:szCs w:val="24"/>
        </w:rPr>
        <w:t>curvilinearly from pregnancy to six-months postpartum, before declining thereafter</w:t>
      </w:r>
      <w:r w:rsidR="001F5D44">
        <w:rPr>
          <w:rFonts w:cs="Times New Roman"/>
          <w:szCs w:val="24"/>
        </w:rPr>
        <w:t xml:space="preserve"> (see Figure S2)</w:t>
      </w:r>
      <w:r w:rsidR="00C3226B" w:rsidRPr="00C3226B">
        <w:rPr>
          <w:rFonts w:cs="Times New Roman"/>
          <w:szCs w:val="24"/>
        </w:rPr>
        <w:t>.</w:t>
      </w:r>
      <w:r w:rsidR="00D03C6D">
        <w:rPr>
          <w:rFonts w:cs="Times New Roman"/>
          <w:szCs w:val="24"/>
        </w:rPr>
        <w:t xml:space="preserve"> These results </w:t>
      </w:r>
      <w:r w:rsidR="00ED3A02">
        <w:rPr>
          <w:rFonts w:cs="Times New Roman"/>
          <w:szCs w:val="24"/>
        </w:rPr>
        <w:t xml:space="preserve">suggest that </w:t>
      </w:r>
      <w:r w:rsidR="00D03C6D">
        <w:rPr>
          <w:rFonts w:cs="Times New Roman"/>
          <w:szCs w:val="24"/>
        </w:rPr>
        <w:t xml:space="preserve">failing to account for </w:t>
      </w:r>
      <w:r w:rsidR="00994544">
        <w:rPr>
          <w:rFonts w:cs="Times New Roman"/>
          <w:szCs w:val="24"/>
        </w:rPr>
        <w:t>the positive association between missingness and participants’ depression symptoms</w:t>
      </w:r>
      <w:r w:rsidR="000C656C">
        <w:rPr>
          <w:rFonts w:cs="Times New Roman"/>
          <w:szCs w:val="24"/>
        </w:rPr>
        <w:t xml:space="preserve"> may cause us to</w:t>
      </w:r>
      <w:r w:rsidR="00994544">
        <w:rPr>
          <w:rFonts w:cs="Times New Roman"/>
          <w:szCs w:val="24"/>
        </w:rPr>
        <w:t xml:space="preserve"> </w:t>
      </w:r>
      <w:r w:rsidR="000C656C">
        <w:rPr>
          <w:rFonts w:cs="Times New Roman"/>
          <w:szCs w:val="24"/>
        </w:rPr>
        <w:t>underestimate</w:t>
      </w:r>
      <w:r w:rsidR="00994544">
        <w:rPr>
          <w:rFonts w:cs="Times New Roman"/>
          <w:i/>
          <w:iCs/>
          <w:szCs w:val="24"/>
        </w:rPr>
        <w:t xml:space="preserve"> </w:t>
      </w:r>
      <w:r w:rsidR="00994544">
        <w:rPr>
          <w:rFonts w:cs="Times New Roman"/>
          <w:szCs w:val="24"/>
        </w:rPr>
        <w:t>the severity of depressive symptoms in the pandemic cohort.</w:t>
      </w:r>
      <w:r w:rsidR="00C3226B" w:rsidRPr="00C3226B">
        <w:rPr>
          <w:rFonts w:cs="Times New Roman"/>
          <w:szCs w:val="24"/>
        </w:rPr>
        <w:t xml:space="preserve"> Given that the Diggle-Kenward component assumes that the repeated measures are normally distributed (McNeish et al., 2024), we </w:t>
      </w:r>
      <w:r w:rsidR="00F771E7">
        <w:rPr>
          <w:rFonts w:cs="Times New Roman"/>
          <w:szCs w:val="24"/>
        </w:rPr>
        <w:t>cannot rely on these finds as a definitive test of the MNAR assumption</w:t>
      </w:r>
      <w:r w:rsidR="00C3226B" w:rsidRPr="00C3226B">
        <w:rPr>
          <w:rFonts w:cs="Times New Roman"/>
          <w:szCs w:val="24"/>
        </w:rPr>
        <w:t xml:space="preserve">. </w:t>
      </w:r>
      <w:r w:rsidR="000C656C">
        <w:rPr>
          <w:rFonts w:cs="Times New Roman"/>
          <w:szCs w:val="24"/>
        </w:rPr>
        <w:t>Nonetheless</w:t>
      </w:r>
      <w:r w:rsidR="00C3226B" w:rsidRPr="00C3226B">
        <w:rPr>
          <w:rFonts w:cs="Times New Roman"/>
          <w:szCs w:val="24"/>
        </w:rPr>
        <w:t>, we report the findings from this</w:t>
      </w:r>
      <w:r w:rsidR="00F771E7">
        <w:rPr>
          <w:rFonts w:cs="Times New Roman"/>
          <w:szCs w:val="24"/>
        </w:rPr>
        <w:t xml:space="preserve"> MNAR</w:t>
      </w:r>
      <w:r w:rsidR="00C3226B" w:rsidRPr="00C3226B">
        <w:rPr>
          <w:rFonts w:cs="Times New Roman"/>
          <w:szCs w:val="24"/>
        </w:rPr>
        <w:t xml:space="preserve"> sensitivity analysis </w:t>
      </w:r>
      <w:r w:rsidR="00901E37">
        <w:rPr>
          <w:rFonts w:cs="Times New Roman"/>
          <w:szCs w:val="24"/>
        </w:rPr>
        <w:t>to provide evidence that</w:t>
      </w:r>
      <w:r w:rsidR="00025600">
        <w:rPr>
          <w:rFonts w:cs="Times New Roman"/>
          <w:szCs w:val="24"/>
        </w:rPr>
        <w:t xml:space="preserve"> </w:t>
      </w:r>
      <w:r w:rsidR="00C3226B" w:rsidRPr="00C3226B">
        <w:rPr>
          <w:rFonts w:cs="Times New Roman"/>
          <w:szCs w:val="24"/>
        </w:rPr>
        <w:t>that participants with higher depressive symptoms may have been more likely to drop out</w:t>
      </w:r>
      <w:r w:rsidR="007F6DBE">
        <w:rPr>
          <w:rFonts w:cs="Times New Roman"/>
          <w:szCs w:val="24"/>
        </w:rPr>
        <w:t xml:space="preserve"> of our study</w:t>
      </w:r>
      <w:r w:rsidR="00D73B0E">
        <w:rPr>
          <w:rFonts w:cs="Times New Roman"/>
          <w:szCs w:val="24"/>
        </w:rPr>
        <w:t xml:space="preserve"> (</w:t>
      </w:r>
      <w:hyperlink r:id="rId4" w:history="1">
        <w:r w:rsidR="00D73B0E" w:rsidRPr="00FB7534">
          <w:rPr>
            <w:rStyle w:val="Hyperlink"/>
            <w:rFonts w:cs="Times New Roman"/>
            <w:szCs w:val="24"/>
          </w:rPr>
          <w:t>https://osf.io/bsdak/files/osfstorage</w:t>
        </w:r>
      </w:hyperlink>
      <w:r w:rsidR="003D0CA6">
        <w:t>;</w:t>
      </w:r>
      <w:r w:rsidR="003D0CA6">
        <w:t xml:space="preserve"> </w:t>
      </w:r>
      <w:r w:rsidR="003D0CA6" w:rsidRPr="00206F04">
        <w:rPr>
          <w:rFonts w:cs="Times New Roman"/>
          <w:color w:val="333333"/>
          <w:szCs w:val="24"/>
          <w:highlight w:val="white"/>
          <w:lang w:val="en"/>
        </w:rPr>
        <w:t>León</w:t>
      </w:r>
      <w:r w:rsidR="003D0CA6">
        <w:rPr>
          <w:rFonts w:cs="Times New Roman"/>
          <w:color w:val="333333"/>
          <w:szCs w:val="24"/>
        </w:rPr>
        <w:t xml:space="preserve"> et al., 2025</w:t>
      </w:r>
      <w:r w:rsidR="00D73B0E">
        <w:rPr>
          <w:rFonts w:cs="Times New Roman"/>
          <w:szCs w:val="24"/>
        </w:rPr>
        <w:t>).</w:t>
      </w:r>
    </w:p>
    <w:p w14:paraId="3CC4B574" w14:textId="7F1D64B0" w:rsidR="00156038" w:rsidRPr="004C0570" w:rsidRDefault="00156038" w:rsidP="00770CCC">
      <w:pPr>
        <w:rPr>
          <w:rFonts w:cs="Times New Roman"/>
          <w:b/>
          <w:bCs/>
          <w:szCs w:val="24"/>
        </w:rPr>
      </w:pPr>
      <w:r w:rsidRPr="004C0570">
        <w:rPr>
          <w:rFonts w:cs="Times New Roman"/>
          <w:b/>
          <w:bCs/>
          <w:szCs w:val="24"/>
        </w:rPr>
        <w:t>Factor Score Estimation</w:t>
      </w:r>
    </w:p>
    <w:p w14:paraId="69AD6327" w14:textId="5B8DBED8" w:rsidR="00103772" w:rsidRPr="004C0570" w:rsidRDefault="00103772" w:rsidP="00770CCC">
      <w:pPr>
        <w:rPr>
          <w:rFonts w:cs="Times New Roman"/>
          <w:szCs w:val="24"/>
        </w:rPr>
      </w:pPr>
      <w:r w:rsidRPr="004C0570">
        <w:rPr>
          <w:rFonts w:cs="Times New Roman"/>
          <w:szCs w:val="24"/>
        </w:rPr>
        <w:tab/>
      </w:r>
      <w:r w:rsidR="00DD5776">
        <w:rPr>
          <w:rFonts w:cs="Times New Roman"/>
          <w:szCs w:val="24"/>
        </w:rPr>
        <w:t>To estimate factor scores for the Beck Depression Inventory (BDI-II) and the Dyadic Adjustment Scale (DAS-7), w</w:t>
      </w:r>
      <w:r w:rsidR="00EF2343" w:rsidRPr="004C0570">
        <w:rPr>
          <w:rFonts w:cs="Times New Roman"/>
          <w:szCs w:val="24"/>
        </w:rPr>
        <w:t xml:space="preserve">e </w:t>
      </w:r>
      <w:r w:rsidR="00DA4424">
        <w:rPr>
          <w:rFonts w:cs="Times New Roman"/>
          <w:szCs w:val="24"/>
        </w:rPr>
        <w:t xml:space="preserve">first </w:t>
      </w:r>
      <w:r w:rsidR="001B79BF">
        <w:rPr>
          <w:rFonts w:cs="Times New Roman"/>
          <w:szCs w:val="24"/>
        </w:rPr>
        <w:t xml:space="preserve">compared the fit of a </w:t>
      </w:r>
      <w:r w:rsidR="00514434">
        <w:rPr>
          <w:rFonts w:cs="Times New Roman"/>
          <w:szCs w:val="24"/>
        </w:rPr>
        <w:t>parallel</w:t>
      </w:r>
      <w:r w:rsidR="001B79BF">
        <w:rPr>
          <w:rFonts w:cs="Times New Roman"/>
          <w:szCs w:val="24"/>
        </w:rPr>
        <w:t xml:space="preserve"> factor model and a </w:t>
      </w:r>
      <w:r w:rsidR="00514434">
        <w:rPr>
          <w:rFonts w:cs="Times New Roman"/>
          <w:szCs w:val="24"/>
        </w:rPr>
        <w:t>congeneric</w:t>
      </w:r>
      <w:r w:rsidR="001B79BF">
        <w:rPr>
          <w:rFonts w:cs="Times New Roman"/>
          <w:szCs w:val="24"/>
        </w:rPr>
        <w:t xml:space="preserve"> factor model for both the BDI-II and DAS-7. </w:t>
      </w:r>
      <w:r w:rsidR="00514434">
        <w:rPr>
          <w:rFonts w:cs="Times New Roman"/>
          <w:szCs w:val="24"/>
        </w:rPr>
        <w:t>A parallel factor model</w:t>
      </w:r>
      <w:r w:rsidR="000D1D30">
        <w:rPr>
          <w:rFonts w:cs="Times New Roman"/>
          <w:szCs w:val="24"/>
        </w:rPr>
        <w:t xml:space="preserve"> constrains</w:t>
      </w:r>
      <w:r w:rsidR="00514434">
        <w:rPr>
          <w:rFonts w:cs="Times New Roman"/>
          <w:szCs w:val="24"/>
        </w:rPr>
        <w:t xml:space="preserve"> factor loadings and </w:t>
      </w:r>
      <w:r w:rsidR="000D1D30">
        <w:rPr>
          <w:rFonts w:cs="Times New Roman"/>
          <w:szCs w:val="24"/>
        </w:rPr>
        <w:t xml:space="preserve">error </w:t>
      </w:r>
      <w:r w:rsidR="00514434">
        <w:rPr>
          <w:rFonts w:cs="Times New Roman"/>
          <w:szCs w:val="24"/>
        </w:rPr>
        <w:t xml:space="preserve">variances </w:t>
      </w:r>
      <w:r w:rsidR="000D1D30">
        <w:rPr>
          <w:rFonts w:cs="Times New Roman"/>
          <w:szCs w:val="24"/>
        </w:rPr>
        <w:t>to be</w:t>
      </w:r>
      <w:r w:rsidR="00514434">
        <w:rPr>
          <w:rFonts w:cs="Times New Roman"/>
          <w:szCs w:val="24"/>
        </w:rPr>
        <w:t xml:space="preserve"> equal across all items</w:t>
      </w:r>
      <w:r w:rsidR="0029012A">
        <w:rPr>
          <w:rFonts w:cs="Times New Roman"/>
          <w:szCs w:val="24"/>
        </w:rPr>
        <w:t>, which</w:t>
      </w:r>
      <w:r w:rsidR="000D1D30">
        <w:rPr>
          <w:rFonts w:cs="Times New Roman"/>
          <w:szCs w:val="24"/>
        </w:rPr>
        <w:t xml:space="preserve"> assumes that all </w:t>
      </w:r>
      <w:r w:rsidR="00720699">
        <w:rPr>
          <w:rFonts w:cs="Times New Roman"/>
          <w:szCs w:val="24"/>
        </w:rPr>
        <w:t xml:space="preserve">items </w:t>
      </w:r>
      <w:r w:rsidR="007A27B3">
        <w:rPr>
          <w:rFonts w:cs="Times New Roman"/>
          <w:szCs w:val="24"/>
        </w:rPr>
        <w:t xml:space="preserve">are mathematically interchangeable and </w:t>
      </w:r>
      <w:r w:rsidR="00251451">
        <w:rPr>
          <w:rFonts w:cs="Times New Roman"/>
          <w:szCs w:val="24"/>
        </w:rPr>
        <w:t>measure</w:t>
      </w:r>
      <w:r w:rsidR="00720699">
        <w:rPr>
          <w:rFonts w:cs="Times New Roman"/>
          <w:szCs w:val="24"/>
        </w:rPr>
        <w:t xml:space="preserve"> the latent construct with the same precision</w:t>
      </w:r>
      <w:r w:rsidR="00514434">
        <w:rPr>
          <w:rFonts w:cs="Times New Roman"/>
          <w:szCs w:val="24"/>
        </w:rPr>
        <w:t xml:space="preserve">. </w:t>
      </w:r>
      <w:r w:rsidR="00281334">
        <w:rPr>
          <w:rFonts w:cs="Times New Roman"/>
          <w:szCs w:val="24"/>
        </w:rPr>
        <w:t xml:space="preserve">The parallel factor model is the </w:t>
      </w:r>
      <w:r w:rsidR="00566441">
        <w:rPr>
          <w:rFonts w:cs="Times New Roman"/>
          <w:szCs w:val="24"/>
        </w:rPr>
        <w:t xml:space="preserve">implicitly </w:t>
      </w:r>
      <w:r w:rsidR="00281334">
        <w:rPr>
          <w:rFonts w:cs="Times New Roman"/>
          <w:szCs w:val="24"/>
        </w:rPr>
        <w:t>assumed</w:t>
      </w:r>
      <w:r w:rsidR="00220795">
        <w:rPr>
          <w:rFonts w:cs="Times New Roman"/>
          <w:szCs w:val="24"/>
        </w:rPr>
        <w:t xml:space="preserve"> factor structure when s</w:t>
      </w:r>
      <w:r w:rsidR="00281334">
        <w:rPr>
          <w:rFonts w:cs="Times New Roman"/>
          <w:szCs w:val="24"/>
        </w:rPr>
        <w:t>um scores or mean scores are derived from a scale (McNeish &amp; Wolf, 2020)</w:t>
      </w:r>
      <w:r w:rsidR="008E03DA">
        <w:rPr>
          <w:rFonts w:cs="Times New Roman"/>
          <w:szCs w:val="24"/>
        </w:rPr>
        <w:t>.</w:t>
      </w:r>
      <w:r w:rsidR="00BC4EB7">
        <w:rPr>
          <w:rFonts w:cs="Times New Roman"/>
          <w:szCs w:val="24"/>
        </w:rPr>
        <w:t xml:space="preserve"> Parallel factor models are highly restrictive and </w:t>
      </w:r>
      <w:r w:rsidR="00BD692E">
        <w:rPr>
          <w:rFonts w:cs="Times New Roman"/>
          <w:szCs w:val="24"/>
        </w:rPr>
        <w:t>are unlike</w:t>
      </w:r>
      <w:r w:rsidR="00281334">
        <w:rPr>
          <w:rFonts w:cs="Times New Roman"/>
          <w:szCs w:val="24"/>
        </w:rPr>
        <w:t>ly</w:t>
      </w:r>
      <w:r w:rsidR="00BD692E">
        <w:rPr>
          <w:rFonts w:cs="Times New Roman"/>
          <w:szCs w:val="24"/>
        </w:rPr>
        <w:t xml:space="preserve"> to capture differences in the associations between </w:t>
      </w:r>
      <w:r w:rsidR="00560618">
        <w:rPr>
          <w:rFonts w:cs="Times New Roman"/>
          <w:szCs w:val="24"/>
        </w:rPr>
        <w:t>each item and the latent construct</w:t>
      </w:r>
      <w:r w:rsidR="00BD692E">
        <w:rPr>
          <w:rFonts w:cs="Times New Roman"/>
          <w:szCs w:val="24"/>
        </w:rPr>
        <w:t>. An alternative to the parallel factor model is the</w:t>
      </w:r>
      <w:r w:rsidR="001B79BF">
        <w:rPr>
          <w:rFonts w:cs="Times New Roman"/>
          <w:szCs w:val="24"/>
        </w:rPr>
        <w:t xml:space="preserve"> c</w:t>
      </w:r>
      <w:r w:rsidR="00EF2343" w:rsidRPr="004C0570">
        <w:rPr>
          <w:rFonts w:cs="Times New Roman"/>
          <w:szCs w:val="24"/>
        </w:rPr>
        <w:t>ongeneric factor model</w:t>
      </w:r>
      <w:r w:rsidR="00BD692E">
        <w:rPr>
          <w:rFonts w:cs="Times New Roman"/>
          <w:szCs w:val="24"/>
        </w:rPr>
        <w:t>, which allows</w:t>
      </w:r>
      <w:r w:rsidR="00287B86" w:rsidRPr="004C0570">
        <w:rPr>
          <w:rFonts w:cs="Times New Roman"/>
          <w:szCs w:val="24"/>
        </w:rPr>
        <w:t xml:space="preserve"> </w:t>
      </w:r>
      <w:r w:rsidR="001C0BA2" w:rsidRPr="004C0570">
        <w:rPr>
          <w:rFonts w:cs="Times New Roman"/>
          <w:szCs w:val="24"/>
        </w:rPr>
        <w:t>factor loadings</w:t>
      </w:r>
      <w:r w:rsidR="00287B86" w:rsidRPr="004C0570">
        <w:rPr>
          <w:rFonts w:cs="Times New Roman"/>
          <w:szCs w:val="24"/>
        </w:rPr>
        <w:t xml:space="preserve"> and </w:t>
      </w:r>
      <w:r w:rsidR="004851F1" w:rsidRPr="004C0570">
        <w:rPr>
          <w:rFonts w:cs="Times New Roman"/>
          <w:szCs w:val="24"/>
        </w:rPr>
        <w:t xml:space="preserve">error </w:t>
      </w:r>
      <w:r w:rsidR="00287B86" w:rsidRPr="004C0570">
        <w:rPr>
          <w:rFonts w:cs="Times New Roman"/>
          <w:szCs w:val="24"/>
        </w:rPr>
        <w:t>variances</w:t>
      </w:r>
      <w:r w:rsidR="001B79BF">
        <w:rPr>
          <w:rFonts w:cs="Times New Roman"/>
          <w:szCs w:val="24"/>
        </w:rPr>
        <w:t xml:space="preserve"> </w:t>
      </w:r>
      <w:r w:rsidR="00BD692E">
        <w:rPr>
          <w:rFonts w:cs="Times New Roman"/>
          <w:szCs w:val="24"/>
        </w:rPr>
        <w:t xml:space="preserve">to </w:t>
      </w:r>
      <w:r w:rsidR="00D226D1">
        <w:rPr>
          <w:rFonts w:cs="Times New Roman"/>
          <w:szCs w:val="24"/>
        </w:rPr>
        <w:t>vary freely across items</w:t>
      </w:r>
      <w:r w:rsidR="00221C22">
        <w:rPr>
          <w:rFonts w:cs="Times New Roman"/>
          <w:szCs w:val="24"/>
        </w:rPr>
        <w:t xml:space="preserve"> and accounts for measurement error</w:t>
      </w:r>
      <w:r w:rsidR="001B79BF">
        <w:rPr>
          <w:rFonts w:cs="Times New Roman"/>
          <w:szCs w:val="24"/>
        </w:rPr>
        <w:t>.</w:t>
      </w:r>
      <w:r w:rsidR="004851F1" w:rsidRPr="004C0570">
        <w:rPr>
          <w:rFonts w:cs="Times New Roman"/>
          <w:szCs w:val="24"/>
        </w:rPr>
        <w:t xml:space="preserve"> </w:t>
      </w:r>
      <w:r w:rsidR="00AB0063">
        <w:rPr>
          <w:rFonts w:cs="Times New Roman"/>
          <w:szCs w:val="24"/>
        </w:rPr>
        <w:t>Congeneric factor models often outperf</w:t>
      </w:r>
      <w:r w:rsidR="00151984">
        <w:rPr>
          <w:rFonts w:cs="Times New Roman"/>
          <w:szCs w:val="24"/>
        </w:rPr>
        <w:t xml:space="preserve">orm </w:t>
      </w:r>
      <w:r w:rsidR="003D4126">
        <w:rPr>
          <w:rFonts w:cs="Times New Roman"/>
          <w:szCs w:val="24"/>
        </w:rPr>
        <w:t xml:space="preserve">parallel factor models in empirical samples and are preferred </w:t>
      </w:r>
      <w:r w:rsidR="006B0C0F">
        <w:rPr>
          <w:rFonts w:cs="Times New Roman"/>
          <w:szCs w:val="24"/>
        </w:rPr>
        <w:t xml:space="preserve">because they account for </w:t>
      </w:r>
      <w:r w:rsidR="0041454B">
        <w:rPr>
          <w:rFonts w:cs="Times New Roman"/>
          <w:szCs w:val="24"/>
        </w:rPr>
        <w:t>between-item differences in precision and reliability</w:t>
      </w:r>
      <w:r w:rsidR="004B7D5A" w:rsidRPr="004C0570">
        <w:rPr>
          <w:rFonts w:cs="Times New Roman"/>
          <w:szCs w:val="24"/>
        </w:rPr>
        <w:t xml:space="preserve"> (McNeish &amp; Wolf, 2020).</w:t>
      </w:r>
      <w:r w:rsidR="00DC253C" w:rsidRPr="004C0570">
        <w:rPr>
          <w:rFonts w:cs="Times New Roman"/>
          <w:szCs w:val="24"/>
        </w:rPr>
        <w:t xml:space="preserve"> </w:t>
      </w:r>
      <w:r w:rsidR="0041454B">
        <w:rPr>
          <w:rFonts w:cs="Times New Roman"/>
          <w:szCs w:val="24"/>
        </w:rPr>
        <w:t>In our sample, w</w:t>
      </w:r>
      <w:r w:rsidR="00DC253C" w:rsidRPr="004C0570">
        <w:rPr>
          <w:rFonts w:cs="Times New Roman"/>
          <w:szCs w:val="24"/>
        </w:rPr>
        <w:t>e used</w:t>
      </w:r>
      <w:r w:rsidR="00ED4EF7">
        <w:rPr>
          <w:rFonts w:cs="Times New Roman"/>
          <w:szCs w:val="24"/>
        </w:rPr>
        <w:t xml:space="preserve"> the </w:t>
      </w:r>
      <w:r w:rsidR="00ED4EF7" w:rsidRPr="004C0570">
        <w:rPr>
          <w:rFonts w:cs="Times New Roman"/>
          <w:szCs w:val="24"/>
        </w:rPr>
        <w:t>comparative fit index (CFI),</w:t>
      </w:r>
      <w:r w:rsidR="00DC253C" w:rsidRPr="004C0570">
        <w:rPr>
          <w:rFonts w:cs="Times New Roman"/>
          <w:szCs w:val="24"/>
        </w:rPr>
        <w:t xml:space="preserve"> root mean squared error of approximation (RMSEA),</w:t>
      </w:r>
      <w:r w:rsidR="00484AFD" w:rsidRPr="004C0570">
        <w:rPr>
          <w:rFonts w:cs="Times New Roman"/>
          <w:szCs w:val="24"/>
        </w:rPr>
        <w:t xml:space="preserve"> and the Bayesian Information Criteria (BIC) to evaluate differences in model fit</w:t>
      </w:r>
      <w:r w:rsidR="0041454B">
        <w:rPr>
          <w:rFonts w:cs="Times New Roman"/>
          <w:szCs w:val="24"/>
        </w:rPr>
        <w:t xml:space="preserve"> between </w:t>
      </w:r>
      <w:r w:rsidR="005C7CCC">
        <w:rPr>
          <w:rFonts w:cs="Times New Roman"/>
          <w:szCs w:val="24"/>
        </w:rPr>
        <w:t>parallel and congeneric factor models for both the BDI-II and DAS-7</w:t>
      </w:r>
      <w:r w:rsidR="00484AFD" w:rsidRPr="004C0570">
        <w:rPr>
          <w:rFonts w:cs="Times New Roman"/>
          <w:szCs w:val="24"/>
        </w:rPr>
        <w:t>.</w:t>
      </w:r>
      <w:r w:rsidR="004851F1" w:rsidRPr="004C0570">
        <w:rPr>
          <w:rFonts w:cs="Times New Roman"/>
          <w:szCs w:val="24"/>
        </w:rPr>
        <w:t xml:space="preserve"> </w:t>
      </w:r>
      <w:r w:rsidR="005C7CCC">
        <w:rPr>
          <w:rFonts w:cs="Times New Roman"/>
          <w:szCs w:val="24"/>
        </w:rPr>
        <w:t xml:space="preserve">In our total sample, we </w:t>
      </w:r>
      <w:r w:rsidR="00971139" w:rsidRPr="004C0570">
        <w:rPr>
          <w:rFonts w:cs="Times New Roman"/>
          <w:szCs w:val="24"/>
        </w:rPr>
        <w:t>confirmed that the congeneric factor model</w:t>
      </w:r>
      <w:r w:rsidR="00DC253C" w:rsidRPr="004C0570">
        <w:rPr>
          <w:rFonts w:cs="Times New Roman"/>
          <w:szCs w:val="24"/>
        </w:rPr>
        <w:t xml:space="preserve"> (</w:t>
      </w:r>
      <w:r w:rsidR="00E937F7">
        <w:rPr>
          <w:rFonts w:cs="Times New Roman"/>
          <w:szCs w:val="24"/>
        </w:rPr>
        <w:t xml:space="preserve">CFI = .82; RMSEA = </w:t>
      </w:r>
      <w:r w:rsidR="00817312">
        <w:rPr>
          <w:rFonts w:cs="Times New Roman"/>
          <w:szCs w:val="24"/>
        </w:rPr>
        <w:t xml:space="preserve">.098; BIC = </w:t>
      </w:r>
      <w:r w:rsidR="00817312" w:rsidRPr="00817312">
        <w:rPr>
          <w:rFonts w:cs="Times New Roman"/>
          <w:szCs w:val="24"/>
        </w:rPr>
        <w:t>71395.</w:t>
      </w:r>
      <w:r w:rsidR="00817312">
        <w:rPr>
          <w:rFonts w:cs="Times New Roman"/>
          <w:szCs w:val="24"/>
        </w:rPr>
        <w:t>7</w:t>
      </w:r>
      <w:r w:rsidR="00DC253C" w:rsidRPr="004C0570">
        <w:rPr>
          <w:rFonts w:cs="Times New Roman"/>
          <w:szCs w:val="24"/>
        </w:rPr>
        <w:t>)</w:t>
      </w:r>
      <w:r w:rsidR="00971139" w:rsidRPr="004C0570">
        <w:rPr>
          <w:rFonts w:cs="Times New Roman"/>
          <w:szCs w:val="24"/>
        </w:rPr>
        <w:t xml:space="preserve"> had a superior fit to the parallel factor model</w:t>
      </w:r>
      <w:r w:rsidR="004B7D5A" w:rsidRPr="004C0570">
        <w:rPr>
          <w:rFonts w:cs="Times New Roman"/>
          <w:szCs w:val="24"/>
        </w:rPr>
        <w:t xml:space="preserve"> </w:t>
      </w:r>
      <w:r w:rsidR="00DC253C" w:rsidRPr="004C0570">
        <w:rPr>
          <w:rFonts w:cs="Times New Roman"/>
          <w:szCs w:val="24"/>
        </w:rPr>
        <w:t>(</w:t>
      </w:r>
      <w:r w:rsidR="00E937F7">
        <w:rPr>
          <w:rFonts w:cs="Times New Roman"/>
          <w:szCs w:val="24"/>
        </w:rPr>
        <w:t xml:space="preserve">CFI = .73; RMSEA = .088; </w:t>
      </w:r>
      <w:r w:rsidR="004A0450">
        <w:rPr>
          <w:rFonts w:cs="Times New Roman"/>
          <w:szCs w:val="24"/>
        </w:rPr>
        <w:t xml:space="preserve">BIC = </w:t>
      </w:r>
      <w:r w:rsidR="00817312" w:rsidRPr="00817312">
        <w:rPr>
          <w:rFonts w:cs="Times New Roman"/>
          <w:szCs w:val="24"/>
        </w:rPr>
        <w:t>70361.</w:t>
      </w:r>
      <w:r w:rsidR="00817312">
        <w:rPr>
          <w:rFonts w:cs="Times New Roman"/>
          <w:szCs w:val="24"/>
        </w:rPr>
        <w:t xml:space="preserve">1) </w:t>
      </w:r>
      <w:r w:rsidR="006D1BDE">
        <w:rPr>
          <w:rFonts w:cs="Times New Roman"/>
          <w:szCs w:val="24"/>
        </w:rPr>
        <w:t>for the BDI-II</w:t>
      </w:r>
      <w:r w:rsidR="00D12918" w:rsidRPr="004C0570">
        <w:rPr>
          <w:rFonts w:cs="Times New Roman"/>
          <w:szCs w:val="24"/>
        </w:rPr>
        <w:t>.</w:t>
      </w:r>
      <w:r w:rsidR="00817312">
        <w:rPr>
          <w:rFonts w:cs="Times New Roman"/>
          <w:szCs w:val="24"/>
        </w:rPr>
        <w:t xml:space="preserve"> Similarly, the </w:t>
      </w:r>
      <w:r w:rsidR="00A25985">
        <w:rPr>
          <w:rFonts w:cs="Times New Roman"/>
          <w:szCs w:val="24"/>
        </w:rPr>
        <w:t>congeneric</w:t>
      </w:r>
      <w:r w:rsidR="00616B1D">
        <w:rPr>
          <w:rFonts w:cs="Times New Roman"/>
          <w:szCs w:val="24"/>
        </w:rPr>
        <w:t xml:space="preserve"> factor model (</w:t>
      </w:r>
      <w:r w:rsidR="00BB05F3">
        <w:rPr>
          <w:rFonts w:cs="Times New Roman"/>
          <w:szCs w:val="24"/>
        </w:rPr>
        <w:t xml:space="preserve">CFI = .67; </w:t>
      </w:r>
      <w:r w:rsidR="00947008">
        <w:rPr>
          <w:rFonts w:cs="Times New Roman"/>
          <w:szCs w:val="24"/>
        </w:rPr>
        <w:t xml:space="preserve">RMSEA = .19; </w:t>
      </w:r>
      <w:r w:rsidR="003E25A6">
        <w:rPr>
          <w:rFonts w:cs="Times New Roman"/>
          <w:szCs w:val="24"/>
        </w:rPr>
        <w:t>BIC =</w:t>
      </w:r>
      <w:r w:rsidR="003E25A6" w:rsidRPr="003E25A6">
        <w:t xml:space="preserve"> </w:t>
      </w:r>
      <w:r w:rsidR="003E25A6" w:rsidRPr="003E25A6">
        <w:rPr>
          <w:rFonts w:cs="Times New Roman"/>
          <w:szCs w:val="24"/>
        </w:rPr>
        <w:t>13003.3</w:t>
      </w:r>
      <w:r w:rsidR="003E25A6">
        <w:rPr>
          <w:rFonts w:cs="Times New Roman"/>
          <w:szCs w:val="24"/>
        </w:rPr>
        <w:t>5</w:t>
      </w:r>
      <w:r w:rsidR="00616B1D">
        <w:rPr>
          <w:rFonts w:cs="Times New Roman"/>
          <w:szCs w:val="24"/>
        </w:rPr>
        <w:t xml:space="preserve">) had </w:t>
      </w:r>
      <w:r w:rsidR="005B3E55">
        <w:rPr>
          <w:rFonts w:cs="Times New Roman"/>
          <w:szCs w:val="24"/>
        </w:rPr>
        <w:t xml:space="preserve">a marginally better fit </w:t>
      </w:r>
      <w:r w:rsidR="003E25A6">
        <w:rPr>
          <w:rFonts w:cs="Times New Roman"/>
          <w:szCs w:val="24"/>
        </w:rPr>
        <w:t>to the</w:t>
      </w:r>
      <w:r w:rsidR="00EA6301">
        <w:rPr>
          <w:rFonts w:cs="Times New Roman"/>
          <w:szCs w:val="24"/>
        </w:rPr>
        <w:t xml:space="preserve"> DAS-7 compared</w:t>
      </w:r>
      <w:r w:rsidR="00616B1D">
        <w:rPr>
          <w:rFonts w:cs="Times New Roman"/>
          <w:szCs w:val="24"/>
        </w:rPr>
        <w:t xml:space="preserve"> to the parallel factor model (</w:t>
      </w:r>
      <w:r w:rsidR="003E25A6">
        <w:rPr>
          <w:rFonts w:cs="Times New Roman"/>
          <w:szCs w:val="24"/>
        </w:rPr>
        <w:t>CFI = .</w:t>
      </w:r>
      <w:r w:rsidR="00F572F1">
        <w:rPr>
          <w:rFonts w:cs="Times New Roman"/>
          <w:szCs w:val="24"/>
        </w:rPr>
        <w:t>55</w:t>
      </w:r>
      <w:r w:rsidR="003E25A6">
        <w:rPr>
          <w:rFonts w:cs="Times New Roman"/>
          <w:szCs w:val="24"/>
        </w:rPr>
        <w:t>; RMSEA = .1</w:t>
      </w:r>
      <w:r w:rsidR="00F572F1">
        <w:rPr>
          <w:rFonts w:cs="Times New Roman"/>
          <w:szCs w:val="24"/>
        </w:rPr>
        <w:t>7</w:t>
      </w:r>
      <w:r w:rsidR="003E25A6">
        <w:rPr>
          <w:rFonts w:cs="Times New Roman"/>
          <w:szCs w:val="24"/>
        </w:rPr>
        <w:t>; BIC =</w:t>
      </w:r>
      <w:r w:rsidR="003E25A6" w:rsidRPr="003E25A6">
        <w:t xml:space="preserve"> </w:t>
      </w:r>
      <w:r w:rsidR="003E25A6" w:rsidRPr="003E25A6">
        <w:rPr>
          <w:rFonts w:cs="Times New Roman"/>
          <w:szCs w:val="24"/>
        </w:rPr>
        <w:t>130</w:t>
      </w:r>
      <w:r w:rsidR="00F572F1">
        <w:rPr>
          <w:rFonts w:cs="Times New Roman"/>
          <w:szCs w:val="24"/>
        </w:rPr>
        <w:t>90.6</w:t>
      </w:r>
      <w:r w:rsidR="00616B1D">
        <w:rPr>
          <w:rFonts w:cs="Times New Roman"/>
          <w:szCs w:val="24"/>
        </w:rPr>
        <w:t>).</w:t>
      </w:r>
      <w:r w:rsidR="00144305">
        <w:rPr>
          <w:rFonts w:cs="Times New Roman"/>
          <w:szCs w:val="24"/>
        </w:rPr>
        <w:t xml:space="preserve"> </w:t>
      </w:r>
      <w:r w:rsidR="00494878">
        <w:rPr>
          <w:rFonts w:cs="Times New Roman"/>
          <w:szCs w:val="24"/>
        </w:rPr>
        <w:t>We</w:t>
      </w:r>
      <w:r w:rsidR="006A4833">
        <w:rPr>
          <w:rFonts w:cs="Times New Roman"/>
          <w:szCs w:val="24"/>
        </w:rPr>
        <w:t xml:space="preserve"> proceeded</w:t>
      </w:r>
      <w:r w:rsidR="003A2CC6">
        <w:rPr>
          <w:rFonts w:cs="Times New Roman"/>
          <w:szCs w:val="24"/>
        </w:rPr>
        <w:t xml:space="preserve"> </w:t>
      </w:r>
      <w:r w:rsidR="00494878">
        <w:rPr>
          <w:rFonts w:cs="Times New Roman"/>
          <w:szCs w:val="24"/>
        </w:rPr>
        <w:t xml:space="preserve">with estimating factor scores </w:t>
      </w:r>
      <w:r w:rsidR="00D3758D">
        <w:rPr>
          <w:rFonts w:cs="Times New Roman"/>
          <w:szCs w:val="24"/>
        </w:rPr>
        <w:t>from</w:t>
      </w:r>
      <w:r w:rsidR="003A2CC6">
        <w:rPr>
          <w:rFonts w:cs="Times New Roman"/>
          <w:szCs w:val="24"/>
        </w:rPr>
        <w:t xml:space="preserve"> </w:t>
      </w:r>
      <w:r w:rsidR="00D3758D">
        <w:rPr>
          <w:rFonts w:cs="Times New Roman"/>
          <w:szCs w:val="24"/>
        </w:rPr>
        <w:t xml:space="preserve">the </w:t>
      </w:r>
      <w:r w:rsidR="003A2CC6">
        <w:rPr>
          <w:rFonts w:cs="Times New Roman"/>
          <w:szCs w:val="24"/>
        </w:rPr>
        <w:t xml:space="preserve">congeneric model rather than </w:t>
      </w:r>
      <w:r w:rsidR="000F7BA2">
        <w:rPr>
          <w:rFonts w:cs="Times New Roman"/>
          <w:szCs w:val="24"/>
        </w:rPr>
        <w:t>computing</w:t>
      </w:r>
      <w:r w:rsidR="003A2CC6">
        <w:rPr>
          <w:rFonts w:cs="Times New Roman"/>
          <w:szCs w:val="24"/>
        </w:rPr>
        <w:t xml:space="preserve"> sum or mean scores</w:t>
      </w:r>
      <w:r w:rsidR="00494878">
        <w:rPr>
          <w:rFonts w:cs="Times New Roman"/>
          <w:szCs w:val="24"/>
        </w:rPr>
        <w:t xml:space="preserve"> from the parallel factor model</w:t>
      </w:r>
      <w:r w:rsidR="00733EF6">
        <w:rPr>
          <w:rFonts w:cs="Times New Roman"/>
          <w:szCs w:val="24"/>
        </w:rPr>
        <w:t xml:space="preserve"> which fit our data demonstratively worse</w:t>
      </w:r>
      <w:r w:rsidR="00494878">
        <w:rPr>
          <w:rFonts w:cs="Times New Roman"/>
          <w:szCs w:val="24"/>
        </w:rPr>
        <w:t xml:space="preserve">. However, we </w:t>
      </w:r>
      <w:r w:rsidR="00733EF6">
        <w:rPr>
          <w:rFonts w:cs="Times New Roman"/>
          <w:szCs w:val="24"/>
        </w:rPr>
        <w:t>acknowledge that</w:t>
      </w:r>
      <w:r w:rsidR="003A2CC6">
        <w:rPr>
          <w:rFonts w:cs="Times New Roman"/>
          <w:szCs w:val="24"/>
        </w:rPr>
        <w:t xml:space="preserve"> </w:t>
      </w:r>
      <w:r w:rsidR="00D3758D">
        <w:rPr>
          <w:rFonts w:cs="Times New Roman"/>
          <w:szCs w:val="24"/>
        </w:rPr>
        <w:t xml:space="preserve">model fit of both the congeneric model </w:t>
      </w:r>
      <w:r w:rsidR="00D3758D">
        <w:rPr>
          <w:rFonts w:cs="Times New Roman"/>
          <w:szCs w:val="24"/>
        </w:rPr>
        <w:lastRenderedPageBreak/>
        <w:t xml:space="preserve">and parallel factor model was relatively poor. </w:t>
      </w:r>
      <w:r w:rsidR="00D95C71">
        <w:rPr>
          <w:rFonts w:cs="Times New Roman"/>
          <w:szCs w:val="24"/>
        </w:rPr>
        <w:t xml:space="preserve">Full model summaries of the parallel and congeneric fits </w:t>
      </w:r>
      <w:r w:rsidR="00464564">
        <w:rPr>
          <w:rFonts w:cs="Times New Roman"/>
          <w:szCs w:val="24"/>
        </w:rPr>
        <w:t>are publicly available through the Open Science Framework (</w:t>
      </w:r>
      <w:hyperlink r:id="rId5" w:history="1">
        <w:r w:rsidR="00464564" w:rsidRPr="5871A29B">
          <w:rPr>
            <w:rStyle w:val="Hyperlink"/>
            <w:rFonts w:cs="Times New Roman"/>
            <w:szCs w:val="24"/>
          </w:rPr>
          <w:t>https://osf.io/bsdak/files/osfstorage</w:t>
        </w:r>
      </w:hyperlink>
      <w:r w:rsidR="003D0CA6">
        <w:t xml:space="preserve">; </w:t>
      </w:r>
      <w:r w:rsidR="003D0CA6" w:rsidRPr="00206F04">
        <w:rPr>
          <w:rFonts w:cs="Times New Roman"/>
          <w:color w:val="333333"/>
          <w:szCs w:val="24"/>
          <w:highlight w:val="white"/>
          <w:lang w:val="en"/>
        </w:rPr>
        <w:t>León</w:t>
      </w:r>
      <w:r w:rsidR="003D0CA6">
        <w:rPr>
          <w:rFonts w:cs="Times New Roman"/>
          <w:color w:val="333333"/>
          <w:szCs w:val="24"/>
        </w:rPr>
        <w:t xml:space="preserve"> et al., 2025</w:t>
      </w:r>
      <w:r w:rsidR="00464564">
        <w:rPr>
          <w:rStyle w:val="Hyperlink"/>
          <w:rFonts w:cs="Times New Roman"/>
          <w:szCs w:val="24"/>
        </w:rPr>
        <w:t>)</w:t>
      </w:r>
      <w:r w:rsidR="00D95C71">
        <w:rPr>
          <w:rFonts w:cs="Times New Roman"/>
          <w:szCs w:val="24"/>
        </w:rPr>
        <w:t>.</w:t>
      </w:r>
    </w:p>
    <w:p w14:paraId="6ADE3C33" w14:textId="3345E414" w:rsidR="00156038" w:rsidRPr="004C0570" w:rsidRDefault="00156038" w:rsidP="00770CCC">
      <w:pPr>
        <w:rPr>
          <w:rFonts w:cs="Times New Roman"/>
          <w:b/>
          <w:bCs/>
          <w:szCs w:val="24"/>
        </w:rPr>
      </w:pPr>
      <w:r w:rsidRPr="004C0570">
        <w:rPr>
          <w:rFonts w:cs="Times New Roman"/>
          <w:b/>
          <w:bCs/>
          <w:szCs w:val="24"/>
        </w:rPr>
        <w:t>Measurement invariance</w:t>
      </w:r>
    </w:p>
    <w:p w14:paraId="44062857" w14:textId="1639DE17" w:rsidR="00486631" w:rsidRPr="00486631" w:rsidRDefault="00D12918" w:rsidP="00BC688A">
      <w:pPr>
        <w:rPr>
          <w:rFonts w:cs="Times New Roman"/>
          <w:szCs w:val="24"/>
          <w:lang w:val="en"/>
        </w:rPr>
      </w:pPr>
      <w:r w:rsidRPr="004C0570">
        <w:rPr>
          <w:rFonts w:cs="Times New Roman"/>
          <w:szCs w:val="24"/>
        </w:rPr>
        <w:tab/>
      </w:r>
      <w:r w:rsidR="007D1538">
        <w:rPr>
          <w:rFonts w:cs="Times New Roman"/>
          <w:szCs w:val="24"/>
        </w:rPr>
        <w:t>Next,</w:t>
      </w:r>
      <w:r w:rsidRPr="004C0570">
        <w:rPr>
          <w:rFonts w:cs="Times New Roman"/>
          <w:szCs w:val="24"/>
        </w:rPr>
        <w:t xml:space="preserve"> we conducted </w:t>
      </w:r>
      <w:r w:rsidR="00156038" w:rsidRPr="004C0570">
        <w:rPr>
          <w:rFonts w:cs="Times New Roman"/>
          <w:szCs w:val="24"/>
        </w:rPr>
        <w:t xml:space="preserve">a formal test of measurement invariance </w:t>
      </w:r>
      <w:r w:rsidR="007D1538">
        <w:rPr>
          <w:rFonts w:cs="Times New Roman"/>
          <w:szCs w:val="24"/>
        </w:rPr>
        <w:t xml:space="preserve">to validate that the </w:t>
      </w:r>
      <w:r w:rsidR="00883013">
        <w:rPr>
          <w:rFonts w:cs="Times New Roman"/>
          <w:szCs w:val="24"/>
        </w:rPr>
        <w:t xml:space="preserve">congeneric </w:t>
      </w:r>
      <w:r w:rsidR="007D1538">
        <w:rPr>
          <w:rFonts w:cs="Times New Roman"/>
          <w:szCs w:val="24"/>
        </w:rPr>
        <w:t xml:space="preserve">factor structure of the </w:t>
      </w:r>
      <w:r w:rsidR="00883013">
        <w:rPr>
          <w:rFonts w:cs="Times New Roman"/>
          <w:szCs w:val="24"/>
        </w:rPr>
        <w:t>BDI-II and DAS-7</w:t>
      </w:r>
      <w:r w:rsidR="00883013" w:rsidRPr="00883013">
        <w:rPr>
          <w:rFonts w:cs="Times New Roman"/>
          <w:szCs w:val="24"/>
        </w:rPr>
        <w:t xml:space="preserve"> </w:t>
      </w:r>
      <w:r w:rsidR="00883013">
        <w:rPr>
          <w:rFonts w:cs="Times New Roman"/>
          <w:szCs w:val="24"/>
        </w:rPr>
        <w:t xml:space="preserve">were consistent across time </w:t>
      </w:r>
      <w:r w:rsidR="00883013" w:rsidRPr="004C0570">
        <w:rPr>
          <w:rFonts w:cs="Times New Roman"/>
          <w:szCs w:val="24"/>
        </w:rPr>
        <w:t xml:space="preserve">(i.e., pregnancy to 12-months postpartum) and </w:t>
      </w:r>
      <w:r w:rsidR="00883013">
        <w:rPr>
          <w:rFonts w:cs="Times New Roman"/>
          <w:szCs w:val="24"/>
        </w:rPr>
        <w:t>cohorts</w:t>
      </w:r>
      <w:r w:rsidR="00883013" w:rsidRPr="004C0570">
        <w:rPr>
          <w:rFonts w:cs="Times New Roman"/>
          <w:szCs w:val="24"/>
        </w:rPr>
        <w:t xml:space="preserve"> (i.e., pandemic and pre-pandemic)</w:t>
      </w:r>
      <w:r w:rsidR="001264E3" w:rsidRPr="004C0570">
        <w:rPr>
          <w:rFonts w:cs="Times New Roman"/>
          <w:szCs w:val="24"/>
        </w:rPr>
        <w:t>.</w:t>
      </w:r>
      <w:r w:rsidR="00486631" w:rsidRPr="00486631">
        <w:rPr>
          <w:rFonts w:cs="Times New Roman"/>
          <w:szCs w:val="24"/>
          <w:lang w:val="en"/>
        </w:rPr>
        <w:t xml:space="preserve"> We tested measurement invariance with respect to eight groups (i.e., two cohorts by four timepoints) in stepwise order starting with configural invariance (equivalent factor structure), metric invariance (equivalent factor loadings), and scalar invariance (equivalent factor loadings and intercepts across groups). Given scalar invariance is required to justify comparison in factor scores across group</w:t>
      </w:r>
      <w:r w:rsidR="00E16B7C">
        <w:rPr>
          <w:rFonts w:cs="Times New Roman"/>
          <w:szCs w:val="24"/>
          <w:lang w:val="en"/>
        </w:rPr>
        <w:t xml:space="preserve"> and </w:t>
      </w:r>
      <w:r w:rsidR="00486631" w:rsidRPr="00486631">
        <w:rPr>
          <w:rFonts w:cs="Times New Roman"/>
          <w:szCs w:val="24"/>
          <w:lang w:val="en"/>
        </w:rPr>
        <w:t xml:space="preserve">time, we used the Bayesian information criteria (BIC), Comparative Fit Index (CFI), and root mean square error of approximation (RMSEA) to evaluate change </w:t>
      </w:r>
      <w:r w:rsidR="00A858FA">
        <w:rPr>
          <w:rFonts w:cs="Times New Roman"/>
          <w:szCs w:val="24"/>
          <w:lang w:val="en"/>
        </w:rPr>
        <w:t>in model fit after constraints were applied to the model parameters</w:t>
      </w:r>
      <w:r w:rsidR="00486631" w:rsidRPr="00486631">
        <w:rPr>
          <w:rFonts w:cs="Times New Roman"/>
          <w:szCs w:val="24"/>
          <w:lang w:val="en"/>
        </w:rPr>
        <w:t xml:space="preserve"> (see van de </w:t>
      </w:r>
      <w:proofErr w:type="spellStart"/>
      <w:r w:rsidR="00486631" w:rsidRPr="00486631">
        <w:rPr>
          <w:rFonts w:cs="Times New Roman"/>
          <w:szCs w:val="24"/>
          <w:lang w:val="en"/>
        </w:rPr>
        <w:t>Schoot</w:t>
      </w:r>
      <w:proofErr w:type="spellEnd"/>
      <w:r w:rsidR="00486631" w:rsidRPr="00486631">
        <w:rPr>
          <w:rFonts w:cs="Times New Roman"/>
          <w:szCs w:val="24"/>
          <w:lang w:val="en"/>
        </w:rPr>
        <w:t xml:space="preserve"> et al., 2012). Measurement invariance testing and factor score estimation was conducted using the ‘</w:t>
      </w:r>
      <w:proofErr w:type="spellStart"/>
      <w:r w:rsidR="00486631" w:rsidRPr="00486631">
        <w:rPr>
          <w:rFonts w:cs="Times New Roman"/>
          <w:szCs w:val="24"/>
          <w:lang w:val="en"/>
        </w:rPr>
        <w:t>lavaan</w:t>
      </w:r>
      <w:proofErr w:type="spellEnd"/>
      <w:r w:rsidR="00486631" w:rsidRPr="00486631">
        <w:rPr>
          <w:rFonts w:cs="Times New Roman"/>
          <w:szCs w:val="24"/>
          <w:lang w:val="en"/>
        </w:rPr>
        <w:t>’ package in R 4.4.</w:t>
      </w:r>
      <w:r w:rsidR="00A858FA">
        <w:rPr>
          <w:rFonts w:cs="Times New Roman"/>
          <w:szCs w:val="24"/>
          <w:lang w:val="en"/>
        </w:rPr>
        <w:t xml:space="preserve">2 </w:t>
      </w:r>
      <w:r w:rsidR="00486631" w:rsidRPr="00486631">
        <w:rPr>
          <w:rFonts w:cs="Times New Roman"/>
          <w:szCs w:val="24"/>
          <w:lang w:val="en"/>
        </w:rPr>
        <w:t xml:space="preserve">(R Core Team, 2024; Rosseel, 2012). </w:t>
      </w:r>
    </w:p>
    <w:p w14:paraId="60F3620D" w14:textId="1E867D89" w:rsidR="00AB223D" w:rsidRDefault="003E138D" w:rsidP="00486631">
      <w:pPr>
        <w:ind w:firstLine="720"/>
        <w:rPr>
          <w:rFonts w:cs="Times New Roman"/>
          <w:szCs w:val="24"/>
        </w:rPr>
      </w:pPr>
      <w:r w:rsidRPr="004C0570">
        <w:rPr>
          <w:rFonts w:cs="Times New Roman"/>
          <w:szCs w:val="24"/>
        </w:rPr>
        <w:t>W</w:t>
      </w:r>
      <w:r w:rsidR="001264E3" w:rsidRPr="004C0570">
        <w:rPr>
          <w:rFonts w:cs="Times New Roman"/>
          <w:szCs w:val="24"/>
        </w:rPr>
        <w:t xml:space="preserve">e tested for </w:t>
      </w:r>
      <w:r w:rsidR="00FF7B1D" w:rsidRPr="004C0570">
        <w:rPr>
          <w:rFonts w:cs="Times New Roman"/>
          <w:szCs w:val="24"/>
        </w:rPr>
        <w:t xml:space="preserve">configural invariance (i.e., equal factor structure), metric invariance (i.e., equal factor loadings), and scalar invariance (i.e., </w:t>
      </w:r>
      <w:r w:rsidR="002B2716" w:rsidRPr="004C0570">
        <w:rPr>
          <w:rFonts w:cs="Times New Roman"/>
          <w:szCs w:val="24"/>
        </w:rPr>
        <w:t xml:space="preserve">equal factor loadings and intercepts). Scalar invariance is required to compare change in </w:t>
      </w:r>
      <w:r w:rsidR="00807C2A" w:rsidRPr="004C0570">
        <w:rPr>
          <w:rFonts w:cs="Times New Roman"/>
          <w:szCs w:val="24"/>
        </w:rPr>
        <w:t xml:space="preserve">factor scores across time/groups because it ensures that the observed scores reflect the same latent construct </w:t>
      </w:r>
      <w:r w:rsidR="0059270E" w:rsidRPr="004C0570">
        <w:rPr>
          <w:rFonts w:cs="Times New Roman"/>
          <w:szCs w:val="24"/>
        </w:rPr>
        <w:t>in the entire sample and not time/group specific measurement biases</w:t>
      </w:r>
      <w:r w:rsidR="00B552EF" w:rsidRPr="004C0570">
        <w:rPr>
          <w:rFonts w:cs="Times New Roman"/>
          <w:szCs w:val="24"/>
        </w:rPr>
        <w:t xml:space="preserve"> (</w:t>
      </w:r>
      <w:r w:rsidR="00942082" w:rsidRPr="004C0570">
        <w:rPr>
          <w:rFonts w:cs="Times New Roman"/>
          <w:szCs w:val="24"/>
        </w:rPr>
        <w:t xml:space="preserve">van de </w:t>
      </w:r>
      <w:proofErr w:type="spellStart"/>
      <w:r w:rsidR="00942082" w:rsidRPr="004C0570">
        <w:rPr>
          <w:rFonts w:cs="Times New Roman"/>
          <w:szCs w:val="24"/>
        </w:rPr>
        <w:t>Schoot</w:t>
      </w:r>
      <w:proofErr w:type="spellEnd"/>
      <w:r w:rsidR="00942082" w:rsidRPr="004C0570">
        <w:rPr>
          <w:rFonts w:cs="Times New Roman"/>
          <w:szCs w:val="24"/>
        </w:rPr>
        <w:t xml:space="preserve"> et al., 2012</w:t>
      </w:r>
      <w:r w:rsidR="00B552EF" w:rsidRPr="004C0570">
        <w:rPr>
          <w:rFonts w:cs="Times New Roman"/>
          <w:szCs w:val="24"/>
        </w:rPr>
        <w:t>)</w:t>
      </w:r>
      <w:r w:rsidR="0059270E" w:rsidRPr="004C0570">
        <w:rPr>
          <w:rFonts w:cs="Times New Roman"/>
          <w:szCs w:val="24"/>
        </w:rPr>
        <w:t xml:space="preserve">. </w:t>
      </w:r>
      <w:r w:rsidR="00FF6B67" w:rsidRPr="004C0570">
        <w:rPr>
          <w:rFonts w:cs="Times New Roman"/>
          <w:szCs w:val="24"/>
        </w:rPr>
        <w:t xml:space="preserve">We used </w:t>
      </w:r>
      <w:r w:rsidR="00CC1FE9">
        <w:rPr>
          <w:rFonts w:cs="Times New Roman"/>
          <w:szCs w:val="24"/>
        </w:rPr>
        <w:t xml:space="preserve">the CFI, </w:t>
      </w:r>
      <w:r w:rsidR="004B147C" w:rsidRPr="004C0570">
        <w:rPr>
          <w:rFonts w:cs="Times New Roman"/>
          <w:szCs w:val="24"/>
        </w:rPr>
        <w:t>McDonald’s non-centrality index</w:t>
      </w:r>
      <w:r w:rsidR="004F397D" w:rsidRPr="004C0570">
        <w:rPr>
          <w:rFonts w:cs="Times New Roman"/>
          <w:szCs w:val="24"/>
        </w:rPr>
        <w:t xml:space="preserve"> (MNCI</w:t>
      </w:r>
      <w:r w:rsidR="007029C0">
        <w:rPr>
          <w:rFonts w:cs="Times New Roman"/>
          <w:szCs w:val="24"/>
        </w:rPr>
        <w:t>; McDonald, 1989</w:t>
      </w:r>
      <w:r w:rsidR="004F397D" w:rsidRPr="004C0570">
        <w:rPr>
          <w:rFonts w:cs="Times New Roman"/>
          <w:szCs w:val="24"/>
        </w:rPr>
        <w:t>)</w:t>
      </w:r>
      <w:r w:rsidR="00FF6B67" w:rsidRPr="004C0570">
        <w:rPr>
          <w:rFonts w:cs="Times New Roman"/>
          <w:szCs w:val="24"/>
        </w:rPr>
        <w:t>,</w:t>
      </w:r>
      <w:r w:rsidR="000024BC">
        <w:rPr>
          <w:rFonts w:cs="Times New Roman"/>
          <w:szCs w:val="24"/>
        </w:rPr>
        <w:t xml:space="preserve"> </w:t>
      </w:r>
      <w:r w:rsidR="000024BC" w:rsidRPr="004C0570">
        <w:rPr>
          <w:rFonts w:cs="Times New Roman"/>
          <w:szCs w:val="24"/>
        </w:rPr>
        <w:t>RMSEA,</w:t>
      </w:r>
      <w:r w:rsidR="00FF6B67" w:rsidRPr="004C0570">
        <w:rPr>
          <w:rFonts w:cs="Times New Roman"/>
          <w:szCs w:val="24"/>
        </w:rPr>
        <w:t xml:space="preserve"> and BIC to evaluate model fit across the three</w:t>
      </w:r>
      <w:r w:rsidRPr="004C0570">
        <w:rPr>
          <w:rFonts w:cs="Times New Roman"/>
          <w:szCs w:val="24"/>
        </w:rPr>
        <w:t xml:space="preserve"> invariance</w:t>
      </w:r>
      <w:r w:rsidR="00FF6B67" w:rsidRPr="004C0570">
        <w:rPr>
          <w:rFonts w:cs="Times New Roman"/>
          <w:szCs w:val="24"/>
        </w:rPr>
        <w:t xml:space="preserve"> </w:t>
      </w:r>
      <w:r w:rsidR="00EB7675" w:rsidRPr="004C0570">
        <w:rPr>
          <w:rFonts w:cs="Times New Roman"/>
          <w:szCs w:val="24"/>
        </w:rPr>
        <w:t xml:space="preserve">conditions. </w:t>
      </w:r>
      <w:r w:rsidR="00CC1FE9">
        <w:rPr>
          <w:rFonts w:cs="Times New Roman"/>
          <w:szCs w:val="24"/>
        </w:rPr>
        <w:t>We chose to report</w:t>
      </w:r>
      <w:r w:rsidR="004B147C" w:rsidRPr="004C0570">
        <w:rPr>
          <w:rFonts w:cs="Times New Roman"/>
          <w:szCs w:val="24"/>
        </w:rPr>
        <w:t xml:space="preserve"> </w:t>
      </w:r>
      <w:r w:rsidR="0062786D" w:rsidRPr="004C0570">
        <w:rPr>
          <w:rFonts w:cs="Times New Roman"/>
          <w:szCs w:val="24"/>
        </w:rPr>
        <w:t>Δ</w:t>
      </w:r>
      <w:r w:rsidR="004B147C" w:rsidRPr="004C0570">
        <w:rPr>
          <w:rFonts w:cs="Times New Roman"/>
          <w:szCs w:val="24"/>
        </w:rPr>
        <w:t>M</w:t>
      </w:r>
      <w:r w:rsidR="004F397D" w:rsidRPr="004C0570">
        <w:rPr>
          <w:rFonts w:cs="Times New Roman"/>
          <w:szCs w:val="24"/>
        </w:rPr>
        <w:t xml:space="preserve">NCI </w:t>
      </w:r>
      <w:r w:rsidR="00CC1FE9">
        <w:rPr>
          <w:rFonts w:cs="Times New Roman"/>
          <w:szCs w:val="24"/>
        </w:rPr>
        <w:t>in addition to</w:t>
      </w:r>
      <w:r w:rsidR="004F397D" w:rsidRPr="004C0570">
        <w:rPr>
          <w:rFonts w:cs="Times New Roman"/>
          <w:szCs w:val="24"/>
        </w:rPr>
        <w:t xml:space="preserve"> </w:t>
      </w:r>
      <w:r w:rsidR="0062786D" w:rsidRPr="004C0570">
        <w:rPr>
          <w:rFonts w:cs="Times New Roman"/>
          <w:szCs w:val="24"/>
        </w:rPr>
        <w:t>Δ</w:t>
      </w:r>
      <w:r w:rsidR="004F397D" w:rsidRPr="004C0570">
        <w:rPr>
          <w:rFonts w:cs="Times New Roman"/>
          <w:szCs w:val="24"/>
        </w:rPr>
        <w:t xml:space="preserve">CFI because simulation studies suggest that </w:t>
      </w:r>
      <w:r w:rsidR="00CA28B3" w:rsidRPr="004C0570">
        <w:rPr>
          <w:rFonts w:cs="Times New Roman"/>
          <w:szCs w:val="24"/>
        </w:rPr>
        <w:t>Δ</w:t>
      </w:r>
      <w:r w:rsidR="00782E8F" w:rsidRPr="004C0570">
        <w:rPr>
          <w:rFonts w:cs="Times New Roman"/>
          <w:szCs w:val="24"/>
        </w:rPr>
        <w:t>MNCI tends to be unaffected by changes in measurement quality (and sample size)</w:t>
      </w:r>
      <w:r w:rsidR="00EF729F" w:rsidRPr="004C0570">
        <w:rPr>
          <w:rFonts w:cs="Times New Roman"/>
          <w:szCs w:val="24"/>
        </w:rPr>
        <w:t xml:space="preserve"> and is therefore a more stable indicator of invariance across contexts</w:t>
      </w:r>
      <w:r w:rsidR="00A94E15">
        <w:rPr>
          <w:rFonts w:cs="Times New Roman"/>
          <w:szCs w:val="24"/>
        </w:rPr>
        <w:t xml:space="preserve"> compared to ΔCFI</w:t>
      </w:r>
      <w:r w:rsidR="007361C1">
        <w:rPr>
          <w:rFonts w:cs="Times New Roman"/>
          <w:szCs w:val="24"/>
        </w:rPr>
        <w:t xml:space="preserve"> (</w:t>
      </w:r>
      <w:r w:rsidR="003B5DBA">
        <w:rPr>
          <w:rFonts w:cs="Times New Roman"/>
          <w:szCs w:val="24"/>
        </w:rPr>
        <w:t xml:space="preserve">Cheung &amp; Rensvold, 2002; </w:t>
      </w:r>
      <w:r w:rsidR="007361C1">
        <w:rPr>
          <w:rFonts w:cs="Times New Roman"/>
          <w:szCs w:val="24"/>
        </w:rPr>
        <w:t>Kang et al., 2016)</w:t>
      </w:r>
      <w:r w:rsidR="0025613B" w:rsidRPr="004C0570">
        <w:rPr>
          <w:rFonts w:cs="Times New Roman"/>
          <w:szCs w:val="24"/>
        </w:rPr>
        <w:t>. ΔCFI values</w:t>
      </w:r>
      <w:r w:rsidR="00154D9E" w:rsidRPr="004C0570">
        <w:rPr>
          <w:rFonts w:cs="Times New Roman"/>
          <w:szCs w:val="24"/>
        </w:rPr>
        <w:t xml:space="preserve"> s</w:t>
      </w:r>
      <w:r w:rsidR="0025613B" w:rsidRPr="004C0570">
        <w:rPr>
          <w:rFonts w:cs="Times New Roman"/>
          <w:szCs w:val="24"/>
        </w:rPr>
        <w:t xml:space="preserve">uggestive of </w:t>
      </w:r>
      <w:r w:rsidR="00C9566F">
        <w:rPr>
          <w:rFonts w:cs="Times New Roman"/>
          <w:szCs w:val="24"/>
        </w:rPr>
        <w:t xml:space="preserve">measurement </w:t>
      </w:r>
      <w:r w:rsidR="0025613B" w:rsidRPr="004C0570">
        <w:rPr>
          <w:rFonts w:cs="Times New Roman"/>
          <w:szCs w:val="24"/>
        </w:rPr>
        <w:t>invariance</w:t>
      </w:r>
      <w:r w:rsidR="00C9566F">
        <w:rPr>
          <w:rFonts w:cs="Times New Roman"/>
          <w:szCs w:val="24"/>
        </w:rPr>
        <w:t xml:space="preserve"> tend to</w:t>
      </w:r>
      <w:r w:rsidR="0025613B" w:rsidRPr="004C0570">
        <w:rPr>
          <w:rFonts w:cs="Times New Roman"/>
          <w:szCs w:val="24"/>
        </w:rPr>
        <w:t xml:space="preserve"> change as a function of factor loading magnitude,</w:t>
      </w:r>
      <w:r w:rsidR="00154D9E" w:rsidRPr="004C0570">
        <w:rPr>
          <w:rFonts w:cs="Times New Roman"/>
          <w:szCs w:val="24"/>
        </w:rPr>
        <w:t xml:space="preserve"> </w:t>
      </w:r>
      <w:r w:rsidR="0025613B" w:rsidRPr="004C0570">
        <w:rPr>
          <w:rFonts w:cs="Times New Roman"/>
          <w:szCs w:val="24"/>
        </w:rPr>
        <w:t>the number of indicators per factor, and the sample size</w:t>
      </w:r>
      <w:r w:rsidR="00A87A09" w:rsidRPr="004C0570">
        <w:rPr>
          <w:rFonts w:cs="Times New Roman"/>
          <w:szCs w:val="24"/>
        </w:rPr>
        <w:t xml:space="preserve"> – leading </w:t>
      </w:r>
      <w:r w:rsidR="00337974">
        <w:rPr>
          <w:rFonts w:cs="Times New Roman"/>
          <w:szCs w:val="24"/>
        </w:rPr>
        <w:t>Kang et al.</w:t>
      </w:r>
      <w:r w:rsidR="00A87A09" w:rsidRPr="004C0570">
        <w:rPr>
          <w:rFonts w:cs="Times New Roman"/>
          <w:szCs w:val="24"/>
        </w:rPr>
        <w:t xml:space="preserve"> to discourage the use of ΔCFI </w:t>
      </w:r>
      <w:r w:rsidR="00EC54A8" w:rsidRPr="004C0570">
        <w:rPr>
          <w:rFonts w:cs="Times New Roman"/>
          <w:szCs w:val="24"/>
        </w:rPr>
        <w:t>for testing measurement invariance</w:t>
      </w:r>
      <w:r w:rsidR="003E5ADB" w:rsidRPr="004C0570">
        <w:rPr>
          <w:rFonts w:cs="Times New Roman"/>
          <w:szCs w:val="24"/>
        </w:rPr>
        <w:t xml:space="preserve"> (Kang et al., 2016, p. 557)</w:t>
      </w:r>
      <w:r w:rsidR="00A365DA" w:rsidRPr="004C0570">
        <w:rPr>
          <w:rFonts w:cs="Times New Roman"/>
          <w:szCs w:val="24"/>
        </w:rPr>
        <w:t>.</w:t>
      </w:r>
      <w:r w:rsidR="004E40C8" w:rsidRPr="004C0570">
        <w:rPr>
          <w:rFonts w:cs="Times New Roman"/>
          <w:szCs w:val="24"/>
        </w:rPr>
        <w:t xml:space="preserve"> </w:t>
      </w:r>
      <w:r w:rsidR="00A365DA" w:rsidRPr="004C0570">
        <w:rPr>
          <w:rFonts w:cs="Times New Roman"/>
          <w:szCs w:val="24"/>
        </w:rPr>
        <w:t>We</w:t>
      </w:r>
      <w:r w:rsidR="00336C69" w:rsidRPr="004C0570">
        <w:rPr>
          <w:rFonts w:cs="Times New Roman"/>
          <w:szCs w:val="24"/>
        </w:rPr>
        <w:t xml:space="preserve"> do not employ </w:t>
      </w:r>
      <w:r w:rsidR="00F429A6" w:rsidRPr="004C0570">
        <w:rPr>
          <w:rFonts w:cs="Times New Roman"/>
          <w:szCs w:val="24"/>
        </w:rPr>
        <w:t xml:space="preserve">stringent ΔRMSEA, </w:t>
      </w:r>
      <w:r w:rsidR="00086A18">
        <w:rPr>
          <w:rFonts w:cs="Times New Roman"/>
          <w:szCs w:val="24"/>
        </w:rPr>
        <w:t xml:space="preserve">ΔCFI, </w:t>
      </w:r>
      <w:r w:rsidR="00F429A6" w:rsidRPr="004C0570">
        <w:rPr>
          <w:rFonts w:cs="Times New Roman"/>
          <w:szCs w:val="24"/>
        </w:rPr>
        <w:t>Δ</w:t>
      </w:r>
      <w:r w:rsidR="00295BD2" w:rsidRPr="004C0570">
        <w:rPr>
          <w:rFonts w:cs="Times New Roman"/>
          <w:szCs w:val="24"/>
        </w:rPr>
        <w:t>MNCI</w:t>
      </w:r>
      <w:r w:rsidR="00F429A6" w:rsidRPr="004C0570">
        <w:rPr>
          <w:rFonts w:cs="Times New Roman"/>
          <w:szCs w:val="24"/>
        </w:rPr>
        <w:t xml:space="preserve">, </w:t>
      </w:r>
      <w:r w:rsidR="009A1E56" w:rsidRPr="004C0570">
        <w:rPr>
          <w:rFonts w:cs="Times New Roman"/>
          <w:szCs w:val="24"/>
        </w:rPr>
        <w:t xml:space="preserve">and ΔBIC cutoff values when assessing model fit given </w:t>
      </w:r>
      <w:r w:rsidR="00682A11" w:rsidRPr="004C0570">
        <w:rPr>
          <w:rFonts w:cs="Times New Roman"/>
          <w:szCs w:val="24"/>
        </w:rPr>
        <w:t>that cutoff values</w:t>
      </w:r>
      <w:r w:rsidR="000A4636" w:rsidRPr="004C0570">
        <w:rPr>
          <w:rFonts w:cs="Times New Roman"/>
          <w:szCs w:val="24"/>
        </w:rPr>
        <w:t xml:space="preserve"> indicative of invariance derived from simulated empirical distributions that may not be broadly generalizable</w:t>
      </w:r>
      <w:r w:rsidR="00BC688A" w:rsidRPr="004C0570">
        <w:rPr>
          <w:rFonts w:cs="Times New Roman"/>
          <w:szCs w:val="24"/>
        </w:rPr>
        <w:t xml:space="preserve"> (Kang et al., p. 538). Nonetheless, </w:t>
      </w:r>
      <w:r w:rsidR="00295BD2" w:rsidRPr="004C0570">
        <w:rPr>
          <w:rFonts w:cs="Times New Roman"/>
          <w:szCs w:val="24"/>
        </w:rPr>
        <w:t>we</w:t>
      </w:r>
      <w:r w:rsidR="007D6D4B" w:rsidRPr="004C0570">
        <w:rPr>
          <w:rFonts w:cs="Times New Roman"/>
          <w:szCs w:val="24"/>
        </w:rPr>
        <w:t xml:space="preserve"> favor models with the lowest BIC and</w:t>
      </w:r>
      <w:r w:rsidR="00295BD2" w:rsidRPr="004C0570">
        <w:rPr>
          <w:rFonts w:cs="Times New Roman"/>
          <w:szCs w:val="24"/>
        </w:rPr>
        <w:t xml:space="preserve"> ΔRMSEA</w:t>
      </w:r>
      <w:r w:rsidR="00D51A37">
        <w:rPr>
          <w:rFonts w:cs="Times New Roman"/>
          <w:szCs w:val="24"/>
        </w:rPr>
        <w:t xml:space="preserve">, </w:t>
      </w:r>
      <w:r w:rsidR="00565023">
        <w:rPr>
          <w:rFonts w:cs="Times New Roman"/>
          <w:szCs w:val="24"/>
        </w:rPr>
        <w:t xml:space="preserve">and </w:t>
      </w:r>
      <w:r w:rsidR="00D51A37">
        <w:rPr>
          <w:rFonts w:cs="Times New Roman"/>
          <w:szCs w:val="24"/>
        </w:rPr>
        <w:t>ΔCFI and</w:t>
      </w:r>
      <w:r w:rsidR="00295BD2" w:rsidRPr="004C0570">
        <w:rPr>
          <w:rFonts w:cs="Times New Roman"/>
          <w:szCs w:val="24"/>
        </w:rPr>
        <w:t xml:space="preserve"> Δ</w:t>
      </w:r>
      <w:r w:rsidR="007D6D4B" w:rsidRPr="004C0570">
        <w:rPr>
          <w:rFonts w:cs="Times New Roman"/>
          <w:szCs w:val="24"/>
        </w:rPr>
        <w:t>MNCI less than .01 (Chen et al., 2007; Kang et al., 2016)</w:t>
      </w:r>
      <w:r w:rsidR="00AB223D" w:rsidRPr="004C0570">
        <w:rPr>
          <w:rFonts w:cs="Times New Roman"/>
          <w:szCs w:val="24"/>
        </w:rPr>
        <w:t>.</w:t>
      </w:r>
      <w:r w:rsidR="00535ACB" w:rsidRPr="004C0570">
        <w:rPr>
          <w:rFonts w:cs="Times New Roman"/>
          <w:szCs w:val="24"/>
        </w:rPr>
        <w:t xml:space="preserve"> </w:t>
      </w:r>
    </w:p>
    <w:p w14:paraId="121D3112" w14:textId="67DF583B" w:rsidR="00CD316A" w:rsidRDefault="00CD316A" w:rsidP="00BC688A">
      <w:pPr>
        <w:rPr>
          <w:rFonts w:cs="Times New Roman"/>
          <w:szCs w:val="24"/>
        </w:rPr>
      </w:pPr>
      <w:r>
        <w:rPr>
          <w:rFonts w:cs="Times New Roman"/>
          <w:szCs w:val="24"/>
        </w:rPr>
        <w:tab/>
      </w:r>
      <w:r w:rsidR="001A5CA9">
        <w:rPr>
          <w:rFonts w:cs="Times New Roman"/>
          <w:szCs w:val="24"/>
        </w:rPr>
        <w:t xml:space="preserve">Results from the measurement invariance tests </w:t>
      </w:r>
      <w:r w:rsidR="00D51A37">
        <w:rPr>
          <w:rFonts w:cs="Times New Roman"/>
          <w:szCs w:val="24"/>
        </w:rPr>
        <w:t xml:space="preserve">provide acceptable evidence that scalar invariance holds </w:t>
      </w:r>
      <w:r w:rsidR="00007973">
        <w:rPr>
          <w:rFonts w:cs="Times New Roman"/>
          <w:szCs w:val="24"/>
        </w:rPr>
        <w:t xml:space="preserve">for both the BDI and CFA. </w:t>
      </w:r>
      <w:r w:rsidR="00C56B27">
        <w:rPr>
          <w:rFonts w:cs="Times New Roman"/>
          <w:szCs w:val="24"/>
        </w:rPr>
        <w:t xml:space="preserve">ΔCFI </w:t>
      </w:r>
      <w:r w:rsidR="0054727F">
        <w:rPr>
          <w:rFonts w:cs="Times New Roman"/>
          <w:szCs w:val="24"/>
        </w:rPr>
        <w:t>was moderately large when constraining intercepts of the BDI (Δ</w:t>
      </w:r>
      <w:r w:rsidR="000D5853">
        <w:rPr>
          <w:rFonts w:cs="Times New Roman"/>
          <w:szCs w:val="24"/>
        </w:rPr>
        <w:t>CFI from metric to scalar</w:t>
      </w:r>
      <w:r w:rsidR="00C7282C">
        <w:rPr>
          <w:rFonts w:cs="Times New Roman"/>
          <w:szCs w:val="24"/>
        </w:rPr>
        <w:t>= .034), but ΔMNCI</w:t>
      </w:r>
      <w:r w:rsidR="006142BE">
        <w:rPr>
          <w:rFonts w:cs="Times New Roman"/>
          <w:szCs w:val="24"/>
        </w:rPr>
        <w:t xml:space="preserve"> </w:t>
      </w:r>
      <w:r w:rsidR="00C7282C">
        <w:rPr>
          <w:rFonts w:cs="Times New Roman"/>
          <w:szCs w:val="24"/>
        </w:rPr>
        <w:t>and ΔRMSEA</w:t>
      </w:r>
      <w:r w:rsidR="00EE226D">
        <w:rPr>
          <w:rFonts w:cs="Times New Roman"/>
          <w:szCs w:val="24"/>
        </w:rPr>
        <w:t xml:space="preserve"> were both in acceptable ranges</w:t>
      </w:r>
      <w:r w:rsidR="006142BE">
        <w:rPr>
          <w:rFonts w:cs="Times New Roman"/>
          <w:szCs w:val="24"/>
        </w:rPr>
        <w:t xml:space="preserve"> (</w:t>
      </w:r>
      <w:r w:rsidR="00EE226D">
        <w:rPr>
          <w:rFonts w:cs="Times New Roman"/>
          <w:szCs w:val="24"/>
        </w:rPr>
        <w:t>Δ</w:t>
      </w:r>
      <w:r w:rsidR="002D5CC7">
        <w:rPr>
          <w:rFonts w:cs="Times New Roman"/>
          <w:szCs w:val="24"/>
        </w:rPr>
        <w:t xml:space="preserve">MNCI </w:t>
      </w:r>
      <w:r w:rsidR="00EE226D">
        <w:rPr>
          <w:rFonts w:cs="Times New Roman"/>
          <w:szCs w:val="24"/>
        </w:rPr>
        <w:t>from metric to scalar = -.008</w:t>
      </w:r>
      <w:r w:rsidR="002D5CC7">
        <w:rPr>
          <w:rFonts w:cs="Times New Roman"/>
          <w:szCs w:val="24"/>
        </w:rPr>
        <w:t xml:space="preserve">; ΔRMSEA from metric to scalar = </w:t>
      </w:r>
      <w:r w:rsidR="006142BE">
        <w:rPr>
          <w:rFonts w:cs="Times New Roman"/>
          <w:szCs w:val="24"/>
        </w:rPr>
        <w:t>-.002)</w:t>
      </w:r>
      <w:r w:rsidR="002D5CC7">
        <w:rPr>
          <w:rFonts w:cs="Times New Roman"/>
          <w:szCs w:val="24"/>
        </w:rPr>
        <w:t xml:space="preserve">. Furthermore, the BIC </w:t>
      </w:r>
      <w:r w:rsidR="006142BE">
        <w:rPr>
          <w:rFonts w:cs="Times New Roman"/>
          <w:szCs w:val="24"/>
        </w:rPr>
        <w:t>was lowest for the scalar fit</w:t>
      </w:r>
      <w:r w:rsidR="002D5CC7">
        <w:rPr>
          <w:rFonts w:cs="Times New Roman"/>
          <w:szCs w:val="24"/>
        </w:rPr>
        <w:t>, indicating better model fit</w:t>
      </w:r>
      <w:r w:rsidR="006142BE">
        <w:rPr>
          <w:rFonts w:cs="Times New Roman"/>
          <w:szCs w:val="24"/>
        </w:rPr>
        <w:t xml:space="preserve"> (BIC = </w:t>
      </w:r>
      <w:r w:rsidR="00FC7F4F">
        <w:rPr>
          <w:rFonts w:cs="Times New Roman"/>
          <w:szCs w:val="24"/>
        </w:rPr>
        <w:t>70056.077)</w:t>
      </w:r>
      <w:r w:rsidR="003E2464">
        <w:rPr>
          <w:rFonts w:cs="Times New Roman"/>
          <w:szCs w:val="24"/>
        </w:rPr>
        <w:t xml:space="preserve">. Changes in model fit </w:t>
      </w:r>
      <w:r w:rsidR="00BC1DC1">
        <w:rPr>
          <w:rFonts w:cs="Times New Roman"/>
          <w:szCs w:val="24"/>
        </w:rPr>
        <w:t xml:space="preserve">was near .01 </w:t>
      </w:r>
      <w:r w:rsidR="00BC1DC1">
        <w:rPr>
          <w:rFonts w:cs="Times New Roman"/>
          <w:szCs w:val="24"/>
        </w:rPr>
        <w:lastRenderedPageBreak/>
        <w:t xml:space="preserve">for all fit indexes and BIC was the lowest when constraining loadings and intercepts of the DAS, providing acceptable evidence for scalar invariance. </w:t>
      </w:r>
      <w:r w:rsidR="00007973">
        <w:rPr>
          <w:rFonts w:cs="Times New Roman"/>
          <w:szCs w:val="24"/>
        </w:rPr>
        <w:t>Fit measures are reported below in Table S</w:t>
      </w:r>
      <w:r w:rsidR="00DB6BF2">
        <w:rPr>
          <w:rFonts w:cs="Times New Roman"/>
          <w:szCs w:val="24"/>
        </w:rPr>
        <w:t>1</w:t>
      </w:r>
      <w:r w:rsidR="00007973">
        <w:rPr>
          <w:rFonts w:cs="Times New Roman"/>
          <w:szCs w:val="24"/>
        </w:rPr>
        <w:t xml:space="preserve">. Full </w:t>
      </w:r>
      <w:r w:rsidR="005C3C37">
        <w:rPr>
          <w:rFonts w:cs="Times New Roman"/>
          <w:szCs w:val="24"/>
        </w:rPr>
        <w:t xml:space="preserve">model summaries </w:t>
      </w:r>
      <w:r w:rsidR="00464564">
        <w:rPr>
          <w:rFonts w:cs="Times New Roman"/>
          <w:szCs w:val="24"/>
        </w:rPr>
        <w:t>are available through the O</w:t>
      </w:r>
      <w:r w:rsidR="00FC43FB">
        <w:rPr>
          <w:rFonts w:cs="Times New Roman"/>
          <w:szCs w:val="24"/>
        </w:rPr>
        <w:t>pen Science Framework (</w:t>
      </w:r>
      <w:hyperlink r:id="rId6" w:history="1">
        <w:r w:rsidR="00FC43FB" w:rsidRPr="5871A29B">
          <w:rPr>
            <w:rStyle w:val="Hyperlink"/>
            <w:rFonts w:cs="Times New Roman"/>
            <w:szCs w:val="24"/>
          </w:rPr>
          <w:t>https://osf.io/bsdak/files/osfstorage</w:t>
        </w:r>
      </w:hyperlink>
      <w:r w:rsidR="003D0CA6">
        <w:t xml:space="preserve">; </w:t>
      </w:r>
      <w:r w:rsidR="003D0CA6" w:rsidRPr="00206F04">
        <w:rPr>
          <w:rFonts w:cs="Times New Roman"/>
          <w:color w:val="333333"/>
          <w:szCs w:val="24"/>
          <w:highlight w:val="white"/>
          <w:lang w:val="en"/>
        </w:rPr>
        <w:t>León</w:t>
      </w:r>
      <w:r w:rsidR="003D0CA6">
        <w:rPr>
          <w:rFonts w:cs="Times New Roman"/>
          <w:color w:val="333333"/>
          <w:szCs w:val="24"/>
        </w:rPr>
        <w:t xml:space="preserve"> et al., 2025</w:t>
      </w:r>
      <w:r w:rsidR="00FC43FB">
        <w:rPr>
          <w:rStyle w:val="Hyperlink"/>
          <w:rFonts w:cs="Times New Roman"/>
          <w:szCs w:val="24"/>
        </w:rPr>
        <w:t>).</w:t>
      </w:r>
      <w:r w:rsidR="005C3C37">
        <w:rPr>
          <w:rFonts w:cs="Times New Roman"/>
          <w:szCs w:val="24"/>
        </w:rPr>
        <w:t xml:space="preserve"> For the BDI, the scalar invariance model fit yielded factor loadings that ranged from </w:t>
      </w:r>
      <w:r w:rsidR="00915857">
        <w:rPr>
          <w:rFonts w:cs="Times New Roman"/>
          <w:szCs w:val="24"/>
        </w:rPr>
        <w:t>.52</w:t>
      </w:r>
      <w:r w:rsidR="005C3C37">
        <w:rPr>
          <w:rFonts w:cs="Times New Roman"/>
          <w:szCs w:val="24"/>
        </w:rPr>
        <w:t xml:space="preserve"> to </w:t>
      </w:r>
      <w:r w:rsidR="008A541A">
        <w:rPr>
          <w:rFonts w:cs="Times New Roman"/>
          <w:szCs w:val="24"/>
        </w:rPr>
        <w:t>.86</w:t>
      </w:r>
      <w:r w:rsidR="005C3C37">
        <w:rPr>
          <w:rFonts w:cs="Times New Roman"/>
          <w:szCs w:val="24"/>
        </w:rPr>
        <w:t xml:space="preserve">. For the DAS, factor loadings ranged from </w:t>
      </w:r>
      <w:r w:rsidR="00B94FA9">
        <w:rPr>
          <w:rFonts w:cs="Times New Roman"/>
          <w:szCs w:val="24"/>
        </w:rPr>
        <w:t>.58</w:t>
      </w:r>
      <w:r w:rsidR="005C3C37">
        <w:rPr>
          <w:rFonts w:cs="Times New Roman"/>
          <w:szCs w:val="24"/>
        </w:rPr>
        <w:t xml:space="preserve"> to </w:t>
      </w:r>
      <w:r w:rsidR="00B94FA9">
        <w:rPr>
          <w:rFonts w:cs="Times New Roman"/>
          <w:szCs w:val="24"/>
        </w:rPr>
        <w:t>.90</w:t>
      </w:r>
      <w:r w:rsidR="005C3C37">
        <w:rPr>
          <w:rFonts w:cs="Times New Roman"/>
          <w:szCs w:val="24"/>
        </w:rPr>
        <w:t xml:space="preserve">. </w:t>
      </w:r>
    </w:p>
    <w:p w14:paraId="7207C0BA" w14:textId="39B78EAA" w:rsidR="00DB6BF2" w:rsidRDefault="00DB6BF2" w:rsidP="00DB6BF2">
      <w:pPr>
        <w:rPr>
          <w:rFonts w:cs="Times New Roman"/>
          <w:szCs w:val="24"/>
        </w:rPr>
      </w:pPr>
      <w:r>
        <w:rPr>
          <w:rFonts w:cs="Times New Roman"/>
          <w:szCs w:val="24"/>
        </w:rPr>
        <w:t>Table S1. Measurement Invariance Testing – BDI-II and DAS-7</w:t>
      </w:r>
    </w:p>
    <w:tbl>
      <w:tblPr>
        <w:tblW w:w="6758" w:type="dxa"/>
        <w:tblLook w:val="04A0" w:firstRow="1" w:lastRow="0" w:firstColumn="1" w:lastColumn="0" w:noHBand="0" w:noVBand="1"/>
      </w:tblPr>
      <w:tblGrid>
        <w:gridCol w:w="1043"/>
        <w:gridCol w:w="1236"/>
        <w:gridCol w:w="1011"/>
        <w:gridCol w:w="1236"/>
        <w:gridCol w:w="996"/>
        <w:gridCol w:w="1236"/>
      </w:tblGrid>
      <w:tr w:rsidR="00DB6BF2" w:rsidRPr="00AB1D4F" w14:paraId="07FF429E" w14:textId="77777777" w:rsidTr="008841AC">
        <w:trPr>
          <w:trHeight w:val="315"/>
        </w:trPr>
        <w:tc>
          <w:tcPr>
            <w:tcW w:w="6758" w:type="dxa"/>
            <w:gridSpan w:val="6"/>
            <w:tcBorders>
              <w:left w:val="nil"/>
              <w:bottom w:val="single" w:sz="4" w:space="0" w:color="auto"/>
              <w:right w:val="nil"/>
            </w:tcBorders>
            <w:shd w:val="clear" w:color="auto" w:fill="auto"/>
            <w:noWrap/>
            <w:vAlign w:val="bottom"/>
            <w:hideMark/>
          </w:tcPr>
          <w:p w14:paraId="2E798C11"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Beck Depression Inventory - II (BDI-II)</w:t>
            </w:r>
          </w:p>
        </w:tc>
      </w:tr>
      <w:tr w:rsidR="00DB6BF2" w:rsidRPr="00AB1D4F" w14:paraId="45BD3B1E" w14:textId="77777777" w:rsidTr="008841AC">
        <w:trPr>
          <w:trHeight w:val="315"/>
        </w:trPr>
        <w:tc>
          <w:tcPr>
            <w:tcW w:w="1043" w:type="dxa"/>
            <w:tcBorders>
              <w:top w:val="single" w:sz="4" w:space="0" w:color="auto"/>
              <w:left w:val="nil"/>
              <w:bottom w:val="nil"/>
              <w:right w:val="nil"/>
            </w:tcBorders>
            <w:shd w:val="clear" w:color="auto" w:fill="auto"/>
            <w:noWrap/>
            <w:vAlign w:val="bottom"/>
            <w:hideMark/>
          </w:tcPr>
          <w:p w14:paraId="66AB6417" w14:textId="77777777" w:rsidR="00DB6BF2" w:rsidRPr="00AB1D4F" w:rsidRDefault="00DB6BF2" w:rsidP="008841AC">
            <w:pPr>
              <w:spacing w:after="0" w:line="240" w:lineRule="auto"/>
              <w:jc w:val="center"/>
              <w:rPr>
                <w:rFonts w:eastAsia="Times New Roman" w:cs="Times New Roman"/>
                <w:color w:val="000000"/>
                <w:kern w:val="0"/>
                <w:szCs w:val="24"/>
                <w14:ligatures w14:val="none"/>
              </w:rPr>
            </w:pPr>
          </w:p>
        </w:tc>
        <w:tc>
          <w:tcPr>
            <w:tcW w:w="1236" w:type="dxa"/>
            <w:tcBorders>
              <w:top w:val="single" w:sz="4" w:space="0" w:color="auto"/>
              <w:left w:val="nil"/>
              <w:bottom w:val="nil"/>
              <w:right w:val="nil"/>
            </w:tcBorders>
            <w:shd w:val="clear" w:color="auto" w:fill="auto"/>
            <w:noWrap/>
            <w:vAlign w:val="bottom"/>
            <w:hideMark/>
          </w:tcPr>
          <w:p w14:paraId="582BA523"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configural</w:t>
            </w:r>
          </w:p>
        </w:tc>
        <w:tc>
          <w:tcPr>
            <w:tcW w:w="1011" w:type="dxa"/>
            <w:tcBorders>
              <w:top w:val="single" w:sz="4" w:space="0" w:color="auto"/>
              <w:left w:val="nil"/>
              <w:bottom w:val="nil"/>
              <w:right w:val="nil"/>
            </w:tcBorders>
            <w:shd w:val="clear" w:color="auto" w:fill="auto"/>
            <w:noWrap/>
            <w:vAlign w:val="bottom"/>
            <w:hideMark/>
          </w:tcPr>
          <w:p w14:paraId="1D6B274E" w14:textId="77777777" w:rsidR="00DB6BF2" w:rsidRPr="00AB1D4F" w:rsidRDefault="00DB6BF2" w:rsidP="008841AC">
            <w:pPr>
              <w:spacing w:after="0" w:line="240" w:lineRule="auto"/>
              <w:rPr>
                <w:rFonts w:eastAsia="Times New Roman" w:cs="Times New Roman"/>
                <w:color w:val="000000"/>
                <w:kern w:val="0"/>
                <w:szCs w:val="24"/>
                <w14:ligatures w14:val="none"/>
              </w:rPr>
            </w:pPr>
            <w:proofErr w:type="spellStart"/>
            <w:r>
              <w:rPr>
                <w:rFonts w:eastAsia="Times New Roman" w:cs="Times New Roman"/>
                <w:color w:val="000000"/>
                <w:kern w:val="0"/>
                <w:szCs w:val="24"/>
                <w14:ligatures w14:val="none"/>
              </w:rPr>
              <w:t>ΔMetric</w:t>
            </w:r>
            <w:proofErr w:type="spellEnd"/>
          </w:p>
        </w:tc>
        <w:tc>
          <w:tcPr>
            <w:tcW w:w="1236" w:type="dxa"/>
            <w:tcBorders>
              <w:top w:val="single" w:sz="4" w:space="0" w:color="auto"/>
              <w:left w:val="nil"/>
              <w:bottom w:val="nil"/>
              <w:right w:val="nil"/>
            </w:tcBorders>
            <w:shd w:val="clear" w:color="auto" w:fill="auto"/>
            <w:noWrap/>
            <w:vAlign w:val="bottom"/>
            <w:hideMark/>
          </w:tcPr>
          <w:p w14:paraId="32CF8AEB"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metric</w:t>
            </w:r>
          </w:p>
        </w:tc>
        <w:tc>
          <w:tcPr>
            <w:tcW w:w="996" w:type="dxa"/>
            <w:tcBorders>
              <w:top w:val="single" w:sz="4" w:space="0" w:color="auto"/>
              <w:left w:val="nil"/>
              <w:bottom w:val="nil"/>
              <w:right w:val="nil"/>
            </w:tcBorders>
            <w:shd w:val="clear" w:color="auto" w:fill="auto"/>
            <w:noWrap/>
            <w:vAlign w:val="bottom"/>
            <w:hideMark/>
          </w:tcPr>
          <w:p w14:paraId="5F1119F5" w14:textId="77777777" w:rsidR="00DB6BF2" w:rsidRPr="00AB1D4F" w:rsidRDefault="00DB6BF2" w:rsidP="008841AC">
            <w:pPr>
              <w:spacing w:after="0" w:line="240" w:lineRule="auto"/>
              <w:rPr>
                <w:rFonts w:eastAsia="Times New Roman" w:cs="Times New Roman"/>
                <w:color w:val="000000"/>
                <w:kern w:val="0"/>
                <w:szCs w:val="24"/>
                <w14:ligatures w14:val="none"/>
              </w:rPr>
            </w:pPr>
            <w:proofErr w:type="spellStart"/>
            <w:r>
              <w:rPr>
                <w:rFonts w:eastAsia="Times New Roman" w:cs="Times New Roman"/>
                <w:color w:val="000000"/>
                <w:kern w:val="0"/>
                <w:szCs w:val="24"/>
                <w14:ligatures w14:val="none"/>
              </w:rPr>
              <w:t>ΔScalar</w:t>
            </w:r>
            <w:proofErr w:type="spellEnd"/>
          </w:p>
        </w:tc>
        <w:tc>
          <w:tcPr>
            <w:tcW w:w="1236" w:type="dxa"/>
            <w:tcBorders>
              <w:top w:val="single" w:sz="4" w:space="0" w:color="auto"/>
              <w:left w:val="nil"/>
              <w:bottom w:val="nil"/>
              <w:right w:val="nil"/>
            </w:tcBorders>
            <w:shd w:val="clear" w:color="auto" w:fill="auto"/>
            <w:noWrap/>
            <w:vAlign w:val="bottom"/>
            <w:hideMark/>
          </w:tcPr>
          <w:p w14:paraId="2E1DBBE0"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scalar</w:t>
            </w:r>
          </w:p>
        </w:tc>
      </w:tr>
      <w:tr w:rsidR="00DB6BF2" w:rsidRPr="00AB1D4F" w14:paraId="257B831A" w14:textId="77777777" w:rsidTr="008841AC">
        <w:trPr>
          <w:trHeight w:val="315"/>
        </w:trPr>
        <w:tc>
          <w:tcPr>
            <w:tcW w:w="1043" w:type="dxa"/>
            <w:tcBorders>
              <w:top w:val="nil"/>
              <w:left w:val="nil"/>
              <w:bottom w:val="nil"/>
              <w:right w:val="nil"/>
            </w:tcBorders>
            <w:shd w:val="clear" w:color="auto" w:fill="auto"/>
            <w:noWrap/>
            <w:vAlign w:val="bottom"/>
            <w:hideMark/>
          </w:tcPr>
          <w:p w14:paraId="0791D754" w14:textId="77777777" w:rsidR="00DB6BF2" w:rsidRPr="00AB1D4F" w:rsidRDefault="00DB6BF2" w:rsidP="008841AC">
            <w:pPr>
              <w:spacing w:after="0" w:line="240" w:lineRule="auto"/>
              <w:rPr>
                <w:rFonts w:eastAsia="Times New Roman" w:cs="Times New Roman"/>
                <w:color w:val="000000"/>
                <w:kern w:val="0"/>
                <w:szCs w:val="24"/>
                <w14:ligatures w14:val="none"/>
              </w:rPr>
            </w:pPr>
            <w:proofErr w:type="spellStart"/>
            <w:r w:rsidRPr="00AB1D4F">
              <w:rPr>
                <w:rFonts w:eastAsia="Times New Roman" w:cs="Times New Roman"/>
                <w:color w:val="000000"/>
                <w:kern w:val="0"/>
                <w:szCs w:val="24"/>
                <w14:ligatures w14:val="none"/>
              </w:rPr>
              <w:t>npar</w:t>
            </w:r>
            <w:proofErr w:type="spellEnd"/>
          </w:p>
        </w:tc>
        <w:tc>
          <w:tcPr>
            <w:tcW w:w="1236" w:type="dxa"/>
            <w:tcBorders>
              <w:top w:val="nil"/>
              <w:left w:val="nil"/>
              <w:bottom w:val="nil"/>
              <w:right w:val="nil"/>
            </w:tcBorders>
            <w:shd w:val="clear" w:color="auto" w:fill="auto"/>
            <w:noWrap/>
            <w:vAlign w:val="bottom"/>
            <w:hideMark/>
          </w:tcPr>
          <w:p w14:paraId="00FE5470"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472.000</w:t>
            </w:r>
          </w:p>
        </w:tc>
        <w:tc>
          <w:tcPr>
            <w:tcW w:w="1011" w:type="dxa"/>
            <w:tcBorders>
              <w:top w:val="nil"/>
              <w:left w:val="nil"/>
              <w:bottom w:val="nil"/>
              <w:right w:val="nil"/>
            </w:tcBorders>
            <w:shd w:val="clear" w:color="auto" w:fill="auto"/>
            <w:noWrap/>
            <w:vAlign w:val="bottom"/>
            <w:hideMark/>
          </w:tcPr>
          <w:p w14:paraId="37F9F287"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p>
        </w:tc>
        <w:tc>
          <w:tcPr>
            <w:tcW w:w="1236" w:type="dxa"/>
            <w:tcBorders>
              <w:top w:val="nil"/>
              <w:left w:val="nil"/>
              <w:bottom w:val="nil"/>
              <w:right w:val="nil"/>
            </w:tcBorders>
            <w:shd w:val="clear" w:color="auto" w:fill="auto"/>
            <w:noWrap/>
            <w:vAlign w:val="bottom"/>
            <w:hideMark/>
          </w:tcPr>
          <w:p w14:paraId="0AD9F479"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339.000</w:t>
            </w:r>
          </w:p>
        </w:tc>
        <w:tc>
          <w:tcPr>
            <w:tcW w:w="996" w:type="dxa"/>
            <w:tcBorders>
              <w:top w:val="nil"/>
              <w:left w:val="nil"/>
              <w:bottom w:val="nil"/>
              <w:right w:val="nil"/>
            </w:tcBorders>
            <w:shd w:val="clear" w:color="auto" w:fill="auto"/>
            <w:noWrap/>
            <w:vAlign w:val="bottom"/>
            <w:hideMark/>
          </w:tcPr>
          <w:p w14:paraId="66847336"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p>
        </w:tc>
        <w:tc>
          <w:tcPr>
            <w:tcW w:w="1236" w:type="dxa"/>
            <w:tcBorders>
              <w:top w:val="nil"/>
              <w:left w:val="nil"/>
              <w:bottom w:val="nil"/>
              <w:right w:val="nil"/>
            </w:tcBorders>
            <w:shd w:val="clear" w:color="auto" w:fill="auto"/>
            <w:noWrap/>
            <w:vAlign w:val="bottom"/>
            <w:hideMark/>
          </w:tcPr>
          <w:p w14:paraId="0244D3BC"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206.000</w:t>
            </w:r>
          </w:p>
        </w:tc>
      </w:tr>
      <w:tr w:rsidR="00DB6BF2" w:rsidRPr="00AB1D4F" w14:paraId="194B78B2" w14:textId="77777777" w:rsidTr="008841AC">
        <w:trPr>
          <w:trHeight w:val="315"/>
        </w:trPr>
        <w:tc>
          <w:tcPr>
            <w:tcW w:w="1043" w:type="dxa"/>
            <w:tcBorders>
              <w:top w:val="nil"/>
              <w:left w:val="nil"/>
              <w:bottom w:val="nil"/>
              <w:right w:val="nil"/>
            </w:tcBorders>
            <w:shd w:val="clear" w:color="auto" w:fill="auto"/>
            <w:noWrap/>
            <w:vAlign w:val="bottom"/>
            <w:hideMark/>
          </w:tcPr>
          <w:p w14:paraId="0E6151F2" w14:textId="77777777" w:rsidR="00DB6BF2" w:rsidRPr="00AB1D4F" w:rsidRDefault="00DB6BF2" w:rsidP="008841AC">
            <w:pPr>
              <w:spacing w:after="0" w:line="240" w:lineRule="auto"/>
              <w:rPr>
                <w:rFonts w:eastAsia="Times New Roman" w:cs="Times New Roman"/>
                <w:color w:val="000000"/>
                <w:kern w:val="0"/>
                <w:szCs w:val="24"/>
                <w14:ligatures w14:val="none"/>
              </w:rPr>
            </w:pPr>
            <w:proofErr w:type="spellStart"/>
            <w:r w:rsidRPr="00AB1D4F">
              <w:rPr>
                <w:rFonts w:eastAsia="Times New Roman" w:cs="Times New Roman"/>
                <w:color w:val="000000"/>
                <w:kern w:val="0"/>
                <w:szCs w:val="24"/>
                <w14:ligatures w14:val="none"/>
              </w:rPr>
              <w:t>Chisq</w:t>
            </w:r>
            <w:proofErr w:type="spellEnd"/>
          </w:p>
        </w:tc>
        <w:tc>
          <w:tcPr>
            <w:tcW w:w="1236" w:type="dxa"/>
            <w:tcBorders>
              <w:top w:val="nil"/>
              <w:left w:val="nil"/>
              <w:bottom w:val="nil"/>
              <w:right w:val="nil"/>
            </w:tcBorders>
            <w:shd w:val="clear" w:color="auto" w:fill="auto"/>
            <w:noWrap/>
            <w:vAlign w:val="bottom"/>
            <w:hideMark/>
          </w:tcPr>
          <w:p w14:paraId="46915EB2"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4945.667</w:t>
            </w:r>
          </w:p>
        </w:tc>
        <w:tc>
          <w:tcPr>
            <w:tcW w:w="1011" w:type="dxa"/>
            <w:tcBorders>
              <w:top w:val="nil"/>
              <w:left w:val="nil"/>
              <w:bottom w:val="nil"/>
              <w:right w:val="nil"/>
            </w:tcBorders>
            <w:shd w:val="clear" w:color="auto" w:fill="auto"/>
            <w:noWrap/>
            <w:vAlign w:val="bottom"/>
            <w:hideMark/>
          </w:tcPr>
          <w:p w14:paraId="51EAABD4"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p>
        </w:tc>
        <w:tc>
          <w:tcPr>
            <w:tcW w:w="1236" w:type="dxa"/>
            <w:tcBorders>
              <w:top w:val="nil"/>
              <w:left w:val="nil"/>
              <w:bottom w:val="nil"/>
              <w:right w:val="nil"/>
            </w:tcBorders>
            <w:shd w:val="clear" w:color="auto" w:fill="auto"/>
            <w:noWrap/>
            <w:vAlign w:val="bottom"/>
            <w:hideMark/>
          </w:tcPr>
          <w:p w14:paraId="32CEC3B3"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5238.950</w:t>
            </w:r>
          </w:p>
        </w:tc>
        <w:tc>
          <w:tcPr>
            <w:tcW w:w="996" w:type="dxa"/>
            <w:tcBorders>
              <w:top w:val="nil"/>
              <w:left w:val="nil"/>
              <w:bottom w:val="nil"/>
              <w:right w:val="nil"/>
            </w:tcBorders>
            <w:shd w:val="clear" w:color="auto" w:fill="auto"/>
            <w:noWrap/>
            <w:vAlign w:val="bottom"/>
            <w:hideMark/>
          </w:tcPr>
          <w:p w14:paraId="41368225"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p>
        </w:tc>
        <w:tc>
          <w:tcPr>
            <w:tcW w:w="1236" w:type="dxa"/>
            <w:tcBorders>
              <w:top w:val="nil"/>
              <w:left w:val="nil"/>
              <w:bottom w:val="nil"/>
              <w:right w:val="nil"/>
            </w:tcBorders>
            <w:shd w:val="clear" w:color="auto" w:fill="auto"/>
            <w:noWrap/>
            <w:vAlign w:val="bottom"/>
            <w:hideMark/>
          </w:tcPr>
          <w:p w14:paraId="632B904B"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5862.494</w:t>
            </w:r>
          </w:p>
        </w:tc>
      </w:tr>
      <w:tr w:rsidR="00DB6BF2" w:rsidRPr="00AB1D4F" w14:paraId="2D9F7958" w14:textId="77777777" w:rsidTr="008841AC">
        <w:trPr>
          <w:trHeight w:val="315"/>
        </w:trPr>
        <w:tc>
          <w:tcPr>
            <w:tcW w:w="1043" w:type="dxa"/>
            <w:tcBorders>
              <w:top w:val="nil"/>
              <w:left w:val="nil"/>
              <w:bottom w:val="nil"/>
              <w:right w:val="nil"/>
            </w:tcBorders>
            <w:shd w:val="clear" w:color="auto" w:fill="auto"/>
            <w:noWrap/>
            <w:vAlign w:val="bottom"/>
            <w:hideMark/>
          </w:tcPr>
          <w:p w14:paraId="7F620A45" w14:textId="77777777" w:rsidR="00DB6BF2" w:rsidRPr="00AB1D4F" w:rsidRDefault="00DB6BF2" w:rsidP="008841AC">
            <w:pPr>
              <w:spacing w:after="0" w:line="240" w:lineRule="auto"/>
              <w:rPr>
                <w:rFonts w:eastAsia="Times New Roman" w:cs="Times New Roman"/>
                <w:color w:val="000000"/>
                <w:kern w:val="0"/>
                <w:szCs w:val="24"/>
                <w14:ligatures w14:val="none"/>
              </w:rPr>
            </w:pPr>
            <w:proofErr w:type="spellStart"/>
            <w:r w:rsidRPr="00AB1D4F">
              <w:rPr>
                <w:rFonts w:eastAsia="Times New Roman" w:cs="Times New Roman"/>
                <w:color w:val="000000"/>
                <w:kern w:val="0"/>
                <w:szCs w:val="24"/>
                <w14:ligatures w14:val="none"/>
              </w:rPr>
              <w:t>df</w:t>
            </w:r>
            <w:proofErr w:type="spellEnd"/>
          </w:p>
        </w:tc>
        <w:tc>
          <w:tcPr>
            <w:tcW w:w="1236" w:type="dxa"/>
            <w:tcBorders>
              <w:top w:val="nil"/>
              <w:left w:val="nil"/>
              <w:bottom w:val="nil"/>
              <w:right w:val="nil"/>
            </w:tcBorders>
            <w:shd w:val="clear" w:color="auto" w:fill="auto"/>
            <w:noWrap/>
            <w:vAlign w:val="bottom"/>
            <w:hideMark/>
          </w:tcPr>
          <w:p w14:paraId="6F30EF73"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1368.000</w:t>
            </w:r>
          </w:p>
        </w:tc>
        <w:tc>
          <w:tcPr>
            <w:tcW w:w="1011" w:type="dxa"/>
            <w:tcBorders>
              <w:top w:val="nil"/>
              <w:left w:val="nil"/>
              <w:bottom w:val="nil"/>
              <w:right w:val="nil"/>
            </w:tcBorders>
            <w:shd w:val="clear" w:color="auto" w:fill="auto"/>
            <w:noWrap/>
            <w:vAlign w:val="bottom"/>
            <w:hideMark/>
          </w:tcPr>
          <w:p w14:paraId="435F0EAE"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p>
        </w:tc>
        <w:tc>
          <w:tcPr>
            <w:tcW w:w="1236" w:type="dxa"/>
            <w:tcBorders>
              <w:top w:val="nil"/>
              <w:left w:val="nil"/>
              <w:bottom w:val="nil"/>
              <w:right w:val="nil"/>
            </w:tcBorders>
            <w:shd w:val="clear" w:color="auto" w:fill="auto"/>
            <w:noWrap/>
            <w:vAlign w:val="bottom"/>
            <w:hideMark/>
          </w:tcPr>
          <w:p w14:paraId="30C30573"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1501.000</w:t>
            </w:r>
          </w:p>
        </w:tc>
        <w:tc>
          <w:tcPr>
            <w:tcW w:w="996" w:type="dxa"/>
            <w:tcBorders>
              <w:top w:val="nil"/>
              <w:left w:val="nil"/>
              <w:bottom w:val="nil"/>
              <w:right w:val="nil"/>
            </w:tcBorders>
            <w:shd w:val="clear" w:color="auto" w:fill="auto"/>
            <w:noWrap/>
            <w:vAlign w:val="bottom"/>
            <w:hideMark/>
          </w:tcPr>
          <w:p w14:paraId="44B4D742"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p>
        </w:tc>
        <w:tc>
          <w:tcPr>
            <w:tcW w:w="1236" w:type="dxa"/>
            <w:tcBorders>
              <w:top w:val="nil"/>
              <w:left w:val="nil"/>
              <w:bottom w:val="nil"/>
              <w:right w:val="nil"/>
            </w:tcBorders>
            <w:shd w:val="clear" w:color="auto" w:fill="auto"/>
            <w:noWrap/>
            <w:vAlign w:val="bottom"/>
            <w:hideMark/>
          </w:tcPr>
          <w:p w14:paraId="68B2C794"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1634.000</w:t>
            </w:r>
          </w:p>
        </w:tc>
      </w:tr>
      <w:tr w:rsidR="00DB6BF2" w:rsidRPr="00AB1D4F" w14:paraId="79A8025D" w14:textId="77777777" w:rsidTr="008841AC">
        <w:trPr>
          <w:trHeight w:val="315"/>
        </w:trPr>
        <w:tc>
          <w:tcPr>
            <w:tcW w:w="1043" w:type="dxa"/>
            <w:tcBorders>
              <w:top w:val="nil"/>
              <w:left w:val="nil"/>
              <w:bottom w:val="nil"/>
              <w:right w:val="nil"/>
            </w:tcBorders>
            <w:shd w:val="clear" w:color="auto" w:fill="auto"/>
            <w:noWrap/>
            <w:vAlign w:val="bottom"/>
            <w:hideMark/>
          </w:tcPr>
          <w:p w14:paraId="59FEF31E"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CFI</w:t>
            </w:r>
          </w:p>
        </w:tc>
        <w:tc>
          <w:tcPr>
            <w:tcW w:w="1236" w:type="dxa"/>
            <w:tcBorders>
              <w:top w:val="nil"/>
              <w:left w:val="nil"/>
              <w:bottom w:val="nil"/>
              <w:right w:val="nil"/>
            </w:tcBorders>
            <w:shd w:val="clear" w:color="auto" w:fill="auto"/>
            <w:noWrap/>
            <w:vAlign w:val="bottom"/>
            <w:hideMark/>
          </w:tcPr>
          <w:p w14:paraId="24C1B10C"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0.769</w:t>
            </w:r>
          </w:p>
        </w:tc>
        <w:tc>
          <w:tcPr>
            <w:tcW w:w="1011" w:type="dxa"/>
            <w:tcBorders>
              <w:top w:val="nil"/>
              <w:left w:val="nil"/>
              <w:bottom w:val="nil"/>
              <w:right w:val="nil"/>
            </w:tcBorders>
            <w:shd w:val="clear" w:color="auto" w:fill="auto"/>
            <w:noWrap/>
            <w:vAlign w:val="bottom"/>
            <w:hideMark/>
          </w:tcPr>
          <w:p w14:paraId="35B1E975"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0.004</w:t>
            </w:r>
          </w:p>
        </w:tc>
        <w:tc>
          <w:tcPr>
            <w:tcW w:w="1236" w:type="dxa"/>
            <w:tcBorders>
              <w:top w:val="nil"/>
              <w:left w:val="nil"/>
              <w:bottom w:val="nil"/>
              <w:right w:val="nil"/>
            </w:tcBorders>
            <w:shd w:val="clear" w:color="auto" w:fill="auto"/>
            <w:noWrap/>
            <w:vAlign w:val="bottom"/>
            <w:hideMark/>
          </w:tcPr>
          <w:p w14:paraId="05560E04"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0.765</w:t>
            </w:r>
          </w:p>
        </w:tc>
        <w:tc>
          <w:tcPr>
            <w:tcW w:w="996" w:type="dxa"/>
            <w:tcBorders>
              <w:top w:val="nil"/>
              <w:left w:val="nil"/>
              <w:bottom w:val="nil"/>
              <w:right w:val="nil"/>
            </w:tcBorders>
            <w:shd w:val="clear" w:color="auto" w:fill="auto"/>
            <w:noWrap/>
            <w:vAlign w:val="bottom"/>
            <w:hideMark/>
          </w:tcPr>
          <w:p w14:paraId="51646121"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0.034</w:t>
            </w:r>
          </w:p>
        </w:tc>
        <w:tc>
          <w:tcPr>
            <w:tcW w:w="1236" w:type="dxa"/>
            <w:tcBorders>
              <w:top w:val="nil"/>
              <w:left w:val="nil"/>
              <w:bottom w:val="nil"/>
              <w:right w:val="nil"/>
            </w:tcBorders>
            <w:shd w:val="clear" w:color="auto" w:fill="auto"/>
            <w:noWrap/>
            <w:vAlign w:val="bottom"/>
            <w:hideMark/>
          </w:tcPr>
          <w:p w14:paraId="12EF193D"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0.731</w:t>
            </w:r>
          </w:p>
        </w:tc>
      </w:tr>
      <w:tr w:rsidR="00DB6BF2" w:rsidRPr="00AB1D4F" w14:paraId="219767E2" w14:textId="77777777" w:rsidTr="008841AC">
        <w:trPr>
          <w:trHeight w:val="315"/>
        </w:trPr>
        <w:tc>
          <w:tcPr>
            <w:tcW w:w="1043" w:type="dxa"/>
            <w:tcBorders>
              <w:top w:val="nil"/>
              <w:left w:val="nil"/>
              <w:bottom w:val="nil"/>
              <w:right w:val="nil"/>
            </w:tcBorders>
            <w:shd w:val="clear" w:color="auto" w:fill="auto"/>
            <w:noWrap/>
            <w:vAlign w:val="bottom"/>
            <w:hideMark/>
          </w:tcPr>
          <w:p w14:paraId="3D6F9562"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RMSEA</w:t>
            </w:r>
          </w:p>
        </w:tc>
        <w:tc>
          <w:tcPr>
            <w:tcW w:w="1236" w:type="dxa"/>
            <w:tcBorders>
              <w:top w:val="nil"/>
              <w:left w:val="nil"/>
              <w:bottom w:val="nil"/>
              <w:right w:val="nil"/>
            </w:tcBorders>
            <w:shd w:val="clear" w:color="auto" w:fill="auto"/>
            <w:noWrap/>
            <w:vAlign w:val="bottom"/>
            <w:hideMark/>
          </w:tcPr>
          <w:p w14:paraId="7CC2A425"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0.100</w:t>
            </w:r>
          </w:p>
        </w:tc>
        <w:tc>
          <w:tcPr>
            <w:tcW w:w="1011" w:type="dxa"/>
            <w:tcBorders>
              <w:top w:val="nil"/>
              <w:left w:val="nil"/>
              <w:bottom w:val="nil"/>
              <w:right w:val="nil"/>
            </w:tcBorders>
            <w:shd w:val="clear" w:color="auto" w:fill="auto"/>
            <w:noWrap/>
            <w:vAlign w:val="bottom"/>
            <w:hideMark/>
          </w:tcPr>
          <w:p w14:paraId="52200D96"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0.003</w:t>
            </w:r>
          </w:p>
        </w:tc>
        <w:tc>
          <w:tcPr>
            <w:tcW w:w="1236" w:type="dxa"/>
            <w:tcBorders>
              <w:top w:val="nil"/>
              <w:left w:val="nil"/>
              <w:bottom w:val="nil"/>
              <w:right w:val="nil"/>
            </w:tcBorders>
            <w:shd w:val="clear" w:color="auto" w:fill="auto"/>
            <w:noWrap/>
            <w:vAlign w:val="bottom"/>
            <w:hideMark/>
          </w:tcPr>
          <w:p w14:paraId="32B60DEF"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0.097</w:t>
            </w:r>
          </w:p>
        </w:tc>
        <w:tc>
          <w:tcPr>
            <w:tcW w:w="996" w:type="dxa"/>
            <w:tcBorders>
              <w:top w:val="nil"/>
              <w:left w:val="nil"/>
              <w:bottom w:val="nil"/>
              <w:right w:val="nil"/>
            </w:tcBorders>
            <w:shd w:val="clear" w:color="auto" w:fill="auto"/>
            <w:noWrap/>
            <w:vAlign w:val="bottom"/>
            <w:hideMark/>
          </w:tcPr>
          <w:p w14:paraId="0D414685"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-0.002</w:t>
            </w:r>
          </w:p>
        </w:tc>
        <w:tc>
          <w:tcPr>
            <w:tcW w:w="1236" w:type="dxa"/>
            <w:tcBorders>
              <w:top w:val="nil"/>
              <w:left w:val="nil"/>
              <w:bottom w:val="nil"/>
              <w:right w:val="nil"/>
            </w:tcBorders>
            <w:shd w:val="clear" w:color="auto" w:fill="auto"/>
            <w:noWrap/>
            <w:vAlign w:val="bottom"/>
            <w:hideMark/>
          </w:tcPr>
          <w:p w14:paraId="1C3B14BD"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0.099</w:t>
            </w:r>
          </w:p>
        </w:tc>
      </w:tr>
      <w:tr w:rsidR="00DB6BF2" w:rsidRPr="00AB1D4F" w14:paraId="5F0939BF" w14:textId="77777777" w:rsidTr="008841AC">
        <w:trPr>
          <w:trHeight w:val="315"/>
        </w:trPr>
        <w:tc>
          <w:tcPr>
            <w:tcW w:w="1043" w:type="dxa"/>
            <w:tcBorders>
              <w:top w:val="nil"/>
              <w:left w:val="nil"/>
              <w:bottom w:val="nil"/>
              <w:right w:val="nil"/>
            </w:tcBorders>
            <w:shd w:val="clear" w:color="auto" w:fill="auto"/>
            <w:noWrap/>
            <w:vAlign w:val="bottom"/>
            <w:hideMark/>
          </w:tcPr>
          <w:p w14:paraId="48791F0B"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BIC</w:t>
            </w:r>
          </w:p>
        </w:tc>
        <w:tc>
          <w:tcPr>
            <w:tcW w:w="1236" w:type="dxa"/>
            <w:tcBorders>
              <w:top w:val="nil"/>
              <w:left w:val="nil"/>
              <w:bottom w:val="nil"/>
              <w:right w:val="nil"/>
            </w:tcBorders>
            <w:shd w:val="clear" w:color="auto" w:fill="auto"/>
            <w:noWrap/>
            <w:vAlign w:val="bottom"/>
            <w:hideMark/>
          </w:tcPr>
          <w:p w14:paraId="69A8CFF2"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71144.914</w:t>
            </w:r>
          </w:p>
        </w:tc>
        <w:tc>
          <w:tcPr>
            <w:tcW w:w="1011" w:type="dxa"/>
            <w:tcBorders>
              <w:top w:val="nil"/>
              <w:left w:val="nil"/>
              <w:bottom w:val="nil"/>
              <w:right w:val="nil"/>
            </w:tcBorders>
            <w:shd w:val="clear" w:color="auto" w:fill="auto"/>
            <w:noWrap/>
            <w:vAlign w:val="bottom"/>
            <w:hideMark/>
          </w:tcPr>
          <w:p w14:paraId="0C3E66C9"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709.549</w:t>
            </w:r>
          </w:p>
        </w:tc>
        <w:tc>
          <w:tcPr>
            <w:tcW w:w="1236" w:type="dxa"/>
            <w:tcBorders>
              <w:top w:val="nil"/>
              <w:left w:val="nil"/>
              <w:bottom w:val="nil"/>
              <w:right w:val="nil"/>
            </w:tcBorders>
            <w:shd w:val="clear" w:color="auto" w:fill="auto"/>
            <w:noWrap/>
            <w:vAlign w:val="bottom"/>
            <w:hideMark/>
          </w:tcPr>
          <w:p w14:paraId="50F9E7C3"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70435.365</w:t>
            </w:r>
          </w:p>
        </w:tc>
        <w:tc>
          <w:tcPr>
            <w:tcW w:w="996" w:type="dxa"/>
            <w:tcBorders>
              <w:top w:val="nil"/>
              <w:left w:val="nil"/>
              <w:bottom w:val="nil"/>
              <w:right w:val="nil"/>
            </w:tcBorders>
            <w:shd w:val="clear" w:color="auto" w:fill="auto"/>
            <w:noWrap/>
            <w:vAlign w:val="bottom"/>
            <w:hideMark/>
          </w:tcPr>
          <w:p w14:paraId="1E3D0D44"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379.288</w:t>
            </w:r>
          </w:p>
        </w:tc>
        <w:tc>
          <w:tcPr>
            <w:tcW w:w="1236" w:type="dxa"/>
            <w:tcBorders>
              <w:top w:val="nil"/>
              <w:left w:val="nil"/>
              <w:bottom w:val="nil"/>
              <w:right w:val="nil"/>
            </w:tcBorders>
            <w:shd w:val="clear" w:color="auto" w:fill="auto"/>
            <w:noWrap/>
            <w:vAlign w:val="bottom"/>
            <w:hideMark/>
          </w:tcPr>
          <w:p w14:paraId="2732B2FC"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70056.077</w:t>
            </w:r>
          </w:p>
        </w:tc>
      </w:tr>
      <w:tr w:rsidR="00DB6BF2" w:rsidRPr="00AB1D4F" w14:paraId="38B67CE4" w14:textId="77777777" w:rsidTr="008841AC">
        <w:trPr>
          <w:trHeight w:val="315"/>
        </w:trPr>
        <w:tc>
          <w:tcPr>
            <w:tcW w:w="1043" w:type="dxa"/>
            <w:tcBorders>
              <w:top w:val="nil"/>
              <w:left w:val="nil"/>
              <w:bottom w:val="single" w:sz="4" w:space="0" w:color="auto"/>
              <w:right w:val="nil"/>
            </w:tcBorders>
            <w:shd w:val="clear" w:color="auto" w:fill="auto"/>
            <w:noWrap/>
            <w:vAlign w:val="bottom"/>
            <w:hideMark/>
          </w:tcPr>
          <w:p w14:paraId="7FF94A2C"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MNCI</w:t>
            </w:r>
          </w:p>
        </w:tc>
        <w:tc>
          <w:tcPr>
            <w:tcW w:w="1236" w:type="dxa"/>
            <w:tcBorders>
              <w:top w:val="nil"/>
              <w:left w:val="nil"/>
              <w:bottom w:val="single" w:sz="4" w:space="0" w:color="auto"/>
              <w:right w:val="nil"/>
            </w:tcBorders>
            <w:shd w:val="clear" w:color="auto" w:fill="auto"/>
            <w:noWrap/>
            <w:vAlign w:val="bottom"/>
            <w:hideMark/>
          </w:tcPr>
          <w:p w14:paraId="199F6882"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0.723</w:t>
            </w:r>
          </w:p>
        </w:tc>
        <w:tc>
          <w:tcPr>
            <w:tcW w:w="1011" w:type="dxa"/>
            <w:tcBorders>
              <w:top w:val="nil"/>
              <w:left w:val="nil"/>
              <w:bottom w:val="single" w:sz="4" w:space="0" w:color="auto"/>
              <w:right w:val="nil"/>
            </w:tcBorders>
            <w:shd w:val="clear" w:color="auto" w:fill="auto"/>
            <w:noWrap/>
            <w:vAlign w:val="bottom"/>
            <w:hideMark/>
          </w:tcPr>
          <w:p w14:paraId="1378F3B5"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0.010</w:t>
            </w:r>
          </w:p>
        </w:tc>
        <w:tc>
          <w:tcPr>
            <w:tcW w:w="1236" w:type="dxa"/>
            <w:tcBorders>
              <w:top w:val="nil"/>
              <w:left w:val="nil"/>
              <w:bottom w:val="single" w:sz="4" w:space="0" w:color="auto"/>
              <w:right w:val="nil"/>
            </w:tcBorders>
            <w:shd w:val="clear" w:color="auto" w:fill="auto"/>
            <w:noWrap/>
            <w:vAlign w:val="bottom"/>
            <w:hideMark/>
          </w:tcPr>
          <w:p w14:paraId="222A2E3D"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0.713</w:t>
            </w:r>
          </w:p>
        </w:tc>
        <w:tc>
          <w:tcPr>
            <w:tcW w:w="996" w:type="dxa"/>
            <w:tcBorders>
              <w:top w:val="nil"/>
              <w:left w:val="nil"/>
              <w:bottom w:val="single" w:sz="4" w:space="0" w:color="auto"/>
              <w:right w:val="nil"/>
            </w:tcBorders>
            <w:shd w:val="clear" w:color="auto" w:fill="auto"/>
            <w:noWrap/>
            <w:vAlign w:val="bottom"/>
            <w:hideMark/>
          </w:tcPr>
          <w:p w14:paraId="473C9893"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-0.008</w:t>
            </w:r>
          </w:p>
        </w:tc>
        <w:tc>
          <w:tcPr>
            <w:tcW w:w="1236" w:type="dxa"/>
            <w:tcBorders>
              <w:top w:val="nil"/>
              <w:left w:val="nil"/>
              <w:bottom w:val="single" w:sz="4" w:space="0" w:color="auto"/>
              <w:right w:val="nil"/>
            </w:tcBorders>
            <w:shd w:val="clear" w:color="auto" w:fill="auto"/>
            <w:noWrap/>
            <w:vAlign w:val="bottom"/>
            <w:hideMark/>
          </w:tcPr>
          <w:p w14:paraId="7AB62500"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0.721</w:t>
            </w:r>
          </w:p>
        </w:tc>
      </w:tr>
      <w:tr w:rsidR="00DB6BF2" w:rsidRPr="00AB1D4F" w14:paraId="3B5E3984" w14:textId="77777777" w:rsidTr="008841AC">
        <w:trPr>
          <w:trHeight w:val="315"/>
        </w:trPr>
        <w:tc>
          <w:tcPr>
            <w:tcW w:w="6758" w:type="dxa"/>
            <w:gridSpan w:val="6"/>
            <w:tcBorders>
              <w:top w:val="single" w:sz="4" w:space="0" w:color="auto"/>
              <w:left w:val="nil"/>
              <w:right w:val="nil"/>
            </w:tcBorders>
            <w:shd w:val="clear" w:color="auto" w:fill="auto"/>
            <w:noWrap/>
            <w:vAlign w:val="bottom"/>
          </w:tcPr>
          <w:p w14:paraId="4BE21576" w14:textId="77777777" w:rsidR="00DB6BF2" w:rsidRPr="00AB1D4F" w:rsidRDefault="00DB6BF2" w:rsidP="008841AC">
            <w:pPr>
              <w:spacing w:after="0" w:line="240" w:lineRule="auto"/>
              <w:rPr>
                <w:rFonts w:eastAsia="Times New Roman" w:cs="Times New Roman"/>
                <w:color w:val="000000"/>
                <w:kern w:val="0"/>
                <w:szCs w:val="24"/>
                <w14:ligatures w14:val="none"/>
              </w:rPr>
            </w:pPr>
          </w:p>
        </w:tc>
      </w:tr>
      <w:tr w:rsidR="00DB6BF2" w:rsidRPr="00AB1D4F" w14:paraId="02A233EC" w14:textId="77777777" w:rsidTr="008841AC">
        <w:trPr>
          <w:trHeight w:val="315"/>
        </w:trPr>
        <w:tc>
          <w:tcPr>
            <w:tcW w:w="6758" w:type="dxa"/>
            <w:gridSpan w:val="6"/>
            <w:tcBorders>
              <w:left w:val="nil"/>
              <w:bottom w:val="single" w:sz="4" w:space="0" w:color="auto"/>
              <w:right w:val="nil"/>
            </w:tcBorders>
            <w:shd w:val="clear" w:color="auto" w:fill="auto"/>
            <w:noWrap/>
            <w:vAlign w:val="bottom"/>
            <w:hideMark/>
          </w:tcPr>
          <w:p w14:paraId="28D15B24"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Dyadic Adjustment Scale, 7-item (DAS-7)</w:t>
            </w:r>
          </w:p>
        </w:tc>
      </w:tr>
      <w:tr w:rsidR="00DB6BF2" w:rsidRPr="00AB1D4F" w14:paraId="62B56289" w14:textId="77777777" w:rsidTr="008841AC">
        <w:trPr>
          <w:trHeight w:val="315"/>
        </w:trPr>
        <w:tc>
          <w:tcPr>
            <w:tcW w:w="1043" w:type="dxa"/>
            <w:tcBorders>
              <w:top w:val="single" w:sz="4" w:space="0" w:color="auto"/>
              <w:left w:val="nil"/>
              <w:bottom w:val="nil"/>
              <w:right w:val="nil"/>
            </w:tcBorders>
            <w:shd w:val="clear" w:color="auto" w:fill="auto"/>
            <w:noWrap/>
            <w:vAlign w:val="bottom"/>
            <w:hideMark/>
          </w:tcPr>
          <w:p w14:paraId="23AE8EEC" w14:textId="77777777" w:rsidR="00DB6BF2" w:rsidRPr="00AB1D4F" w:rsidRDefault="00DB6BF2" w:rsidP="008841AC">
            <w:pPr>
              <w:spacing w:after="0" w:line="240" w:lineRule="auto"/>
              <w:jc w:val="center"/>
              <w:rPr>
                <w:rFonts w:eastAsia="Times New Roman" w:cs="Times New Roman"/>
                <w:color w:val="000000"/>
                <w:kern w:val="0"/>
                <w:szCs w:val="24"/>
                <w14:ligatures w14:val="none"/>
              </w:rPr>
            </w:pPr>
          </w:p>
        </w:tc>
        <w:tc>
          <w:tcPr>
            <w:tcW w:w="1236" w:type="dxa"/>
            <w:tcBorders>
              <w:top w:val="single" w:sz="4" w:space="0" w:color="auto"/>
              <w:left w:val="nil"/>
              <w:bottom w:val="nil"/>
              <w:right w:val="nil"/>
            </w:tcBorders>
            <w:shd w:val="clear" w:color="auto" w:fill="auto"/>
            <w:noWrap/>
            <w:vAlign w:val="bottom"/>
            <w:hideMark/>
          </w:tcPr>
          <w:p w14:paraId="7AADB153"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configural</w:t>
            </w:r>
          </w:p>
        </w:tc>
        <w:tc>
          <w:tcPr>
            <w:tcW w:w="1011" w:type="dxa"/>
            <w:tcBorders>
              <w:top w:val="single" w:sz="4" w:space="0" w:color="auto"/>
              <w:left w:val="nil"/>
              <w:bottom w:val="nil"/>
              <w:right w:val="nil"/>
            </w:tcBorders>
            <w:shd w:val="clear" w:color="auto" w:fill="auto"/>
            <w:noWrap/>
            <w:vAlign w:val="bottom"/>
            <w:hideMark/>
          </w:tcPr>
          <w:p w14:paraId="7478B9D5" w14:textId="77777777" w:rsidR="00DB6BF2" w:rsidRPr="00AB1D4F" w:rsidRDefault="00DB6BF2" w:rsidP="008841AC">
            <w:pPr>
              <w:spacing w:after="0" w:line="240" w:lineRule="auto"/>
              <w:rPr>
                <w:rFonts w:eastAsia="Times New Roman" w:cs="Times New Roman"/>
                <w:color w:val="000000"/>
                <w:kern w:val="0"/>
                <w:szCs w:val="24"/>
                <w14:ligatures w14:val="none"/>
              </w:rPr>
            </w:pPr>
            <w:proofErr w:type="spellStart"/>
            <w:r>
              <w:rPr>
                <w:rFonts w:eastAsia="Times New Roman" w:cs="Times New Roman"/>
                <w:color w:val="000000"/>
                <w:kern w:val="0"/>
                <w:szCs w:val="24"/>
                <w14:ligatures w14:val="none"/>
              </w:rPr>
              <w:t>ΔMetric</w:t>
            </w:r>
            <w:proofErr w:type="spellEnd"/>
          </w:p>
        </w:tc>
        <w:tc>
          <w:tcPr>
            <w:tcW w:w="1236" w:type="dxa"/>
            <w:tcBorders>
              <w:top w:val="single" w:sz="4" w:space="0" w:color="auto"/>
              <w:left w:val="nil"/>
              <w:bottom w:val="nil"/>
              <w:right w:val="nil"/>
            </w:tcBorders>
            <w:shd w:val="clear" w:color="auto" w:fill="auto"/>
            <w:noWrap/>
            <w:vAlign w:val="bottom"/>
            <w:hideMark/>
          </w:tcPr>
          <w:p w14:paraId="567E03CF"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metric</w:t>
            </w:r>
          </w:p>
        </w:tc>
        <w:tc>
          <w:tcPr>
            <w:tcW w:w="996" w:type="dxa"/>
            <w:tcBorders>
              <w:top w:val="single" w:sz="4" w:space="0" w:color="auto"/>
              <w:left w:val="nil"/>
              <w:bottom w:val="nil"/>
              <w:right w:val="nil"/>
            </w:tcBorders>
            <w:shd w:val="clear" w:color="auto" w:fill="auto"/>
            <w:noWrap/>
            <w:vAlign w:val="bottom"/>
            <w:hideMark/>
          </w:tcPr>
          <w:p w14:paraId="3B64F78A" w14:textId="77777777" w:rsidR="00DB6BF2" w:rsidRPr="00AB1D4F" w:rsidRDefault="00DB6BF2" w:rsidP="008841AC">
            <w:pPr>
              <w:spacing w:after="0" w:line="240" w:lineRule="auto"/>
              <w:rPr>
                <w:rFonts w:eastAsia="Times New Roman" w:cs="Times New Roman"/>
                <w:color w:val="000000"/>
                <w:kern w:val="0"/>
                <w:szCs w:val="24"/>
                <w14:ligatures w14:val="none"/>
              </w:rPr>
            </w:pPr>
            <w:proofErr w:type="spellStart"/>
            <w:r>
              <w:rPr>
                <w:rFonts w:eastAsia="Times New Roman" w:cs="Times New Roman"/>
                <w:color w:val="000000"/>
                <w:kern w:val="0"/>
                <w:szCs w:val="24"/>
                <w14:ligatures w14:val="none"/>
              </w:rPr>
              <w:t>ΔScalar</w:t>
            </w:r>
            <w:proofErr w:type="spellEnd"/>
          </w:p>
        </w:tc>
        <w:tc>
          <w:tcPr>
            <w:tcW w:w="1236" w:type="dxa"/>
            <w:tcBorders>
              <w:top w:val="single" w:sz="4" w:space="0" w:color="auto"/>
              <w:left w:val="nil"/>
              <w:bottom w:val="nil"/>
              <w:right w:val="nil"/>
            </w:tcBorders>
            <w:shd w:val="clear" w:color="auto" w:fill="auto"/>
            <w:noWrap/>
            <w:vAlign w:val="bottom"/>
            <w:hideMark/>
          </w:tcPr>
          <w:p w14:paraId="2B792CB8"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scalar</w:t>
            </w:r>
          </w:p>
        </w:tc>
      </w:tr>
      <w:tr w:rsidR="00DB6BF2" w:rsidRPr="00AB1D4F" w14:paraId="36796B5D" w14:textId="77777777" w:rsidTr="008841AC">
        <w:trPr>
          <w:trHeight w:val="315"/>
        </w:trPr>
        <w:tc>
          <w:tcPr>
            <w:tcW w:w="1043" w:type="dxa"/>
            <w:tcBorders>
              <w:top w:val="nil"/>
              <w:left w:val="nil"/>
              <w:bottom w:val="nil"/>
              <w:right w:val="nil"/>
            </w:tcBorders>
            <w:shd w:val="clear" w:color="auto" w:fill="auto"/>
            <w:noWrap/>
            <w:vAlign w:val="bottom"/>
            <w:hideMark/>
          </w:tcPr>
          <w:p w14:paraId="63921DD9" w14:textId="77777777" w:rsidR="00DB6BF2" w:rsidRPr="00AB1D4F" w:rsidRDefault="00DB6BF2" w:rsidP="008841AC">
            <w:pPr>
              <w:spacing w:after="0" w:line="240" w:lineRule="auto"/>
              <w:rPr>
                <w:rFonts w:eastAsia="Times New Roman" w:cs="Times New Roman"/>
                <w:color w:val="000000"/>
                <w:kern w:val="0"/>
                <w:szCs w:val="24"/>
                <w14:ligatures w14:val="none"/>
              </w:rPr>
            </w:pPr>
            <w:proofErr w:type="spellStart"/>
            <w:r w:rsidRPr="00AB1D4F">
              <w:rPr>
                <w:rFonts w:eastAsia="Times New Roman" w:cs="Times New Roman"/>
                <w:color w:val="000000"/>
                <w:kern w:val="0"/>
                <w:szCs w:val="24"/>
                <w14:ligatures w14:val="none"/>
              </w:rPr>
              <w:t>npar</w:t>
            </w:r>
            <w:proofErr w:type="spellEnd"/>
          </w:p>
        </w:tc>
        <w:tc>
          <w:tcPr>
            <w:tcW w:w="1236" w:type="dxa"/>
            <w:tcBorders>
              <w:top w:val="nil"/>
              <w:left w:val="nil"/>
              <w:bottom w:val="nil"/>
              <w:right w:val="nil"/>
            </w:tcBorders>
            <w:shd w:val="clear" w:color="auto" w:fill="auto"/>
            <w:noWrap/>
            <w:vAlign w:val="bottom"/>
            <w:hideMark/>
          </w:tcPr>
          <w:p w14:paraId="7790063D"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40.000</w:t>
            </w:r>
          </w:p>
        </w:tc>
        <w:tc>
          <w:tcPr>
            <w:tcW w:w="1011" w:type="dxa"/>
            <w:tcBorders>
              <w:top w:val="nil"/>
              <w:left w:val="nil"/>
              <w:bottom w:val="nil"/>
              <w:right w:val="nil"/>
            </w:tcBorders>
            <w:shd w:val="clear" w:color="auto" w:fill="auto"/>
            <w:noWrap/>
            <w:vAlign w:val="bottom"/>
            <w:hideMark/>
          </w:tcPr>
          <w:p w14:paraId="6B4C4E64"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p>
        </w:tc>
        <w:tc>
          <w:tcPr>
            <w:tcW w:w="1236" w:type="dxa"/>
            <w:tcBorders>
              <w:top w:val="nil"/>
              <w:left w:val="nil"/>
              <w:bottom w:val="nil"/>
              <w:right w:val="nil"/>
            </w:tcBorders>
            <w:shd w:val="clear" w:color="auto" w:fill="auto"/>
            <w:noWrap/>
            <w:vAlign w:val="bottom"/>
            <w:hideMark/>
          </w:tcPr>
          <w:p w14:paraId="69683275"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34.000</w:t>
            </w:r>
          </w:p>
        </w:tc>
        <w:tc>
          <w:tcPr>
            <w:tcW w:w="996" w:type="dxa"/>
            <w:tcBorders>
              <w:top w:val="nil"/>
              <w:left w:val="nil"/>
              <w:bottom w:val="nil"/>
              <w:right w:val="nil"/>
            </w:tcBorders>
            <w:shd w:val="clear" w:color="auto" w:fill="auto"/>
            <w:noWrap/>
            <w:vAlign w:val="bottom"/>
            <w:hideMark/>
          </w:tcPr>
          <w:p w14:paraId="5D64B481"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p>
        </w:tc>
        <w:tc>
          <w:tcPr>
            <w:tcW w:w="1236" w:type="dxa"/>
            <w:tcBorders>
              <w:top w:val="nil"/>
              <w:left w:val="nil"/>
              <w:bottom w:val="nil"/>
              <w:right w:val="nil"/>
            </w:tcBorders>
            <w:shd w:val="clear" w:color="auto" w:fill="auto"/>
            <w:noWrap/>
            <w:vAlign w:val="bottom"/>
            <w:hideMark/>
          </w:tcPr>
          <w:p w14:paraId="7B6D9852"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28.000</w:t>
            </w:r>
          </w:p>
        </w:tc>
      </w:tr>
      <w:tr w:rsidR="00DB6BF2" w:rsidRPr="00AB1D4F" w14:paraId="6C9BFA9E" w14:textId="77777777" w:rsidTr="008841AC">
        <w:trPr>
          <w:trHeight w:val="315"/>
        </w:trPr>
        <w:tc>
          <w:tcPr>
            <w:tcW w:w="1043" w:type="dxa"/>
            <w:tcBorders>
              <w:top w:val="nil"/>
              <w:left w:val="nil"/>
              <w:bottom w:val="nil"/>
              <w:right w:val="nil"/>
            </w:tcBorders>
            <w:shd w:val="clear" w:color="auto" w:fill="auto"/>
            <w:noWrap/>
            <w:vAlign w:val="bottom"/>
            <w:hideMark/>
          </w:tcPr>
          <w:p w14:paraId="6B18A613" w14:textId="77777777" w:rsidR="00DB6BF2" w:rsidRPr="00AB1D4F" w:rsidRDefault="00DB6BF2" w:rsidP="008841AC">
            <w:pPr>
              <w:spacing w:after="0" w:line="240" w:lineRule="auto"/>
              <w:rPr>
                <w:rFonts w:eastAsia="Times New Roman" w:cs="Times New Roman"/>
                <w:color w:val="000000"/>
                <w:kern w:val="0"/>
                <w:szCs w:val="24"/>
                <w14:ligatures w14:val="none"/>
              </w:rPr>
            </w:pPr>
            <w:proofErr w:type="spellStart"/>
            <w:r w:rsidRPr="00AB1D4F">
              <w:rPr>
                <w:rFonts w:eastAsia="Times New Roman" w:cs="Times New Roman"/>
                <w:color w:val="000000"/>
                <w:kern w:val="0"/>
                <w:szCs w:val="24"/>
                <w14:ligatures w14:val="none"/>
              </w:rPr>
              <w:t>Chisq</w:t>
            </w:r>
            <w:proofErr w:type="spellEnd"/>
          </w:p>
        </w:tc>
        <w:tc>
          <w:tcPr>
            <w:tcW w:w="1236" w:type="dxa"/>
            <w:tcBorders>
              <w:top w:val="nil"/>
              <w:left w:val="nil"/>
              <w:bottom w:val="nil"/>
              <w:right w:val="nil"/>
            </w:tcBorders>
            <w:shd w:val="clear" w:color="auto" w:fill="auto"/>
            <w:noWrap/>
            <w:vAlign w:val="bottom"/>
            <w:hideMark/>
          </w:tcPr>
          <w:p w14:paraId="2BA81832"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427.538</w:t>
            </w:r>
          </w:p>
        </w:tc>
        <w:tc>
          <w:tcPr>
            <w:tcW w:w="1011" w:type="dxa"/>
            <w:tcBorders>
              <w:top w:val="nil"/>
              <w:left w:val="nil"/>
              <w:bottom w:val="nil"/>
              <w:right w:val="nil"/>
            </w:tcBorders>
            <w:shd w:val="clear" w:color="auto" w:fill="auto"/>
            <w:noWrap/>
            <w:vAlign w:val="bottom"/>
            <w:hideMark/>
          </w:tcPr>
          <w:p w14:paraId="6AB50237"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p>
        </w:tc>
        <w:tc>
          <w:tcPr>
            <w:tcW w:w="1236" w:type="dxa"/>
            <w:tcBorders>
              <w:top w:val="nil"/>
              <w:left w:val="nil"/>
              <w:bottom w:val="nil"/>
              <w:right w:val="nil"/>
            </w:tcBorders>
            <w:shd w:val="clear" w:color="auto" w:fill="auto"/>
            <w:noWrap/>
            <w:vAlign w:val="bottom"/>
            <w:hideMark/>
          </w:tcPr>
          <w:p w14:paraId="3D22DFD5"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451.553</w:t>
            </w:r>
          </w:p>
        </w:tc>
        <w:tc>
          <w:tcPr>
            <w:tcW w:w="996" w:type="dxa"/>
            <w:tcBorders>
              <w:top w:val="nil"/>
              <w:left w:val="nil"/>
              <w:bottom w:val="nil"/>
              <w:right w:val="nil"/>
            </w:tcBorders>
            <w:shd w:val="clear" w:color="auto" w:fill="auto"/>
            <w:noWrap/>
            <w:vAlign w:val="bottom"/>
            <w:hideMark/>
          </w:tcPr>
          <w:p w14:paraId="7DF1BEC6"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p>
        </w:tc>
        <w:tc>
          <w:tcPr>
            <w:tcW w:w="1236" w:type="dxa"/>
            <w:tcBorders>
              <w:top w:val="nil"/>
              <w:left w:val="nil"/>
              <w:bottom w:val="nil"/>
              <w:right w:val="nil"/>
            </w:tcBorders>
            <w:shd w:val="clear" w:color="auto" w:fill="auto"/>
            <w:noWrap/>
            <w:vAlign w:val="bottom"/>
            <w:hideMark/>
          </w:tcPr>
          <w:p w14:paraId="3E30AE50"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464.578</w:t>
            </w:r>
          </w:p>
        </w:tc>
      </w:tr>
      <w:tr w:rsidR="00DB6BF2" w:rsidRPr="00AB1D4F" w14:paraId="63143A01" w14:textId="77777777" w:rsidTr="008841AC">
        <w:trPr>
          <w:trHeight w:val="315"/>
        </w:trPr>
        <w:tc>
          <w:tcPr>
            <w:tcW w:w="1043" w:type="dxa"/>
            <w:tcBorders>
              <w:top w:val="nil"/>
              <w:left w:val="nil"/>
              <w:bottom w:val="nil"/>
              <w:right w:val="nil"/>
            </w:tcBorders>
            <w:shd w:val="clear" w:color="auto" w:fill="auto"/>
            <w:noWrap/>
            <w:vAlign w:val="bottom"/>
            <w:hideMark/>
          </w:tcPr>
          <w:p w14:paraId="36EA6B25" w14:textId="77777777" w:rsidR="00DB6BF2" w:rsidRPr="00AB1D4F" w:rsidRDefault="00DB6BF2" w:rsidP="008841AC">
            <w:pPr>
              <w:spacing w:after="0" w:line="240" w:lineRule="auto"/>
              <w:rPr>
                <w:rFonts w:eastAsia="Times New Roman" w:cs="Times New Roman"/>
                <w:color w:val="000000"/>
                <w:kern w:val="0"/>
                <w:szCs w:val="24"/>
                <w14:ligatures w14:val="none"/>
              </w:rPr>
            </w:pPr>
            <w:proofErr w:type="spellStart"/>
            <w:r w:rsidRPr="00AB1D4F">
              <w:rPr>
                <w:rFonts w:eastAsia="Times New Roman" w:cs="Times New Roman"/>
                <w:color w:val="000000"/>
                <w:kern w:val="0"/>
                <w:szCs w:val="24"/>
                <w14:ligatures w14:val="none"/>
              </w:rPr>
              <w:t>df</w:t>
            </w:r>
            <w:proofErr w:type="spellEnd"/>
          </w:p>
        </w:tc>
        <w:tc>
          <w:tcPr>
            <w:tcW w:w="1236" w:type="dxa"/>
            <w:tcBorders>
              <w:top w:val="nil"/>
              <w:left w:val="nil"/>
              <w:bottom w:val="nil"/>
              <w:right w:val="nil"/>
            </w:tcBorders>
            <w:shd w:val="clear" w:color="auto" w:fill="auto"/>
            <w:noWrap/>
            <w:vAlign w:val="bottom"/>
            <w:hideMark/>
          </w:tcPr>
          <w:p w14:paraId="5A1D4C12"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30.000</w:t>
            </w:r>
          </w:p>
        </w:tc>
        <w:tc>
          <w:tcPr>
            <w:tcW w:w="1011" w:type="dxa"/>
            <w:tcBorders>
              <w:top w:val="nil"/>
              <w:left w:val="nil"/>
              <w:bottom w:val="nil"/>
              <w:right w:val="nil"/>
            </w:tcBorders>
            <w:shd w:val="clear" w:color="auto" w:fill="auto"/>
            <w:noWrap/>
            <w:vAlign w:val="bottom"/>
            <w:hideMark/>
          </w:tcPr>
          <w:p w14:paraId="30FC4261"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p>
        </w:tc>
        <w:tc>
          <w:tcPr>
            <w:tcW w:w="1236" w:type="dxa"/>
            <w:tcBorders>
              <w:top w:val="nil"/>
              <w:left w:val="nil"/>
              <w:bottom w:val="nil"/>
              <w:right w:val="nil"/>
            </w:tcBorders>
            <w:shd w:val="clear" w:color="auto" w:fill="auto"/>
            <w:noWrap/>
            <w:vAlign w:val="bottom"/>
            <w:hideMark/>
          </w:tcPr>
          <w:p w14:paraId="588B5608"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36.000</w:t>
            </w:r>
          </w:p>
        </w:tc>
        <w:tc>
          <w:tcPr>
            <w:tcW w:w="996" w:type="dxa"/>
            <w:tcBorders>
              <w:top w:val="nil"/>
              <w:left w:val="nil"/>
              <w:bottom w:val="nil"/>
              <w:right w:val="nil"/>
            </w:tcBorders>
            <w:shd w:val="clear" w:color="auto" w:fill="auto"/>
            <w:noWrap/>
            <w:vAlign w:val="bottom"/>
            <w:hideMark/>
          </w:tcPr>
          <w:p w14:paraId="74706617"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p>
        </w:tc>
        <w:tc>
          <w:tcPr>
            <w:tcW w:w="1236" w:type="dxa"/>
            <w:tcBorders>
              <w:top w:val="nil"/>
              <w:left w:val="nil"/>
              <w:bottom w:val="nil"/>
              <w:right w:val="nil"/>
            </w:tcBorders>
            <w:shd w:val="clear" w:color="auto" w:fill="auto"/>
            <w:noWrap/>
            <w:vAlign w:val="bottom"/>
            <w:hideMark/>
          </w:tcPr>
          <w:p w14:paraId="170983DC"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42.000</w:t>
            </w:r>
          </w:p>
        </w:tc>
      </w:tr>
      <w:tr w:rsidR="00DB6BF2" w:rsidRPr="00AB1D4F" w14:paraId="6D3B7262" w14:textId="77777777" w:rsidTr="008841AC">
        <w:trPr>
          <w:trHeight w:val="315"/>
        </w:trPr>
        <w:tc>
          <w:tcPr>
            <w:tcW w:w="1043" w:type="dxa"/>
            <w:tcBorders>
              <w:top w:val="nil"/>
              <w:left w:val="nil"/>
              <w:bottom w:val="nil"/>
              <w:right w:val="nil"/>
            </w:tcBorders>
            <w:shd w:val="clear" w:color="auto" w:fill="auto"/>
            <w:noWrap/>
            <w:vAlign w:val="bottom"/>
            <w:hideMark/>
          </w:tcPr>
          <w:p w14:paraId="1A022337"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CFI</w:t>
            </w:r>
          </w:p>
        </w:tc>
        <w:tc>
          <w:tcPr>
            <w:tcW w:w="1236" w:type="dxa"/>
            <w:tcBorders>
              <w:top w:val="nil"/>
              <w:left w:val="nil"/>
              <w:bottom w:val="nil"/>
              <w:right w:val="nil"/>
            </w:tcBorders>
            <w:shd w:val="clear" w:color="auto" w:fill="auto"/>
            <w:noWrap/>
            <w:vAlign w:val="bottom"/>
            <w:hideMark/>
          </w:tcPr>
          <w:p w14:paraId="5F0DA934"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0.641</w:t>
            </w:r>
          </w:p>
        </w:tc>
        <w:tc>
          <w:tcPr>
            <w:tcW w:w="1011" w:type="dxa"/>
            <w:tcBorders>
              <w:top w:val="nil"/>
              <w:left w:val="nil"/>
              <w:bottom w:val="nil"/>
              <w:right w:val="nil"/>
            </w:tcBorders>
            <w:shd w:val="clear" w:color="auto" w:fill="auto"/>
            <w:noWrap/>
            <w:vAlign w:val="bottom"/>
            <w:hideMark/>
          </w:tcPr>
          <w:p w14:paraId="2A2120E2"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0.015</w:t>
            </w:r>
          </w:p>
        </w:tc>
        <w:tc>
          <w:tcPr>
            <w:tcW w:w="1236" w:type="dxa"/>
            <w:tcBorders>
              <w:top w:val="nil"/>
              <w:left w:val="nil"/>
              <w:bottom w:val="nil"/>
              <w:right w:val="nil"/>
            </w:tcBorders>
            <w:shd w:val="clear" w:color="auto" w:fill="auto"/>
            <w:noWrap/>
            <w:vAlign w:val="bottom"/>
            <w:hideMark/>
          </w:tcPr>
          <w:p w14:paraId="53F754A5"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0.626</w:t>
            </w:r>
          </w:p>
        </w:tc>
        <w:tc>
          <w:tcPr>
            <w:tcW w:w="996" w:type="dxa"/>
            <w:tcBorders>
              <w:top w:val="nil"/>
              <w:left w:val="nil"/>
              <w:bottom w:val="nil"/>
              <w:right w:val="nil"/>
            </w:tcBorders>
            <w:shd w:val="clear" w:color="auto" w:fill="auto"/>
            <w:noWrap/>
            <w:vAlign w:val="bottom"/>
            <w:hideMark/>
          </w:tcPr>
          <w:p w14:paraId="52770FEA"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0.006</w:t>
            </w:r>
          </w:p>
        </w:tc>
        <w:tc>
          <w:tcPr>
            <w:tcW w:w="1236" w:type="dxa"/>
            <w:tcBorders>
              <w:top w:val="nil"/>
              <w:left w:val="nil"/>
              <w:bottom w:val="nil"/>
              <w:right w:val="nil"/>
            </w:tcBorders>
            <w:shd w:val="clear" w:color="auto" w:fill="auto"/>
            <w:noWrap/>
            <w:vAlign w:val="bottom"/>
            <w:hideMark/>
          </w:tcPr>
          <w:p w14:paraId="3CAA52E8"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0.620</w:t>
            </w:r>
          </w:p>
        </w:tc>
      </w:tr>
      <w:tr w:rsidR="00DB6BF2" w:rsidRPr="00AB1D4F" w14:paraId="0D818037" w14:textId="77777777" w:rsidTr="008841AC">
        <w:trPr>
          <w:trHeight w:val="315"/>
        </w:trPr>
        <w:tc>
          <w:tcPr>
            <w:tcW w:w="1043" w:type="dxa"/>
            <w:tcBorders>
              <w:top w:val="nil"/>
              <w:left w:val="nil"/>
              <w:bottom w:val="nil"/>
              <w:right w:val="nil"/>
            </w:tcBorders>
            <w:shd w:val="clear" w:color="auto" w:fill="auto"/>
            <w:noWrap/>
            <w:vAlign w:val="bottom"/>
            <w:hideMark/>
          </w:tcPr>
          <w:p w14:paraId="1CA00D38"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RMSEA</w:t>
            </w:r>
          </w:p>
        </w:tc>
        <w:tc>
          <w:tcPr>
            <w:tcW w:w="1236" w:type="dxa"/>
            <w:tcBorders>
              <w:top w:val="nil"/>
              <w:left w:val="nil"/>
              <w:bottom w:val="nil"/>
              <w:right w:val="nil"/>
            </w:tcBorders>
            <w:shd w:val="clear" w:color="auto" w:fill="auto"/>
            <w:noWrap/>
            <w:vAlign w:val="bottom"/>
            <w:hideMark/>
          </w:tcPr>
          <w:p w14:paraId="4327DB4F"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0.198</w:t>
            </w:r>
          </w:p>
        </w:tc>
        <w:tc>
          <w:tcPr>
            <w:tcW w:w="1011" w:type="dxa"/>
            <w:tcBorders>
              <w:top w:val="nil"/>
              <w:left w:val="nil"/>
              <w:bottom w:val="nil"/>
              <w:right w:val="nil"/>
            </w:tcBorders>
            <w:shd w:val="clear" w:color="auto" w:fill="auto"/>
            <w:noWrap/>
            <w:vAlign w:val="bottom"/>
            <w:hideMark/>
          </w:tcPr>
          <w:p w14:paraId="6B1547DA"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0.014</w:t>
            </w:r>
          </w:p>
        </w:tc>
        <w:tc>
          <w:tcPr>
            <w:tcW w:w="1236" w:type="dxa"/>
            <w:tcBorders>
              <w:top w:val="nil"/>
              <w:left w:val="nil"/>
              <w:bottom w:val="nil"/>
              <w:right w:val="nil"/>
            </w:tcBorders>
            <w:shd w:val="clear" w:color="auto" w:fill="auto"/>
            <w:noWrap/>
            <w:vAlign w:val="bottom"/>
            <w:hideMark/>
          </w:tcPr>
          <w:p w14:paraId="2A727473"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0.184</w:t>
            </w:r>
          </w:p>
        </w:tc>
        <w:tc>
          <w:tcPr>
            <w:tcW w:w="996" w:type="dxa"/>
            <w:tcBorders>
              <w:top w:val="nil"/>
              <w:left w:val="nil"/>
              <w:bottom w:val="nil"/>
              <w:right w:val="nil"/>
            </w:tcBorders>
            <w:shd w:val="clear" w:color="auto" w:fill="auto"/>
            <w:noWrap/>
            <w:vAlign w:val="bottom"/>
            <w:hideMark/>
          </w:tcPr>
          <w:p w14:paraId="03EA3C2B"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0.012</w:t>
            </w:r>
          </w:p>
        </w:tc>
        <w:tc>
          <w:tcPr>
            <w:tcW w:w="1236" w:type="dxa"/>
            <w:tcBorders>
              <w:top w:val="nil"/>
              <w:left w:val="nil"/>
              <w:bottom w:val="nil"/>
              <w:right w:val="nil"/>
            </w:tcBorders>
            <w:shd w:val="clear" w:color="auto" w:fill="auto"/>
            <w:noWrap/>
            <w:vAlign w:val="bottom"/>
            <w:hideMark/>
          </w:tcPr>
          <w:p w14:paraId="4C12EFAC"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0.172</w:t>
            </w:r>
          </w:p>
        </w:tc>
      </w:tr>
      <w:tr w:rsidR="00DB6BF2" w:rsidRPr="00AB1D4F" w14:paraId="4B2D6EFD" w14:textId="77777777" w:rsidTr="008841AC">
        <w:trPr>
          <w:trHeight w:val="315"/>
        </w:trPr>
        <w:tc>
          <w:tcPr>
            <w:tcW w:w="1043" w:type="dxa"/>
            <w:tcBorders>
              <w:top w:val="nil"/>
              <w:left w:val="nil"/>
              <w:right w:val="nil"/>
            </w:tcBorders>
            <w:shd w:val="clear" w:color="auto" w:fill="auto"/>
            <w:noWrap/>
            <w:vAlign w:val="bottom"/>
            <w:hideMark/>
          </w:tcPr>
          <w:p w14:paraId="3C207295"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BIC</w:t>
            </w:r>
          </w:p>
        </w:tc>
        <w:tc>
          <w:tcPr>
            <w:tcW w:w="1236" w:type="dxa"/>
            <w:tcBorders>
              <w:top w:val="nil"/>
              <w:left w:val="nil"/>
              <w:right w:val="nil"/>
            </w:tcBorders>
            <w:shd w:val="clear" w:color="auto" w:fill="auto"/>
            <w:noWrap/>
            <w:vAlign w:val="bottom"/>
            <w:hideMark/>
          </w:tcPr>
          <w:p w14:paraId="43D8853C"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13095.395</w:t>
            </w:r>
          </w:p>
        </w:tc>
        <w:tc>
          <w:tcPr>
            <w:tcW w:w="1011" w:type="dxa"/>
            <w:tcBorders>
              <w:top w:val="nil"/>
              <w:left w:val="nil"/>
              <w:right w:val="nil"/>
            </w:tcBorders>
            <w:shd w:val="clear" w:color="auto" w:fill="auto"/>
            <w:noWrap/>
            <w:vAlign w:val="bottom"/>
            <w:hideMark/>
          </w:tcPr>
          <w:p w14:paraId="647C3718"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14.874</w:t>
            </w:r>
          </w:p>
        </w:tc>
        <w:tc>
          <w:tcPr>
            <w:tcW w:w="1236" w:type="dxa"/>
            <w:tcBorders>
              <w:top w:val="nil"/>
              <w:left w:val="nil"/>
              <w:right w:val="nil"/>
            </w:tcBorders>
            <w:shd w:val="clear" w:color="auto" w:fill="auto"/>
            <w:noWrap/>
            <w:vAlign w:val="bottom"/>
            <w:hideMark/>
          </w:tcPr>
          <w:p w14:paraId="0C5A8DEE"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13080.521</w:t>
            </w:r>
          </w:p>
        </w:tc>
        <w:tc>
          <w:tcPr>
            <w:tcW w:w="996" w:type="dxa"/>
            <w:tcBorders>
              <w:top w:val="nil"/>
              <w:left w:val="nil"/>
              <w:right w:val="nil"/>
            </w:tcBorders>
            <w:shd w:val="clear" w:color="auto" w:fill="auto"/>
            <w:noWrap/>
            <w:vAlign w:val="bottom"/>
            <w:hideMark/>
          </w:tcPr>
          <w:p w14:paraId="0903A0C2"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25.864</w:t>
            </w:r>
          </w:p>
        </w:tc>
        <w:tc>
          <w:tcPr>
            <w:tcW w:w="1236" w:type="dxa"/>
            <w:tcBorders>
              <w:top w:val="nil"/>
              <w:left w:val="nil"/>
              <w:right w:val="nil"/>
            </w:tcBorders>
            <w:shd w:val="clear" w:color="auto" w:fill="auto"/>
            <w:noWrap/>
            <w:vAlign w:val="bottom"/>
            <w:hideMark/>
          </w:tcPr>
          <w:p w14:paraId="6B3AD5EA"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13054.657</w:t>
            </w:r>
          </w:p>
        </w:tc>
      </w:tr>
      <w:tr w:rsidR="00DB6BF2" w:rsidRPr="00AB1D4F" w14:paraId="30472A25" w14:textId="77777777" w:rsidTr="008841AC">
        <w:trPr>
          <w:trHeight w:val="315"/>
        </w:trPr>
        <w:tc>
          <w:tcPr>
            <w:tcW w:w="1043" w:type="dxa"/>
            <w:tcBorders>
              <w:top w:val="nil"/>
              <w:left w:val="nil"/>
              <w:bottom w:val="single" w:sz="4" w:space="0" w:color="auto"/>
              <w:right w:val="nil"/>
            </w:tcBorders>
            <w:shd w:val="clear" w:color="auto" w:fill="auto"/>
            <w:noWrap/>
            <w:vAlign w:val="bottom"/>
            <w:hideMark/>
          </w:tcPr>
          <w:p w14:paraId="2907B8DA" w14:textId="77777777" w:rsidR="00DB6BF2" w:rsidRPr="00AB1D4F" w:rsidRDefault="00DB6BF2" w:rsidP="008841AC">
            <w:pPr>
              <w:spacing w:after="0" w:line="240" w:lineRule="auto"/>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MNCI</w:t>
            </w:r>
          </w:p>
        </w:tc>
        <w:tc>
          <w:tcPr>
            <w:tcW w:w="1236" w:type="dxa"/>
            <w:tcBorders>
              <w:top w:val="nil"/>
              <w:left w:val="nil"/>
              <w:bottom w:val="single" w:sz="4" w:space="0" w:color="auto"/>
              <w:right w:val="nil"/>
            </w:tcBorders>
            <w:shd w:val="clear" w:color="auto" w:fill="auto"/>
            <w:noWrap/>
            <w:vAlign w:val="bottom"/>
            <w:hideMark/>
          </w:tcPr>
          <w:p w14:paraId="284B4DFA"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0.930</w:t>
            </w:r>
          </w:p>
        </w:tc>
        <w:tc>
          <w:tcPr>
            <w:tcW w:w="1011" w:type="dxa"/>
            <w:tcBorders>
              <w:top w:val="nil"/>
              <w:left w:val="nil"/>
              <w:bottom w:val="single" w:sz="4" w:space="0" w:color="auto"/>
              <w:right w:val="nil"/>
            </w:tcBorders>
            <w:shd w:val="clear" w:color="auto" w:fill="auto"/>
            <w:noWrap/>
            <w:vAlign w:val="bottom"/>
            <w:hideMark/>
          </w:tcPr>
          <w:p w14:paraId="6BFB2DEF"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0.010</w:t>
            </w:r>
          </w:p>
        </w:tc>
        <w:tc>
          <w:tcPr>
            <w:tcW w:w="1236" w:type="dxa"/>
            <w:tcBorders>
              <w:top w:val="nil"/>
              <w:left w:val="nil"/>
              <w:bottom w:val="single" w:sz="4" w:space="0" w:color="auto"/>
              <w:right w:val="nil"/>
            </w:tcBorders>
            <w:shd w:val="clear" w:color="auto" w:fill="auto"/>
            <w:noWrap/>
            <w:vAlign w:val="bottom"/>
            <w:hideMark/>
          </w:tcPr>
          <w:p w14:paraId="1E1E19EB"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0.920</w:t>
            </w:r>
          </w:p>
        </w:tc>
        <w:tc>
          <w:tcPr>
            <w:tcW w:w="996" w:type="dxa"/>
            <w:tcBorders>
              <w:top w:val="nil"/>
              <w:left w:val="nil"/>
              <w:bottom w:val="single" w:sz="4" w:space="0" w:color="auto"/>
              <w:right w:val="nil"/>
            </w:tcBorders>
            <w:shd w:val="clear" w:color="auto" w:fill="auto"/>
            <w:noWrap/>
            <w:vAlign w:val="bottom"/>
            <w:hideMark/>
          </w:tcPr>
          <w:p w14:paraId="03D51C06"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0.011</w:t>
            </w:r>
          </w:p>
        </w:tc>
        <w:tc>
          <w:tcPr>
            <w:tcW w:w="1236" w:type="dxa"/>
            <w:tcBorders>
              <w:top w:val="nil"/>
              <w:left w:val="nil"/>
              <w:bottom w:val="single" w:sz="4" w:space="0" w:color="auto"/>
              <w:right w:val="nil"/>
            </w:tcBorders>
            <w:shd w:val="clear" w:color="auto" w:fill="auto"/>
            <w:noWrap/>
            <w:vAlign w:val="bottom"/>
            <w:hideMark/>
          </w:tcPr>
          <w:p w14:paraId="21A0C8E1" w14:textId="77777777" w:rsidR="00DB6BF2" w:rsidRPr="00AB1D4F" w:rsidRDefault="00DB6BF2" w:rsidP="008841AC">
            <w:pPr>
              <w:spacing w:after="0" w:line="240" w:lineRule="auto"/>
              <w:jc w:val="right"/>
              <w:rPr>
                <w:rFonts w:eastAsia="Times New Roman" w:cs="Times New Roman"/>
                <w:color w:val="000000"/>
                <w:kern w:val="0"/>
                <w:szCs w:val="24"/>
                <w14:ligatures w14:val="none"/>
              </w:rPr>
            </w:pPr>
            <w:r w:rsidRPr="00AB1D4F">
              <w:rPr>
                <w:rFonts w:eastAsia="Times New Roman" w:cs="Times New Roman"/>
                <w:color w:val="000000"/>
                <w:kern w:val="0"/>
                <w:szCs w:val="24"/>
                <w14:ligatures w14:val="none"/>
              </w:rPr>
              <w:t>0.910</w:t>
            </w:r>
          </w:p>
        </w:tc>
      </w:tr>
    </w:tbl>
    <w:p w14:paraId="2CBA9239" w14:textId="77777777" w:rsidR="006C3BE8" w:rsidRDefault="006C3BE8" w:rsidP="00BC688A">
      <w:pPr>
        <w:rPr>
          <w:rFonts w:cs="Times New Roman"/>
          <w:b/>
          <w:bCs/>
          <w:szCs w:val="24"/>
        </w:rPr>
      </w:pPr>
    </w:p>
    <w:p w14:paraId="136ED248" w14:textId="60703A0C" w:rsidR="003F2A5B" w:rsidRDefault="005C03EB" w:rsidP="008D7367">
      <w:pPr>
        <w:spacing w:line="240" w:lineRule="auto"/>
        <w:rPr>
          <w:rFonts w:cs="Times New Roman"/>
          <w:b/>
          <w:bCs/>
          <w:szCs w:val="24"/>
        </w:rPr>
      </w:pPr>
      <w:r>
        <w:rPr>
          <w:rFonts w:cs="Times New Roman"/>
          <w:b/>
          <w:bCs/>
          <w:szCs w:val="24"/>
        </w:rPr>
        <w:t>Descriptions of covariance structures</w:t>
      </w:r>
    </w:p>
    <w:p w14:paraId="283CE769" w14:textId="727C65DC" w:rsidR="005C03EB" w:rsidRDefault="005C03EB" w:rsidP="008D7367">
      <w:pPr>
        <w:spacing w:line="240" w:lineRule="auto"/>
        <w:ind w:firstLine="720"/>
        <w:rPr>
          <w:rFonts w:cs="Times New Roman"/>
          <w:szCs w:val="24"/>
        </w:rPr>
      </w:pPr>
      <w:r>
        <w:rPr>
          <w:rFonts w:cs="Times New Roman"/>
          <w:szCs w:val="24"/>
        </w:rPr>
        <w:t xml:space="preserve">Compound symmetry is the simplest structure which assumes all repeated measures covary equally: </w:t>
      </w:r>
    </w:p>
    <w:p w14:paraId="188A1E5E" w14:textId="77777777" w:rsidR="005C03EB" w:rsidRPr="005C03EB" w:rsidRDefault="005C03EB" w:rsidP="008D7367">
      <w:pPr>
        <w:spacing w:line="240" w:lineRule="auto"/>
        <w:rPr>
          <w:rFonts w:eastAsia="MS Mincho" w:cs="Times New Roman"/>
          <w:b/>
          <w:bCs/>
          <w:i/>
          <w:iCs/>
          <w:szCs w:val="24"/>
        </w:rPr>
      </w:pPr>
      <w:r w:rsidRPr="005C03EB">
        <w:rPr>
          <w:rFonts w:eastAsia="MS Mincho" w:cs="Times New Roman"/>
          <w:b/>
          <w:bCs/>
          <w:i/>
          <w:iCs/>
          <w:szCs w:val="24"/>
        </w:rPr>
        <w:lastRenderedPageBreak/>
        <w:t>Compound symmetry</w:t>
      </w:r>
    </w:p>
    <w:p w14:paraId="05BBAD75" w14:textId="77777777" w:rsidR="005C03EB" w:rsidRPr="00790C7A" w:rsidRDefault="00F963A2" w:rsidP="00281D4D">
      <w:pPr>
        <w:spacing w:line="240" w:lineRule="auto"/>
        <w:rPr>
          <w:rFonts w:eastAsia="MS Mincho" w:cs="Times New Roman"/>
          <w:szCs w:val="24"/>
        </w:rPr>
      </w:pPr>
      <m:oMathPara>
        <m:oMathParaPr>
          <m:jc m:val="left"/>
        </m:oMathParaPr>
        <m:oMath>
          <m:d>
            <m:dPr>
              <m:begChr m:val="["/>
              <m:endChr m:val="]"/>
              <m:ctrlPr>
                <w:rPr>
                  <w:rFonts w:ascii="Cambria Math" w:eastAsia="MS Mincho" w:hAnsi="Cambria Math" w:cs="Times New Roman"/>
                  <w:i/>
                  <w:szCs w:val="24"/>
                </w:rPr>
              </m:ctrlPr>
            </m:dPr>
            <m:e>
              <m:m>
                <m:mPr>
                  <m:plcHide m:val="1"/>
                  <m:mcs>
                    <m:mc>
                      <m:mcPr>
                        <m:count m:val="4"/>
                        <m:mcJc m:val="center"/>
                      </m:mcPr>
                    </m:mc>
                  </m:mcs>
                  <m:ctrlPr>
                    <w:rPr>
                      <w:rFonts w:ascii="Cambria Math" w:eastAsia="MS Mincho" w:hAnsi="Cambria Math" w:cs="Times New Roman"/>
                      <w:i/>
                      <w:szCs w:val="24"/>
                    </w:rPr>
                  </m:ctrlPr>
                </m:mPr>
                <m:mr>
                  <m:e>
                    <m:r>
                      <w:rPr>
                        <w:rFonts w:ascii="Cambria Math" w:eastAsia="MS Mincho" w:hAnsi="Cambria Math" w:cs="Times New Roman"/>
                        <w:szCs w:val="24"/>
                      </w:rPr>
                      <m:t>1</m:t>
                    </m:r>
                  </m:e>
                  <m:e/>
                  <m:e/>
                  <m:e/>
                </m:mr>
                <m:mr>
                  <m:e>
                    <m:r>
                      <w:rPr>
                        <w:rFonts w:ascii="Cambria Math" w:eastAsia="MS Mincho" w:hAnsi="Cambria Math" w:cs="Times New Roman"/>
                        <w:szCs w:val="24"/>
                      </w:rPr>
                      <m:t>ρ</m:t>
                    </m:r>
                  </m:e>
                  <m:e>
                    <m:r>
                      <w:rPr>
                        <w:rFonts w:ascii="Cambria Math" w:eastAsia="MS Mincho" w:hAnsi="Cambria Math" w:cs="Times New Roman"/>
                        <w:szCs w:val="24"/>
                      </w:rPr>
                      <m:t>1</m:t>
                    </m:r>
                  </m:e>
                  <m:e/>
                  <m:e/>
                </m:mr>
                <m:mr>
                  <m:e>
                    <m:r>
                      <w:rPr>
                        <w:rFonts w:ascii="Cambria Math" w:eastAsia="MS Mincho" w:hAnsi="Cambria Math" w:cs="Times New Roman"/>
                        <w:szCs w:val="24"/>
                      </w:rPr>
                      <m:t>ρ</m:t>
                    </m:r>
                  </m:e>
                  <m:e>
                    <m:r>
                      <w:rPr>
                        <w:rFonts w:ascii="Cambria Math" w:eastAsia="MS Mincho" w:hAnsi="Cambria Math" w:cs="Times New Roman"/>
                        <w:szCs w:val="24"/>
                      </w:rPr>
                      <m:t>ρ</m:t>
                    </m:r>
                  </m:e>
                  <m:e>
                    <m:r>
                      <w:rPr>
                        <w:rFonts w:ascii="Cambria Math" w:eastAsia="MS Mincho" w:hAnsi="Cambria Math" w:cs="Times New Roman"/>
                        <w:szCs w:val="24"/>
                      </w:rPr>
                      <m:t>1</m:t>
                    </m:r>
                  </m:e>
                  <m:e/>
                </m:mr>
                <m:mr>
                  <m:e>
                    <m:r>
                      <w:rPr>
                        <w:rFonts w:ascii="Cambria Math" w:eastAsia="MS Mincho" w:hAnsi="Cambria Math" w:cs="Times New Roman"/>
                        <w:szCs w:val="24"/>
                      </w:rPr>
                      <m:t>ρ</m:t>
                    </m:r>
                  </m:e>
                  <m:e>
                    <m:r>
                      <w:rPr>
                        <w:rFonts w:ascii="Cambria Math" w:eastAsia="MS Mincho" w:hAnsi="Cambria Math" w:cs="Times New Roman"/>
                        <w:szCs w:val="24"/>
                      </w:rPr>
                      <m:t>ρ</m:t>
                    </m:r>
                  </m:e>
                  <m:e>
                    <m:r>
                      <w:rPr>
                        <w:rFonts w:ascii="Cambria Math" w:eastAsia="MS Mincho" w:hAnsi="Cambria Math" w:cs="Times New Roman"/>
                        <w:szCs w:val="24"/>
                      </w:rPr>
                      <m:t>ρ</m:t>
                    </m:r>
                  </m:e>
                  <m:e>
                    <m:r>
                      <w:rPr>
                        <w:rFonts w:ascii="Cambria Math" w:eastAsia="MS Mincho" w:hAnsi="Cambria Math" w:cs="Times New Roman"/>
                        <w:szCs w:val="24"/>
                      </w:rPr>
                      <m:t>1</m:t>
                    </m:r>
                  </m:e>
                </m:mr>
              </m:m>
            </m:e>
          </m:d>
        </m:oMath>
      </m:oMathPara>
    </w:p>
    <w:p w14:paraId="19515DC2" w14:textId="0005136D" w:rsidR="005C03EB" w:rsidRDefault="005C03EB" w:rsidP="003F2A5B">
      <w:pPr>
        <w:spacing w:line="240" w:lineRule="auto"/>
        <w:ind w:firstLine="720"/>
        <w:rPr>
          <w:rFonts w:cs="Times New Roman"/>
          <w:szCs w:val="24"/>
        </w:rPr>
      </w:pPr>
      <w:r>
        <w:rPr>
          <w:rFonts w:cs="Times New Roman"/>
          <w:szCs w:val="24"/>
        </w:rPr>
        <w:t xml:space="preserve">The first-order autoregressive (AR-1) structure assumes that pairs of repeated measures separated by one measurement occasion (i.e., lagged by one) are equally correlated. Repeated measures of lag </w:t>
      </w:r>
      <w:r>
        <w:rPr>
          <w:rFonts w:cs="Times New Roman"/>
          <w:i/>
          <w:iCs/>
          <w:szCs w:val="24"/>
        </w:rPr>
        <w:t xml:space="preserve">n </w:t>
      </w:r>
      <w:r>
        <w:rPr>
          <w:rFonts w:cs="Times New Roman"/>
          <w:szCs w:val="24"/>
        </w:rPr>
        <w:t xml:space="preserve">are assumed to be less correlated based on an exponential function of the single-lag correlation ρ raised to the </w:t>
      </w:r>
      <w:r>
        <w:rPr>
          <w:rFonts w:cs="Times New Roman"/>
          <w:i/>
          <w:iCs/>
          <w:szCs w:val="24"/>
        </w:rPr>
        <w:t xml:space="preserve">n </w:t>
      </w:r>
      <w:r>
        <w:rPr>
          <w:rFonts w:cs="Times New Roman"/>
          <w:szCs w:val="24"/>
        </w:rPr>
        <w:t>power:</w:t>
      </w:r>
    </w:p>
    <w:p w14:paraId="754793D8" w14:textId="77777777" w:rsidR="005C03EB" w:rsidRPr="005C03EB" w:rsidRDefault="005C03EB" w:rsidP="00281D4D">
      <w:pPr>
        <w:spacing w:line="240" w:lineRule="auto"/>
        <w:rPr>
          <w:rFonts w:eastAsia="MS Mincho" w:cs="Times New Roman"/>
          <w:b/>
          <w:bCs/>
          <w:i/>
          <w:iCs/>
          <w:szCs w:val="24"/>
        </w:rPr>
      </w:pPr>
      <w:r w:rsidRPr="005C03EB">
        <w:rPr>
          <w:rFonts w:eastAsia="MS Mincho" w:cs="Times New Roman"/>
          <w:b/>
          <w:bCs/>
          <w:i/>
          <w:iCs/>
          <w:szCs w:val="24"/>
        </w:rPr>
        <w:t xml:space="preserve">First Order Autoregressive </w:t>
      </w:r>
    </w:p>
    <w:p w14:paraId="55FFAA9F" w14:textId="7B293594" w:rsidR="005C03EB" w:rsidRPr="008841AC" w:rsidRDefault="00F963A2" w:rsidP="00281D4D">
      <w:pPr>
        <w:spacing w:line="240" w:lineRule="auto"/>
        <w:rPr>
          <w:rFonts w:eastAsia="MS Mincho" w:cs="Times New Roman"/>
          <w:szCs w:val="24"/>
        </w:rPr>
      </w:pPr>
      <m:oMathPara>
        <m:oMathParaPr>
          <m:jc m:val="left"/>
        </m:oMathParaPr>
        <m:oMath>
          <m:d>
            <m:dPr>
              <m:begChr m:val="["/>
              <m:endChr m:val="]"/>
              <m:ctrlPr>
                <w:rPr>
                  <w:rFonts w:ascii="Cambria Math" w:eastAsia="MS Mincho" w:hAnsi="Cambria Math" w:cs="Times New Roman"/>
                  <w:i/>
                  <w:szCs w:val="24"/>
                </w:rPr>
              </m:ctrlPr>
            </m:dPr>
            <m:e>
              <m:m>
                <m:mPr>
                  <m:plcHide m:val="1"/>
                  <m:mcs>
                    <m:mc>
                      <m:mcPr>
                        <m:count m:val="4"/>
                        <m:mcJc m:val="center"/>
                      </m:mcPr>
                    </m:mc>
                  </m:mcs>
                  <m:ctrlPr>
                    <w:rPr>
                      <w:rFonts w:ascii="Cambria Math" w:eastAsia="MS Mincho" w:hAnsi="Cambria Math" w:cs="Times New Roman"/>
                      <w:i/>
                      <w:szCs w:val="24"/>
                    </w:rPr>
                  </m:ctrlPr>
                </m:mPr>
                <m:mr>
                  <m:e>
                    <m:r>
                      <w:rPr>
                        <w:rFonts w:ascii="Cambria Math" w:eastAsia="MS Mincho" w:hAnsi="Cambria Math" w:cs="Times New Roman"/>
                        <w:szCs w:val="24"/>
                      </w:rPr>
                      <m:t>1</m:t>
                    </m:r>
                  </m:e>
                  <m:e/>
                  <m:e/>
                  <m:e/>
                </m:mr>
                <m:mr>
                  <m:e>
                    <m:r>
                      <w:rPr>
                        <w:rFonts w:ascii="Cambria Math" w:eastAsia="MS Mincho" w:hAnsi="Cambria Math" w:cs="Times New Roman"/>
                        <w:szCs w:val="24"/>
                      </w:rPr>
                      <m:t>ρ</m:t>
                    </m:r>
                  </m:e>
                  <m:e>
                    <m:r>
                      <w:rPr>
                        <w:rFonts w:ascii="Cambria Math" w:eastAsia="MS Mincho" w:hAnsi="Cambria Math" w:cs="Times New Roman"/>
                        <w:szCs w:val="24"/>
                      </w:rPr>
                      <m:t>1</m:t>
                    </m:r>
                  </m:e>
                  <m:e/>
                  <m:e/>
                </m:mr>
                <m:mr>
                  <m:e>
                    <m:sSup>
                      <m:sSupPr>
                        <m:ctrlPr>
                          <w:rPr>
                            <w:rFonts w:ascii="Cambria Math" w:eastAsia="MS Mincho" w:hAnsi="Cambria Math" w:cs="Times New Roman"/>
                            <w:i/>
                            <w:iCs/>
                            <w:szCs w:val="24"/>
                          </w:rPr>
                        </m:ctrlPr>
                      </m:sSupPr>
                      <m:e>
                        <m:r>
                          <w:rPr>
                            <w:rFonts w:ascii="Cambria Math" w:eastAsia="MS Mincho" w:hAnsi="Cambria Math" w:cs="Times New Roman"/>
                            <w:szCs w:val="24"/>
                          </w:rPr>
                          <m:t>ρ</m:t>
                        </m:r>
                      </m:e>
                      <m:sup>
                        <m:r>
                          <w:rPr>
                            <w:rFonts w:ascii="Cambria Math" w:eastAsia="MS Mincho" w:hAnsi="Cambria Math" w:cs="Times New Roman"/>
                            <w:szCs w:val="24"/>
                          </w:rPr>
                          <m:t>2</m:t>
                        </m:r>
                      </m:sup>
                    </m:sSup>
                  </m:e>
                  <m:e>
                    <m:r>
                      <w:rPr>
                        <w:rFonts w:ascii="Cambria Math" w:eastAsia="MS Mincho" w:hAnsi="Cambria Math" w:cs="Times New Roman"/>
                        <w:szCs w:val="24"/>
                      </w:rPr>
                      <m:t>ρ</m:t>
                    </m:r>
                  </m:e>
                  <m:e>
                    <m:r>
                      <w:rPr>
                        <w:rFonts w:ascii="Cambria Math" w:eastAsia="MS Mincho" w:hAnsi="Cambria Math" w:cs="Times New Roman"/>
                        <w:szCs w:val="24"/>
                      </w:rPr>
                      <m:t>1</m:t>
                    </m:r>
                  </m:e>
                  <m:e/>
                </m:mr>
                <m:mr>
                  <m:e>
                    <m:sSup>
                      <m:sSupPr>
                        <m:ctrlPr>
                          <w:rPr>
                            <w:rFonts w:ascii="Cambria Math" w:eastAsia="MS Mincho" w:hAnsi="Cambria Math" w:cs="Times New Roman"/>
                            <w:i/>
                            <w:szCs w:val="24"/>
                          </w:rPr>
                        </m:ctrlPr>
                      </m:sSupPr>
                      <m:e>
                        <m:r>
                          <w:rPr>
                            <w:rFonts w:ascii="Cambria Math" w:eastAsia="MS Mincho" w:hAnsi="Cambria Math" w:cs="Times New Roman"/>
                            <w:szCs w:val="24"/>
                          </w:rPr>
                          <m:t>ρ</m:t>
                        </m:r>
                        <m:ctrlPr>
                          <w:rPr>
                            <w:rFonts w:ascii="Cambria Math" w:eastAsia="MS Mincho" w:hAnsi="Cambria Math" w:cs="Times New Roman"/>
                            <w:szCs w:val="24"/>
                          </w:rPr>
                        </m:ctrlPr>
                      </m:e>
                      <m:sup>
                        <m:r>
                          <w:rPr>
                            <w:rFonts w:ascii="Cambria Math" w:eastAsia="MS Mincho" w:hAnsi="Cambria Math" w:cs="Times New Roman"/>
                            <w:szCs w:val="24"/>
                          </w:rPr>
                          <m:t>3</m:t>
                        </m:r>
                      </m:sup>
                    </m:sSup>
                  </m:e>
                  <m:e>
                    <m:sSup>
                      <m:sSupPr>
                        <m:ctrlPr>
                          <w:rPr>
                            <w:rFonts w:ascii="Cambria Math" w:eastAsia="MS Mincho" w:hAnsi="Cambria Math" w:cs="Times New Roman"/>
                            <w:i/>
                            <w:iCs/>
                            <w:szCs w:val="24"/>
                          </w:rPr>
                        </m:ctrlPr>
                      </m:sSupPr>
                      <m:e>
                        <m:r>
                          <w:rPr>
                            <w:rFonts w:ascii="Cambria Math" w:eastAsia="MS Mincho" w:hAnsi="Cambria Math" w:cs="Times New Roman"/>
                            <w:szCs w:val="24"/>
                          </w:rPr>
                          <m:t>ρ</m:t>
                        </m:r>
                      </m:e>
                      <m:sup>
                        <m:r>
                          <w:rPr>
                            <w:rFonts w:ascii="Cambria Math" w:eastAsia="MS Mincho" w:hAnsi="Cambria Math" w:cs="Times New Roman"/>
                            <w:szCs w:val="24"/>
                          </w:rPr>
                          <m:t>2</m:t>
                        </m:r>
                      </m:sup>
                    </m:sSup>
                  </m:e>
                  <m:e>
                    <m:r>
                      <w:rPr>
                        <w:rFonts w:ascii="Cambria Math" w:eastAsia="MS Mincho" w:hAnsi="Cambria Math" w:cs="Times New Roman"/>
                        <w:szCs w:val="24"/>
                      </w:rPr>
                      <m:t>ρ</m:t>
                    </m:r>
                  </m:e>
                  <m:e>
                    <m:r>
                      <w:rPr>
                        <w:rFonts w:ascii="Cambria Math" w:eastAsia="MS Mincho" w:hAnsi="Cambria Math" w:cs="Times New Roman"/>
                        <w:szCs w:val="24"/>
                      </w:rPr>
                      <m:t>1</m:t>
                    </m:r>
                  </m:e>
                </m:mr>
              </m:m>
            </m:e>
          </m:d>
        </m:oMath>
      </m:oMathPara>
    </w:p>
    <w:p w14:paraId="0299F325" w14:textId="2A0C0E08" w:rsidR="005C03EB" w:rsidRDefault="005C03EB" w:rsidP="00281D4D">
      <w:pPr>
        <w:spacing w:line="240" w:lineRule="auto"/>
        <w:ind w:firstLine="720"/>
        <w:rPr>
          <w:rFonts w:cs="Times New Roman"/>
          <w:szCs w:val="24"/>
        </w:rPr>
      </w:pPr>
      <w:r>
        <w:rPr>
          <w:rFonts w:cs="Times New Roman"/>
          <w:szCs w:val="24"/>
        </w:rPr>
        <w:t>In the Toeplitz structure, correlations among repeated measures are estimated uniquely for each off diagonal:</w:t>
      </w:r>
    </w:p>
    <w:p w14:paraId="06A52A23" w14:textId="77777777" w:rsidR="005C03EB" w:rsidRPr="005C03EB" w:rsidRDefault="005C03EB" w:rsidP="00281D4D">
      <w:pPr>
        <w:spacing w:line="240" w:lineRule="auto"/>
        <w:rPr>
          <w:rFonts w:eastAsia="MS Mincho" w:cs="Times New Roman"/>
          <w:b/>
          <w:bCs/>
          <w:i/>
          <w:iCs/>
          <w:szCs w:val="24"/>
        </w:rPr>
      </w:pPr>
      <w:r w:rsidRPr="005C03EB">
        <w:rPr>
          <w:rFonts w:eastAsia="MS Mincho" w:cs="Times New Roman"/>
          <w:b/>
          <w:bCs/>
          <w:i/>
          <w:iCs/>
          <w:szCs w:val="24"/>
        </w:rPr>
        <w:t>Toeplitz</w:t>
      </w:r>
    </w:p>
    <w:p w14:paraId="094E328C" w14:textId="77777777" w:rsidR="005C03EB" w:rsidRPr="00790C7A" w:rsidRDefault="00F963A2" w:rsidP="00281D4D">
      <w:pPr>
        <w:spacing w:line="240" w:lineRule="auto"/>
        <w:rPr>
          <w:rFonts w:eastAsia="MS Mincho" w:cs="Times New Roman"/>
          <w:szCs w:val="24"/>
        </w:rPr>
      </w:pPr>
      <m:oMathPara>
        <m:oMathParaPr>
          <m:jc m:val="left"/>
        </m:oMathParaPr>
        <m:oMath>
          <m:d>
            <m:dPr>
              <m:begChr m:val="["/>
              <m:endChr m:val="]"/>
              <m:ctrlPr>
                <w:rPr>
                  <w:rFonts w:ascii="Cambria Math" w:eastAsia="MS Mincho" w:hAnsi="Cambria Math" w:cs="Times New Roman"/>
                  <w:i/>
                  <w:szCs w:val="24"/>
                </w:rPr>
              </m:ctrlPr>
            </m:dPr>
            <m:e>
              <m:m>
                <m:mPr>
                  <m:plcHide m:val="1"/>
                  <m:mcs>
                    <m:mc>
                      <m:mcPr>
                        <m:count m:val="4"/>
                        <m:mcJc m:val="center"/>
                      </m:mcPr>
                    </m:mc>
                  </m:mcs>
                  <m:ctrlPr>
                    <w:rPr>
                      <w:rFonts w:ascii="Cambria Math" w:eastAsia="MS Mincho" w:hAnsi="Cambria Math" w:cs="Times New Roman"/>
                      <w:i/>
                      <w:szCs w:val="24"/>
                    </w:rPr>
                  </m:ctrlPr>
                </m:mPr>
                <m:mr>
                  <m:e>
                    <m:r>
                      <w:rPr>
                        <w:rFonts w:ascii="Cambria Math" w:eastAsia="MS Mincho" w:hAnsi="Cambria Math" w:cs="Times New Roman"/>
                        <w:szCs w:val="24"/>
                      </w:rPr>
                      <m:t>1</m:t>
                    </m:r>
                  </m:e>
                  <m:e/>
                  <m:e/>
                  <m:e/>
                </m:mr>
                <m:mr>
                  <m:e>
                    <m:sSub>
                      <m:sSubPr>
                        <m:ctrlPr>
                          <w:rPr>
                            <w:rFonts w:ascii="Cambria Math" w:eastAsia="MS Mincho" w:hAnsi="Cambria Math" w:cs="Times New Roman"/>
                            <w:i/>
                            <w:iCs/>
                            <w:szCs w:val="24"/>
                          </w:rPr>
                        </m:ctrlPr>
                      </m:sSubPr>
                      <m:e>
                        <m:r>
                          <w:rPr>
                            <w:rFonts w:ascii="Cambria Math" w:eastAsia="MS Mincho" w:hAnsi="Cambria Math" w:cs="Times New Roman"/>
                            <w:szCs w:val="24"/>
                          </w:rPr>
                          <m:t>ρ</m:t>
                        </m:r>
                      </m:e>
                      <m:sub>
                        <m:r>
                          <w:rPr>
                            <w:rFonts w:ascii="Cambria Math" w:eastAsia="MS Mincho" w:hAnsi="Cambria Math" w:cs="Times New Roman"/>
                            <w:szCs w:val="24"/>
                          </w:rPr>
                          <m:t>1</m:t>
                        </m:r>
                      </m:sub>
                    </m:sSub>
                  </m:e>
                  <m:e>
                    <m:r>
                      <w:rPr>
                        <w:rFonts w:ascii="Cambria Math" w:eastAsia="MS Mincho" w:hAnsi="Cambria Math" w:cs="Times New Roman"/>
                        <w:szCs w:val="24"/>
                      </w:rPr>
                      <m:t>1</m:t>
                    </m:r>
                  </m:e>
                  <m:e/>
                  <m:e/>
                </m:mr>
                <m:mr>
                  <m:e>
                    <m:sSub>
                      <m:sSubPr>
                        <m:ctrlPr>
                          <w:rPr>
                            <w:rFonts w:ascii="Cambria Math" w:eastAsia="MS Mincho" w:hAnsi="Cambria Math" w:cs="Times New Roman"/>
                            <w:i/>
                            <w:iCs/>
                            <w:szCs w:val="24"/>
                          </w:rPr>
                        </m:ctrlPr>
                      </m:sSubPr>
                      <m:e>
                        <m:r>
                          <w:rPr>
                            <w:rFonts w:ascii="Cambria Math" w:eastAsia="MS Mincho" w:hAnsi="Cambria Math" w:cs="Times New Roman"/>
                            <w:szCs w:val="24"/>
                          </w:rPr>
                          <m:t>ρ</m:t>
                        </m:r>
                      </m:e>
                      <m:sub>
                        <m:r>
                          <w:rPr>
                            <w:rFonts w:ascii="Cambria Math" w:eastAsia="MS Mincho" w:hAnsi="Cambria Math" w:cs="Times New Roman"/>
                            <w:szCs w:val="24"/>
                          </w:rPr>
                          <m:t>2</m:t>
                        </m:r>
                      </m:sub>
                    </m:sSub>
                  </m:e>
                  <m:e>
                    <m:sSub>
                      <m:sSubPr>
                        <m:ctrlPr>
                          <w:rPr>
                            <w:rFonts w:ascii="Cambria Math" w:eastAsia="MS Mincho" w:hAnsi="Cambria Math" w:cs="Times New Roman"/>
                            <w:i/>
                            <w:iCs/>
                            <w:szCs w:val="24"/>
                          </w:rPr>
                        </m:ctrlPr>
                      </m:sSubPr>
                      <m:e>
                        <m:r>
                          <w:rPr>
                            <w:rFonts w:ascii="Cambria Math" w:eastAsia="MS Mincho" w:hAnsi="Cambria Math" w:cs="Times New Roman"/>
                            <w:szCs w:val="24"/>
                          </w:rPr>
                          <m:t>ρ</m:t>
                        </m:r>
                      </m:e>
                      <m:sub>
                        <m:r>
                          <w:rPr>
                            <w:rFonts w:ascii="Cambria Math" w:eastAsia="MS Mincho" w:hAnsi="Cambria Math" w:cs="Times New Roman"/>
                            <w:szCs w:val="24"/>
                          </w:rPr>
                          <m:t>1</m:t>
                        </m:r>
                      </m:sub>
                    </m:sSub>
                  </m:e>
                  <m:e>
                    <m:r>
                      <w:rPr>
                        <w:rFonts w:ascii="Cambria Math" w:eastAsia="MS Mincho" w:hAnsi="Cambria Math" w:cs="Times New Roman"/>
                        <w:szCs w:val="24"/>
                      </w:rPr>
                      <m:t>1</m:t>
                    </m:r>
                  </m:e>
                  <m:e/>
                </m:mr>
                <m:mr>
                  <m:e>
                    <m:sSub>
                      <m:sSubPr>
                        <m:ctrlPr>
                          <w:rPr>
                            <w:rFonts w:ascii="Cambria Math" w:eastAsia="MS Mincho" w:hAnsi="Cambria Math" w:cs="Times New Roman"/>
                            <w:i/>
                            <w:iCs/>
                            <w:szCs w:val="24"/>
                          </w:rPr>
                        </m:ctrlPr>
                      </m:sSubPr>
                      <m:e>
                        <m:r>
                          <w:rPr>
                            <w:rFonts w:ascii="Cambria Math" w:eastAsia="MS Mincho" w:hAnsi="Cambria Math" w:cs="Times New Roman"/>
                            <w:szCs w:val="24"/>
                          </w:rPr>
                          <m:t>ρ</m:t>
                        </m:r>
                      </m:e>
                      <m:sub>
                        <m:r>
                          <w:rPr>
                            <w:rFonts w:ascii="Cambria Math" w:eastAsia="MS Mincho" w:hAnsi="Cambria Math" w:cs="Times New Roman"/>
                            <w:szCs w:val="24"/>
                          </w:rPr>
                          <m:t>3</m:t>
                        </m:r>
                      </m:sub>
                    </m:sSub>
                  </m:e>
                  <m:e>
                    <m:sSub>
                      <m:sSubPr>
                        <m:ctrlPr>
                          <w:rPr>
                            <w:rFonts w:ascii="Cambria Math" w:eastAsia="MS Mincho" w:hAnsi="Cambria Math" w:cs="Times New Roman"/>
                            <w:i/>
                            <w:iCs/>
                            <w:szCs w:val="24"/>
                          </w:rPr>
                        </m:ctrlPr>
                      </m:sSubPr>
                      <m:e>
                        <m:r>
                          <w:rPr>
                            <w:rFonts w:ascii="Cambria Math" w:eastAsia="MS Mincho" w:hAnsi="Cambria Math" w:cs="Times New Roman"/>
                            <w:szCs w:val="24"/>
                          </w:rPr>
                          <m:t>ρ</m:t>
                        </m:r>
                      </m:e>
                      <m:sub>
                        <m:r>
                          <w:rPr>
                            <w:rFonts w:ascii="Cambria Math" w:eastAsia="MS Mincho" w:hAnsi="Cambria Math" w:cs="Times New Roman"/>
                            <w:szCs w:val="24"/>
                          </w:rPr>
                          <m:t>2</m:t>
                        </m:r>
                      </m:sub>
                    </m:sSub>
                  </m:e>
                  <m:e>
                    <m:sSub>
                      <m:sSubPr>
                        <m:ctrlPr>
                          <w:rPr>
                            <w:rFonts w:ascii="Cambria Math" w:eastAsia="MS Mincho" w:hAnsi="Cambria Math" w:cs="Times New Roman"/>
                            <w:i/>
                            <w:iCs/>
                            <w:szCs w:val="24"/>
                          </w:rPr>
                        </m:ctrlPr>
                      </m:sSubPr>
                      <m:e>
                        <m:r>
                          <w:rPr>
                            <w:rFonts w:ascii="Cambria Math" w:eastAsia="MS Mincho" w:hAnsi="Cambria Math" w:cs="Times New Roman"/>
                            <w:szCs w:val="24"/>
                          </w:rPr>
                          <m:t>ρ</m:t>
                        </m:r>
                      </m:e>
                      <m:sub>
                        <m:r>
                          <w:rPr>
                            <w:rFonts w:ascii="Cambria Math" w:eastAsia="MS Mincho" w:hAnsi="Cambria Math" w:cs="Times New Roman"/>
                            <w:szCs w:val="24"/>
                          </w:rPr>
                          <m:t>1</m:t>
                        </m:r>
                      </m:sub>
                    </m:sSub>
                  </m:e>
                  <m:e>
                    <m:r>
                      <w:rPr>
                        <w:rFonts w:ascii="Cambria Math" w:eastAsia="MS Mincho" w:hAnsi="Cambria Math" w:cs="Times New Roman"/>
                        <w:szCs w:val="24"/>
                      </w:rPr>
                      <m:t>1</m:t>
                    </m:r>
                  </m:e>
                </m:mr>
              </m:m>
            </m:e>
          </m:d>
        </m:oMath>
      </m:oMathPara>
    </w:p>
    <w:p w14:paraId="24852E7B" w14:textId="410CEFD6" w:rsidR="005C03EB" w:rsidRDefault="005C03EB" w:rsidP="00281D4D">
      <w:pPr>
        <w:spacing w:line="240" w:lineRule="auto"/>
        <w:ind w:firstLine="720"/>
        <w:rPr>
          <w:rFonts w:cs="Times New Roman"/>
          <w:szCs w:val="24"/>
        </w:rPr>
      </w:pPr>
      <w:r>
        <w:rPr>
          <w:rFonts w:cs="Times New Roman"/>
          <w:szCs w:val="24"/>
        </w:rPr>
        <w:t>Finally, an unstructured pattern contains unique estimates for each correlation, and is therefore the most complex and least parsimonious correlation structure:</w:t>
      </w:r>
    </w:p>
    <w:p w14:paraId="254EA419" w14:textId="77777777" w:rsidR="005C03EB" w:rsidRPr="00790C7A" w:rsidRDefault="005C03EB" w:rsidP="00281D4D">
      <w:pPr>
        <w:spacing w:line="240" w:lineRule="auto"/>
        <w:rPr>
          <w:rFonts w:eastAsia="MS Mincho" w:cs="Times New Roman"/>
          <w:b/>
          <w:bCs/>
          <w:szCs w:val="24"/>
        </w:rPr>
      </w:pPr>
      <w:r>
        <w:rPr>
          <w:rFonts w:eastAsia="MS Mincho" w:cs="Times New Roman"/>
          <w:b/>
          <w:bCs/>
          <w:szCs w:val="24"/>
        </w:rPr>
        <w:t>Unstructured</w:t>
      </w:r>
    </w:p>
    <w:p w14:paraId="54FA1F95" w14:textId="77777777" w:rsidR="005C03EB" w:rsidRPr="00790C7A" w:rsidRDefault="00F963A2" w:rsidP="00281D4D">
      <w:pPr>
        <w:spacing w:line="240" w:lineRule="auto"/>
        <w:rPr>
          <w:rFonts w:eastAsia="MS Mincho" w:cs="Times New Roman"/>
          <w:szCs w:val="24"/>
        </w:rPr>
      </w:pPr>
      <m:oMathPara>
        <m:oMathParaPr>
          <m:jc m:val="left"/>
        </m:oMathParaPr>
        <m:oMath>
          <m:d>
            <m:dPr>
              <m:begChr m:val="["/>
              <m:endChr m:val="]"/>
              <m:ctrlPr>
                <w:rPr>
                  <w:rFonts w:ascii="Cambria Math" w:eastAsia="MS Mincho" w:hAnsi="Cambria Math" w:cs="Times New Roman"/>
                  <w:i/>
                  <w:szCs w:val="24"/>
                </w:rPr>
              </m:ctrlPr>
            </m:dPr>
            <m:e>
              <m:m>
                <m:mPr>
                  <m:plcHide m:val="1"/>
                  <m:mcs>
                    <m:mc>
                      <m:mcPr>
                        <m:count m:val="4"/>
                        <m:mcJc m:val="center"/>
                      </m:mcPr>
                    </m:mc>
                  </m:mcs>
                  <m:ctrlPr>
                    <w:rPr>
                      <w:rFonts w:ascii="Cambria Math" w:eastAsia="MS Mincho" w:hAnsi="Cambria Math" w:cs="Times New Roman"/>
                      <w:i/>
                      <w:szCs w:val="24"/>
                    </w:rPr>
                  </m:ctrlPr>
                </m:mPr>
                <m:mr>
                  <m:e>
                    <m:r>
                      <w:rPr>
                        <w:rFonts w:ascii="Cambria Math" w:eastAsia="MS Mincho" w:hAnsi="Cambria Math" w:cs="Times New Roman"/>
                        <w:szCs w:val="24"/>
                      </w:rPr>
                      <m:t>1</m:t>
                    </m:r>
                  </m:e>
                  <m:e/>
                  <m:e/>
                  <m:e/>
                </m:mr>
                <m:mr>
                  <m:e>
                    <m:sSub>
                      <m:sSubPr>
                        <m:ctrlPr>
                          <w:rPr>
                            <w:rFonts w:ascii="Cambria Math" w:eastAsia="MS Mincho" w:hAnsi="Cambria Math" w:cs="Times New Roman"/>
                            <w:i/>
                            <w:iCs/>
                            <w:szCs w:val="24"/>
                          </w:rPr>
                        </m:ctrlPr>
                      </m:sSubPr>
                      <m:e>
                        <m:r>
                          <w:rPr>
                            <w:rFonts w:ascii="Cambria Math" w:eastAsia="MS Mincho" w:hAnsi="Cambria Math" w:cs="Times New Roman"/>
                            <w:szCs w:val="24"/>
                          </w:rPr>
                          <m:t>ρ</m:t>
                        </m:r>
                      </m:e>
                      <m:sub>
                        <m:r>
                          <w:rPr>
                            <w:rFonts w:ascii="Cambria Math" w:eastAsia="MS Mincho" w:hAnsi="Cambria Math" w:cs="Times New Roman"/>
                            <w:szCs w:val="24"/>
                          </w:rPr>
                          <m:t>21</m:t>
                        </m:r>
                      </m:sub>
                    </m:sSub>
                  </m:e>
                  <m:e>
                    <m:r>
                      <w:rPr>
                        <w:rFonts w:ascii="Cambria Math" w:eastAsia="MS Mincho" w:hAnsi="Cambria Math" w:cs="Times New Roman"/>
                        <w:szCs w:val="24"/>
                      </w:rPr>
                      <m:t>1</m:t>
                    </m:r>
                  </m:e>
                  <m:e/>
                  <m:e/>
                </m:mr>
                <m:mr>
                  <m:e>
                    <m:sSub>
                      <m:sSubPr>
                        <m:ctrlPr>
                          <w:rPr>
                            <w:rFonts w:ascii="Cambria Math" w:eastAsia="MS Mincho" w:hAnsi="Cambria Math" w:cs="Times New Roman"/>
                            <w:i/>
                            <w:iCs/>
                            <w:szCs w:val="24"/>
                          </w:rPr>
                        </m:ctrlPr>
                      </m:sSubPr>
                      <m:e>
                        <m:r>
                          <w:rPr>
                            <w:rFonts w:ascii="Cambria Math" w:eastAsia="MS Mincho" w:hAnsi="Cambria Math" w:cs="Times New Roman"/>
                            <w:szCs w:val="24"/>
                          </w:rPr>
                          <m:t>ρ</m:t>
                        </m:r>
                      </m:e>
                      <m:sub>
                        <m:r>
                          <w:rPr>
                            <w:rFonts w:ascii="Cambria Math" w:eastAsia="MS Mincho" w:hAnsi="Cambria Math" w:cs="Times New Roman"/>
                            <w:szCs w:val="24"/>
                          </w:rPr>
                          <m:t>31</m:t>
                        </m:r>
                      </m:sub>
                    </m:sSub>
                  </m:e>
                  <m:e>
                    <m:sSub>
                      <m:sSubPr>
                        <m:ctrlPr>
                          <w:rPr>
                            <w:rFonts w:ascii="Cambria Math" w:eastAsia="MS Mincho" w:hAnsi="Cambria Math" w:cs="Times New Roman"/>
                            <w:i/>
                            <w:iCs/>
                            <w:szCs w:val="24"/>
                          </w:rPr>
                        </m:ctrlPr>
                      </m:sSubPr>
                      <m:e>
                        <m:r>
                          <w:rPr>
                            <w:rFonts w:ascii="Cambria Math" w:eastAsia="MS Mincho" w:hAnsi="Cambria Math" w:cs="Times New Roman"/>
                            <w:szCs w:val="24"/>
                          </w:rPr>
                          <m:t>ρ</m:t>
                        </m:r>
                      </m:e>
                      <m:sub>
                        <m:r>
                          <w:rPr>
                            <w:rFonts w:ascii="Cambria Math" w:eastAsia="MS Mincho" w:hAnsi="Cambria Math" w:cs="Times New Roman"/>
                            <w:szCs w:val="24"/>
                          </w:rPr>
                          <m:t>32</m:t>
                        </m:r>
                      </m:sub>
                    </m:sSub>
                  </m:e>
                  <m:e>
                    <m:r>
                      <w:rPr>
                        <w:rFonts w:ascii="Cambria Math" w:eastAsia="MS Mincho" w:hAnsi="Cambria Math" w:cs="Times New Roman"/>
                        <w:szCs w:val="24"/>
                      </w:rPr>
                      <m:t>1</m:t>
                    </m:r>
                  </m:e>
                  <m:e/>
                </m:mr>
                <m:mr>
                  <m:e>
                    <m:sSub>
                      <m:sSubPr>
                        <m:ctrlPr>
                          <w:rPr>
                            <w:rFonts w:ascii="Cambria Math" w:eastAsia="MS Mincho" w:hAnsi="Cambria Math" w:cs="Times New Roman"/>
                            <w:i/>
                            <w:iCs/>
                            <w:szCs w:val="24"/>
                          </w:rPr>
                        </m:ctrlPr>
                      </m:sSubPr>
                      <m:e>
                        <m:r>
                          <w:rPr>
                            <w:rFonts w:ascii="Cambria Math" w:eastAsia="MS Mincho" w:hAnsi="Cambria Math" w:cs="Times New Roman"/>
                            <w:szCs w:val="24"/>
                          </w:rPr>
                          <m:t>ρ</m:t>
                        </m:r>
                      </m:e>
                      <m:sub>
                        <m:r>
                          <w:rPr>
                            <w:rFonts w:ascii="Cambria Math" w:eastAsia="MS Mincho" w:hAnsi="Cambria Math" w:cs="Times New Roman"/>
                            <w:szCs w:val="24"/>
                          </w:rPr>
                          <m:t>41</m:t>
                        </m:r>
                      </m:sub>
                    </m:sSub>
                  </m:e>
                  <m:e>
                    <m:sSub>
                      <m:sSubPr>
                        <m:ctrlPr>
                          <w:rPr>
                            <w:rFonts w:ascii="Cambria Math" w:eastAsia="MS Mincho" w:hAnsi="Cambria Math" w:cs="Times New Roman"/>
                            <w:i/>
                            <w:iCs/>
                            <w:szCs w:val="24"/>
                          </w:rPr>
                        </m:ctrlPr>
                      </m:sSubPr>
                      <m:e>
                        <m:r>
                          <w:rPr>
                            <w:rFonts w:ascii="Cambria Math" w:eastAsia="MS Mincho" w:hAnsi="Cambria Math" w:cs="Times New Roman"/>
                            <w:szCs w:val="24"/>
                          </w:rPr>
                          <m:t>ρ</m:t>
                        </m:r>
                      </m:e>
                      <m:sub>
                        <m:r>
                          <w:rPr>
                            <w:rFonts w:ascii="Cambria Math" w:eastAsia="MS Mincho" w:hAnsi="Cambria Math" w:cs="Times New Roman"/>
                            <w:szCs w:val="24"/>
                          </w:rPr>
                          <m:t>42</m:t>
                        </m:r>
                      </m:sub>
                    </m:sSub>
                  </m:e>
                  <m:e>
                    <m:sSub>
                      <m:sSubPr>
                        <m:ctrlPr>
                          <w:rPr>
                            <w:rFonts w:ascii="Cambria Math" w:eastAsia="MS Mincho" w:hAnsi="Cambria Math" w:cs="Times New Roman"/>
                            <w:i/>
                            <w:iCs/>
                            <w:szCs w:val="24"/>
                          </w:rPr>
                        </m:ctrlPr>
                      </m:sSubPr>
                      <m:e>
                        <m:r>
                          <w:rPr>
                            <w:rFonts w:ascii="Cambria Math" w:eastAsia="MS Mincho" w:hAnsi="Cambria Math" w:cs="Times New Roman"/>
                            <w:szCs w:val="24"/>
                          </w:rPr>
                          <m:t>ρ</m:t>
                        </m:r>
                      </m:e>
                      <m:sub>
                        <m:r>
                          <w:rPr>
                            <w:rFonts w:ascii="Cambria Math" w:eastAsia="MS Mincho" w:hAnsi="Cambria Math" w:cs="Times New Roman"/>
                            <w:szCs w:val="24"/>
                          </w:rPr>
                          <m:t>43</m:t>
                        </m:r>
                      </m:sub>
                    </m:sSub>
                  </m:e>
                  <m:e>
                    <m:r>
                      <w:rPr>
                        <w:rFonts w:ascii="Cambria Math" w:eastAsia="MS Mincho" w:hAnsi="Cambria Math" w:cs="Times New Roman"/>
                        <w:szCs w:val="24"/>
                      </w:rPr>
                      <m:t>1</m:t>
                    </m:r>
                  </m:e>
                </m:mr>
              </m:m>
            </m:e>
          </m:d>
        </m:oMath>
      </m:oMathPara>
    </w:p>
    <w:p w14:paraId="7E919896" w14:textId="248D79B8" w:rsidR="00C32FA9" w:rsidRDefault="005C03EB" w:rsidP="00B911DF">
      <w:pPr>
        <w:spacing w:line="240" w:lineRule="auto"/>
        <w:ind w:firstLine="720"/>
        <w:rPr>
          <w:rFonts w:cs="Times New Roman"/>
          <w:szCs w:val="24"/>
        </w:rPr>
      </w:pPr>
      <w:r w:rsidRPr="008A7E2F">
        <w:rPr>
          <w:rFonts w:cs="Times New Roman"/>
          <w:szCs w:val="24"/>
        </w:rPr>
        <w:lastRenderedPageBreak/>
        <w:t>We proceeded with the covariance structure which yielded the lowest SA-BIC (</w:t>
      </w:r>
      <w:proofErr w:type="spellStart"/>
      <w:r w:rsidRPr="008A7E2F">
        <w:rPr>
          <w:rFonts w:cs="Times New Roman"/>
          <w:szCs w:val="24"/>
        </w:rPr>
        <w:t>Tofighi</w:t>
      </w:r>
      <w:proofErr w:type="spellEnd"/>
      <w:r w:rsidRPr="008A7E2F">
        <w:rPr>
          <w:rFonts w:cs="Times New Roman"/>
          <w:szCs w:val="24"/>
        </w:rPr>
        <w:t xml:space="preserve"> &amp; Enders, 2008; Yang, 2006).</w:t>
      </w:r>
    </w:p>
    <w:p w14:paraId="5DE0A1CC" w14:textId="77777777" w:rsidR="002C76BB" w:rsidRDefault="002C76BB">
      <w:pPr>
        <w:rPr>
          <w:rFonts w:cs="Times New Roman"/>
          <w:szCs w:val="24"/>
        </w:rPr>
      </w:pPr>
      <w:r>
        <w:rPr>
          <w:rFonts w:cs="Times New Roman"/>
          <w:szCs w:val="24"/>
        </w:rPr>
        <w:br w:type="page"/>
      </w:r>
    </w:p>
    <w:p w14:paraId="4191DBF5" w14:textId="465F9EE3" w:rsidR="002C76BB" w:rsidRPr="004C0570" w:rsidRDefault="002C76BB" w:rsidP="002C76BB">
      <w:pPr>
        <w:rPr>
          <w:rFonts w:cs="Times New Roman"/>
          <w:szCs w:val="24"/>
        </w:rPr>
      </w:pPr>
      <w:r w:rsidRPr="004C0570">
        <w:rPr>
          <w:rFonts w:cs="Times New Roman"/>
          <w:szCs w:val="24"/>
        </w:rPr>
        <w:lastRenderedPageBreak/>
        <w:t>Table S</w:t>
      </w:r>
      <w:r w:rsidR="00DB6BF2">
        <w:rPr>
          <w:rFonts w:cs="Times New Roman"/>
          <w:szCs w:val="24"/>
        </w:rPr>
        <w:t>2</w:t>
      </w:r>
      <w:r w:rsidRPr="004C0570">
        <w:rPr>
          <w:rFonts w:cs="Times New Roman"/>
          <w:szCs w:val="24"/>
        </w:rPr>
        <w:t>. Correlation Matrix (full sample)</w:t>
      </w:r>
    </w:p>
    <w:tbl>
      <w:tblPr>
        <w:tblW w:w="15127" w:type="dxa"/>
        <w:jc w:val="center"/>
        <w:tblLayout w:type="fixed"/>
        <w:tblLook w:val="0420" w:firstRow="1" w:lastRow="0" w:firstColumn="0" w:lastColumn="0" w:noHBand="0" w:noVBand="1"/>
      </w:tblPr>
      <w:tblGrid>
        <w:gridCol w:w="1425"/>
        <w:gridCol w:w="1169"/>
        <w:gridCol w:w="1169"/>
        <w:gridCol w:w="1206"/>
        <w:gridCol w:w="1206"/>
        <w:gridCol w:w="1328"/>
        <w:gridCol w:w="1096"/>
        <w:gridCol w:w="1425"/>
        <w:gridCol w:w="1181"/>
        <w:gridCol w:w="1389"/>
        <w:gridCol w:w="1132"/>
        <w:gridCol w:w="1401"/>
      </w:tblGrid>
      <w:tr w:rsidR="002C76BB" w:rsidRPr="004C0570" w14:paraId="32CB8CD9" w14:textId="77777777" w:rsidTr="008841AC">
        <w:trPr>
          <w:tblHeader/>
          <w:jc w:val="center"/>
        </w:trPr>
        <w:tc>
          <w:tcPr>
            <w:tcW w:w="142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B02C0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Variable</w:t>
            </w:r>
          </w:p>
        </w:tc>
        <w:tc>
          <w:tcPr>
            <w:tcW w:w="116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96FE0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Cohort</w:t>
            </w:r>
          </w:p>
        </w:tc>
        <w:tc>
          <w:tcPr>
            <w:tcW w:w="116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39D71A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PN</w:t>
            </w:r>
          </w:p>
        </w:tc>
        <w:tc>
          <w:tcPr>
            <w:tcW w:w="120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A1DABD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3pp</w:t>
            </w:r>
          </w:p>
        </w:tc>
        <w:tc>
          <w:tcPr>
            <w:tcW w:w="120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F57572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6pp</w:t>
            </w:r>
          </w:p>
        </w:tc>
        <w:tc>
          <w:tcPr>
            <w:tcW w:w="132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B8A9B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12pp</w:t>
            </w:r>
          </w:p>
        </w:tc>
        <w:tc>
          <w:tcPr>
            <w:tcW w:w="109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53FD9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Age</w:t>
            </w:r>
          </w:p>
        </w:tc>
        <w:tc>
          <w:tcPr>
            <w:tcW w:w="142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346C7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Wks.Preg.</w:t>
            </w:r>
          </w:p>
        </w:tc>
        <w:tc>
          <w:tcPr>
            <w:tcW w:w="118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631C63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Minority</w:t>
            </w:r>
          </w:p>
        </w:tc>
        <w:tc>
          <w:tcPr>
            <w:tcW w:w="138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8DA2D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Education</w:t>
            </w:r>
          </w:p>
        </w:tc>
        <w:tc>
          <w:tcPr>
            <w:tcW w:w="113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ACE5C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Income</w:t>
            </w:r>
          </w:p>
        </w:tc>
        <w:tc>
          <w:tcPr>
            <w:tcW w:w="140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F8BF3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First Child</w:t>
            </w:r>
          </w:p>
        </w:tc>
      </w:tr>
      <w:tr w:rsidR="002C76BB" w:rsidRPr="004C0570" w14:paraId="266DAE53" w14:textId="77777777" w:rsidTr="008841AC">
        <w:trPr>
          <w:jc w:val="center"/>
        </w:trPr>
        <w:tc>
          <w:tcPr>
            <w:tcW w:w="142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736B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Cohort</w:t>
            </w:r>
          </w:p>
        </w:tc>
        <w:tc>
          <w:tcPr>
            <w:tcW w:w="116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A510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6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72ADB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20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F263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20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E9D29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2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3FBC3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09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3BAD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4449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8376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1A55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09BF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B8C9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2D960332" w14:textId="77777777" w:rsidTr="008841AC">
        <w:trPr>
          <w:jc w:val="center"/>
        </w:trPr>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5753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PN</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E179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0.23***</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B010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40E5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7D9E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058A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4D1C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1CA5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B504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39F3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0D34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64F1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113B58B1" w14:textId="77777777" w:rsidTr="008841AC">
        <w:trPr>
          <w:jc w:val="center"/>
        </w:trPr>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5721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3pp</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625B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0.15**</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2674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0.61***</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FE6C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63D8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37C4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44D0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C8C5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FD9C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2F67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B63C9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EAB3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2AED90E0" w14:textId="77777777" w:rsidTr="008841AC">
        <w:trPr>
          <w:jc w:val="center"/>
        </w:trPr>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62D8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6pp</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C985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0.11*</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FCF95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0.55***</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F6D0E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0.71***</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A0F2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E3489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3CBE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12B1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2FD01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F43C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6C91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DFF0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70233DC1" w14:textId="77777777" w:rsidTr="008841AC">
        <w:trPr>
          <w:jc w:val="center"/>
        </w:trPr>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DBB95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12pp</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221E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0.14**</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BACED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0.53***</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9EE67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0.68***</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FCA94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0.69***</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F6727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2141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1AE1D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6191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0D857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5CE5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88DA1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2A6415E5" w14:textId="77777777" w:rsidTr="008841AC">
        <w:trPr>
          <w:jc w:val="center"/>
        </w:trPr>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5052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Age</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2B21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0.09*</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979DF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-0.15***</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3AC4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-0.10*</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4E56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-0.16**</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1707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-0.11*</w:t>
            </w: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E3789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6150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1245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B773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AA5F5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9447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05319AE8" w14:textId="77777777" w:rsidTr="008841AC">
        <w:trPr>
          <w:jc w:val="center"/>
        </w:trPr>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8C07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Wks.Preg.</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ED747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-0.12**</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AF3F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-0.09*</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F388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0.06</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88A6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0.03</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6278D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0.05</w:t>
            </w: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1DD3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515BE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3F989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DB35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7072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AFDA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629B3856" w14:textId="77777777" w:rsidTr="008841AC">
        <w:trPr>
          <w:jc w:val="center"/>
        </w:trPr>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0625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Minority</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975F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-0.26***</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EDD0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-0.10**</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81D85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-0.06</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46A8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0.02</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88844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-0.02</w:t>
            </w: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46941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-0.08*</w:t>
            </w: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B43F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A406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49C3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893D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C4DA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2D61A55A" w14:textId="77777777" w:rsidTr="008841AC">
        <w:trPr>
          <w:jc w:val="center"/>
        </w:trPr>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D181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Education</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1932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6272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-0.19***</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854D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-0.12*</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C726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-0.13*</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CFA1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-0.13*</w:t>
            </w: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3DC3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0.36***</w:t>
            </w: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03EDD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9270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-0.04</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A248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8673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CCC2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0720F874" w14:textId="77777777" w:rsidTr="008841AC">
        <w:trPr>
          <w:jc w:val="center"/>
        </w:trPr>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1140B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Income</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C903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0.03</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5386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-0.26***</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126D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-0.11*</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B45F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-0.17**</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8025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-0.14*</w:t>
            </w: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6F069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0.41***</w:t>
            </w: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BDAA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DFAA0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-0.07</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8BCB2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0.54***</w:t>
            </w: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FE735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C6D7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4F28F474" w14:textId="77777777" w:rsidTr="008841AC">
        <w:trPr>
          <w:jc w:val="center"/>
        </w:trPr>
        <w:tc>
          <w:tcPr>
            <w:tcW w:w="142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6E83BC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First Child</w:t>
            </w:r>
          </w:p>
        </w:tc>
        <w:tc>
          <w:tcPr>
            <w:tcW w:w="116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64A1FA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0.30***</w:t>
            </w:r>
          </w:p>
        </w:tc>
        <w:tc>
          <w:tcPr>
            <w:tcW w:w="116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AC314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0.04</w:t>
            </w:r>
          </w:p>
        </w:tc>
        <w:tc>
          <w:tcPr>
            <w:tcW w:w="120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CEAC60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0.08</w:t>
            </w:r>
          </w:p>
        </w:tc>
        <w:tc>
          <w:tcPr>
            <w:tcW w:w="120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5BB1F6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32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B19D9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09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6F7B9F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0.21***</w:t>
            </w:r>
          </w:p>
        </w:tc>
        <w:tc>
          <w:tcPr>
            <w:tcW w:w="142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A537B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0.11**</w:t>
            </w:r>
          </w:p>
        </w:tc>
        <w:tc>
          <w:tcPr>
            <w:tcW w:w="118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56D67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-0.08*</w:t>
            </w:r>
          </w:p>
        </w:tc>
        <w:tc>
          <w:tcPr>
            <w:tcW w:w="138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6EB0E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-0.07</w:t>
            </w:r>
          </w:p>
        </w:tc>
        <w:tc>
          <w:tcPr>
            <w:tcW w:w="113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484882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4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68D10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bl>
    <w:p w14:paraId="7136F555" w14:textId="77777777" w:rsidR="002C76BB" w:rsidRPr="004C0570" w:rsidRDefault="002C76BB" w:rsidP="002C76BB">
      <w:pPr>
        <w:ind w:left="-1152"/>
        <w:rPr>
          <w:rFonts w:cs="Times New Roman"/>
          <w:szCs w:val="24"/>
        </w:rPr>
      </w:pPr>
      <w:r w:rsidRPr="004C0570">
        <w:rPr>
          <w:rFonts w:cs="Times New Roman"/>
          <w:i/>
          <w:iCs/>
          <w:szCs w:val="24"/>
        </w:rPr>
        <w:t>Note.</w:t>
      </w:r>
      <w:r w:rsidRPr="004C0570">
        <w:rPr>
          <w:rFonts w:cs="Times New Roman"/>
          <w:szCs w:val="24"/>
        </w:rPr>
        <w:t xml:space="preserve"> * = </w:t>
      </w:r>
      <w:r w:rsidRPr="004C0570">
        <w:rPr>
          <w:rFonts w:cs="Times New Roman"/>
          <w:i/>
          <w:iCs/>
          <w:szCs w:val="24"/>
        </w:rPr>
        <w:t xml:space="preserve">p </w:t>
      </w:r>
      <w:r w:rsidRPr="004C0570">
        <w:rPr>
          <w:rFonts w:cs="Times New Roman"/>
          <w:szCs w:val="24"/>
        </w:rPr>
        <w:t xml:space="preserve">&lt; .05, ** = </w:t>
      </w:r>
      <w:r w:rsidRPr="004C0570">
        <w:rPr>
          <w:rFonts w:cs="Times New Roman"/>
          <w:i/>
          <w:iCs/>
          <w:szCs w:val="24"/>
        </w:rPr>
        <w:t xml:space="preserve">p </w:t>
      </w:r>
      <w:r w:rsidRPr="004C0570">
        <w:rPr>
          <w:rFonts w:cs="Times New Roman"/>
          <w:szCs w:val="24"/>
        </w:rPr>
        <w:t xml:space="preserve">&lt; .01, ** = </w:t>
      </w:r>
      <w:r w:rsidRPr="004C0570">
        <w:rPr>
          <w:rFonts w:cs="Times New Roman"/>
          <w:i/>
          <w:iCs/>
          <w:szCs w:val="24"/>
        </w:rPr>
        <w:t xml:space="preserve">p </w:t>
      </w:r>
      <w:r w:rsidRPr="004C0570">
        <w:rPr>
          <w:rFonts w:cs="Times New Roman"/>
          <w:szCs w:val="24"/>
        </w:rPr>
        <w:t>&lt; .001; Cohort = Sample type [0 = Pre-pandemic sample, 1 = Pandemic sample]; BDI = Beck Depression Inventory-II; PN = Prenatal; 3pp = Three-months postpartum; 6pp = Six-months postpartum; 12pp = Twelve-months postpartum; Age = Age of participant; Wks.Preg. = Weeks pregnant during the prenatal survey; Minority = Minority status [1 = Racial/ethnic minority, 0 = White]; Income = Yearly household income; First Child = Participant was pregnant with their first child during the prenatal survey</w:t>
      </w:r>
    </w:p>
    <w:p w14:paraId="646EACFF" w14:textId="77777777" w:rsidR="002C76BB" w:rsidRPr="004C0570" w:rsidRDefault="002C76BB" w:rsidP="002C76BB">
      <w:pPr>
        <w:ind w:left="-1152"/>
        <w:rPr>
          <w:rFonts w:cs="Times New Roman"/>
          <w:szCs w:val="24"/>
        </w:rPr>
      </w:pPr>
    </w:p>
    <w:p w14:paraId="04EF9ADE" w14:textId="77777777" w:rsidR="002C76BB" w:rsidRPr="004C0570" w:rsidRDefault="002C76BB" w:rsidP="002C76BB">
      <w:pPr>
        <w:rPr>
          <w:rFonts w:cs="Times New Roman"/>
          <w:szCs w:val="24"/>
        </w:rPr>
      </w:pPr>
      <w:r w:rsidRPr="004C0570">
        <w:rPr>
          <w:rFonts w:cs="Times New Roman"/>
          <w:szCs w:val="24"/>
        </w:rPr>
        <w:br w:type="page"/>
      </w:r>
    </w:p>
    <w:p w14:paraId="7714DD29" w14:textId="2C394596" w:rsidR="002C76BB" w:rsidRPr="004C0570" w:rsidRDefault="002C76BB" w:rsidP="002C76BB">
      <w:pPr>
        <w:rPr>
          <w:rFonts w:cs="Times New Roman"/>
          <w:szCs w:val="24"/>
        </w:rPr>
      </w:pPr>
      <w:r w:rsidRPr="004C0570">
        <w:rPr>
          <w:rFonts w:cs="Times New Roman"/>
          <w:szCs w:val="24"/>
        </w:rPr>
        <w:lastRenderedPageBreak/>
        <w:t>Table S</w:t>
      </w:r>
      <w:r w:rsidR="00DB6BF2">
        <w:rPr>
          <w:rFonts w:cs="Times New Roman"/>
          <w:szCs w:val="24"/>
        </w:rPr>
        <w:t>3</w:t>
      </w:r>
      <w:r w:rsidRPr="004C0570">
        <w:rPr>
          <w:rFonts w:cs="Times New Roman"/>
          <w:szCs w:val="24"/>
        </w:rPr>
        <w:t>. Correlation Matrix (Pre-Pandemic Sample)</w:t>
      </w:r>
    </w:p>
    <w:tbl>
      <w:tblPr>
        <w:tblW w:w="0" w:type="auto"/>
        <w:tblInd w:w="-1125" w:type="dxa"/>
        <w:tblLayout w:type="fixed"/>
        <w:tblLook w:val="0420" w:firstRow="1" w:lastRow="0" w:firstColumn="0" w:lastColumn="0" w:noHBand="0" w:noVBand="1"/>
      </w:tblPr>
      <w:tblGrid>
        <w:gridCol w:w="1425"/>
        <w:gridCol w:w="1144"/>
        <w:gridCol w:w="1206"/>
        <w:gridCol w:w="1206"/>
        <w:gridCol w:w="1328"/>
        <w:gridCol w:w="1096"/>
        <w:gridCol w:w="1425"/>
        <w:gridCol w:w="1181"/>
        <w:gridCol w:w="1389"/>
        <w:gridCol w:w="1132"/>
      </w:tblGrid>
      <w:tr w:rsidR="002C76BB" w:rsidRPr="004C0570" w14:paraId="78FC885C" w14:textId="77777777" w:rsidTr="008841AC">
        <w:trPr>
          <w:tblHeader/>
        </w:trPr>
        <w:tc>
          <w:tcPr>
            <w:tcW w:w="142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67555A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Variable</w:t>
            </w:r>
          </w:p>
        </w:tc>
        <w:tc>
          <w:tcPr>
            <w:tcW w:w="11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6470F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PN</w:t>
            </w:r>
          </w:p>
        </w:tc>
        <w:tc>
          <w:tcPr>
            <w:tcW w:w="120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E4F7B1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3pp</w:t>
            </w:r>
          </w:p>
        </w:tc>
        <w:tc>
          <w:tcPr>
            <w:tcW w:w="120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3211C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6pp</w:t>
            </w:r>
          </w:p>
        </w:tc>
        <w:tc>
          <w:tcPr>
            <w:tcW w:w="132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DFB7E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12pp</w:t>
            </w:r>
          </w:p>
        </w:tc>
        <w:tc>
          <w:tcPr>
            <w:tcW w:w="109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A9F323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Age</w:t>
            </w:r>
          </w:p>
        </w:tc>
        <w:tc>
          <w:tcPr>
            <w:tcW w:w="142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856809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Wks.Preg.</w:t>
            </w:r>
          </w:p>
        </w:tc>
        <w:tc>
          <w:tcPr>
            <w:tcW w:w="118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90BA9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Minority</w:t>
            </w:r>
          </w:p>
        </w:tc>
        <w:tc>
          <w:tcPr>
            <w:tcW w:w="138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52E52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Education</w:t>
            </w:r>
          </w:p>
        </w:tc>
        <w:tc>
          <w:tcPr>
            <w:tcW w:w="113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72D1E9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Income</w:t>
            </w:r>
          </w:p>
        </w:tc>
      </w:tr>
      <w:tr w:rsidR="002C76BB" w:rsidRPr="004C0570" w14:paraId="0358E161" w14:textId="77777777" w:rsidTr="008841AC">
        <w:tc>
          <w:tcPr>
            <w:tcW w:w="142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8200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PN</w:t>
            </w:r>
          </w:p>
        </w:tc>
        <w:tc>
          <w:tcPr>
            <w:tcW w:w="11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1173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20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A36F3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20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D941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2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67EA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09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6DAF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4BE67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532E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DBEC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D88E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5B9D4843"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AFE3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3pp</w:t>
            </w:r>
          </w:p>
        </w:tc>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72B6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0.67***</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9889F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2E05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95483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135D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A246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2A9C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9146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FD78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5773863B"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EA1ED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6pp</w:t>
            </w:r>
          </w:p>
        </w:tc>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DD22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0.33**</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511C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0.45***</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676AF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803D2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B6174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A87F3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24910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DCC10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E5798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11259C86"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1780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12pp</w:t>
            </w:r>
          </w:p>
        </w:tc>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5676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0.29*</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AD88C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0.32*</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42AE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0.73***</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DE09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ECFE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EBE90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880D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3D89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A968C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18422B03"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F2685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Age</w:t>
            </w:r>
          </w:p>
        </w:tc>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8C8A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-0.05</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55ED8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7406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0.05</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F2EE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0.13</w:t>
            </w: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7FCD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2C57B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2CFDF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8A0D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F07F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490AF3AB"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78CB1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Wks.Preg.</w:t>
            </w:r>
          </w:p>
        </w:tc>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4D3C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-0.06</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D54A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-0.18</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48E6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-0.10</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9326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EAF6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0.04</w:t>
            </w: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B8EB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1E878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119D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9D70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572A9C47"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2D5F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Minority</w:t>
            </w:r>
          </w:p>
        </w:tc>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464AD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-0.10</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B17D6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-0.24*</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4E94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-0.06</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540B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-0.14</w:t>
            </w: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60D87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-0.26*</w:t>
            </w: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C4A1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3CC9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CC00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00B4F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20B9C9A3"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BA2D0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Education</w:t>
            </w:r>
          </w:p>
        </w:tc>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D57B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-0.13</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FA742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-0.03</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6B4E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6559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0.04</w:t>
            </w: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D3AC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0.37***</w:t>
            </w: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4800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FFB3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-0.21*</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E6083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5CA2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6CD2B6B2" w14:textId="77777777" w:rsidTr="008841AC">
        <w:tc>
          <w:tcPr>
            <w:tcW w:w="142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27928E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Income</w:t>
            </w:r>
          </w:p>
        </w:tc>
        <w:tc>
          <w:tcPr>
            <w:tcW w:w="11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23636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-0.03</w:t>
            </w:r>
          </w:p>
        </w:tc>
        <w:tc>
          <w:tcPr>
            <w:tcW w:w="120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1A99B2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0.18</w:t>
            </w:r>
          </w:p>
        </w:tc>
        <w:tc>
          <w:tcPr>
            <w:tcW w:w="120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2B1B8C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-0.18</w:t>
            </w:r>
          </w:p>
        </w:tc>
        <w:tc>
          <w:tcPr>
            <w:tcW w:w="132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0A781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-0.06</w:t>
            </w:r>
          </w:p>
        </w:tc>
        <w:tc>
          <w:tcPr>
            <w:tcW w:w="109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AD12D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0.47**</w:t>
            </w:r>
          </w:p>
        </w:tc>
        <w:tc>
          <w:tcPr>
            <w:tcW w:w="142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B8CD2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-0.20</w:t>
            </w:r>
          </w:p>
        </w:tc>
        <w:tc>
          <w:tcPr>
            <w:tcW w:w="118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DA3EF9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-0.26</w:t>
            </w:r>
          </w:p>
        </w:tc>
        <w:tc>
          <w:tcPr>
            <w:tcW w:w="138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2C6A0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0.50***</w:t>
            </w:r>
          </w:p>
        </w:tc>
        <w:tc>
          <w:tcPr>
            <w:tcW w:w="113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ED2C8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bl>
    <w:p w14:paraId="6AB7C193" w14:textId="77777777" w:rsidR="002C76BB" w:rsidRPr="004C0570" w:rsidRDefault="002C76BB" w:rsidP="002C76BB">
      <w:pPr>
        <w:ind w:left="-1152"/>
        <w:rPr>
          <w:rFonts w:cs="Times New Roman"/>
          <w:szCs w:val="24"/>
        </w:rPr>
      </w:pPr>
      <w:r w:rsidRPr="004C0570">
        <w:rPr>
          <w:rFonts w:cs="Times New Roman"/>
          <w:i/>
          <w:iCs/>
          <w:szCs w:val="24"/>
        </w:rPr>
        <w:t xml:space="preserve">Note. </w:t>
      </w:r>
      <w:r w:rsidRPr="004C0570">
        <w:rPr>
          <w:rFonts w:cs="Times New Roman"/>
          <w:szCs w:val="24"/>
        </w:rPr>
        <w:t xml:space="preserve">* = </w:t>
      </w:r>
      <w:r w:rsidRPr="004C0570">
        <w:rPr>
          <w:rFonts w:cs="Times New Roman"/>
          <w:i/>
          <w:iCs/>
          <w:szCs w:val="24"/>
        </w:rPr>
        <w:t xml:space="preserve">p </w:t>
      </w:r>
      <w:r w:rsidRPr="004C0570">
        <w:rPr>
          <w:rFonts w:cs="Times New Roman"/>
          <w:szCs w:val="24"/>
        </w:rPr>
        <w:t xml:space="preserve">&lt; .05, ** = </w:t>
      </w:r>
      <w:r w:rsidRPr="004C0570">
        <w:rPr>
          <w:rFonts w:cs="Times New Roman"/>
          <w:i/>
          <w:iCs/>
          <w:szCs w:val="24"/>
        </w:rPr>
        <w:t xml:space="preserve">p </w:t>
      </w:r>
      <w:r w:rsidRPr="004C0570">
        <w:rPr>
          <w:rFonts w:cs="Times New Roman"/>
          <w:szCs w:val="24"/>
        </w:rPr>
        <w:t xml:space="preserve">&lt; .01, ** = </w:t>
      </w:r>
      <w:r w:rsidRPr="004C0570">
        <w:rPr>
          <w:rFonts w:cs="Times New Roman"/>
          <w:i/>
          <w:iCs/>
          <w:szCs w:val="24"/>
        </w:rPr>
        <w:t xml:space="preserve">p </w:t>
      </w:r>
      <w:r w:rsidRPr="004C0570">
        <w:rPr>
          <w:rFonts w:cs="Times New Roman"/>
          <w:szCs w:val="24"/>
        </w:rPr>
        <w:t xml:space="preserve">&lt; .001; BDI = Beck Depression Inventory-II; PN = Prenatal; 3pp = Three-months postpartum; 6pp = Six-months postpartum; 12pp = Twelve-months postpartum; Age = Age of participant; Wks.Preg. = Weeks pregnant during the prenatal survey; Minority = Minority status [1 = Racial/ethnic minority, 0 = White]; Income = Yearly household income; First Child variable is omitted because all mothers in the pre-pandemic sample were first-time mothers. </w:t>
      </w:r>
    </w:p>
    <w:p w14:paraId="268A086F" w14:textId="77777777" w:rsidR="002C76BB" w:rsidRPr="004C0570" w:rsidRDefault="002C76BB" w:rsidP="002C76BB">
      <w:pPr>
        <w:rPr>
          <w:rFonts w:cs="Times New Roman"/>
          <w:szCs w:val="24"/>
        </w:rPr>
      </w:pPr>
    </w:p>
    <w:p w14:paraId="1872509C" w14:textId="77777777" w:rsidR="002C76BB" w:rsidRPr="004C0570" w:rsidRDefault="002C76BB" w:rsidP="002C76BB">
      <w:pPr>
        <w:rPr>
          <w:rFonts w:cs="Times New Roman"/>
          <w:szCs w:val="24"/>
        </w:rPr>
      </w:pPr>
      <w:r w:rsidRPr="004C0570">
        <w:rPr>
          <w:rFonts w:cs="Times New Roman"/>
          <w:szCs w:val="24"/>
        </w:rPr>
        <w:br w:type="page"/>
      </w:r>
    </w:p>
    <w:p w14:paraId="748B32AE" w14:textId="2D8C4AE0" w:rsidR="002C76BB" w:rsidRPr="004C0570" w:rsidRDefault="002C76BB" w:rsidP="002C76BB">
      <w:pPr>
        <w:rPr>
          <w:rFonts w:cs="Times New Roman"/>
          <w:szCs w:val="24"/>
        </w:rPr>
      </w:pPr>
      <w:r w:rsidRPr="004C0570">
        <w:rPr>
          <w:rFonts w:cs="Times New Roman"/>
          <w:szCs w:val="24"/>
        </w:rPr>
        <w:lastRenderedPageBreak/>
        <w:t>Table S</w:t>
      </w:r>
      <w:r w:rsidR="00DB6BF2">
        <w:rPr>
          <w:rFonts w:cs="Times New Roman"/>
          <w:szCs w:val="24"/>
        </w:rPr>
        <w:t>4</w:t>
      </w:r>
      <w:r w:rsidRPr="004C0570">
        <w:rPr>
          <w:rFonts w:cs="Times New Roman"/>
          <w:szCs w:val="24"/>
        </w:rPr>
        <w:t>. Correlation matrix (Pandemic Sample)</w:t>
      </w:r>
    </w:p>
    <w:tbl>
      <w:tblPr>
        <w:tblW w:w="13958" w:type="dxa"/>
        <w:tblInd w:w="-991" w:type="dxa"/>
        <w:tblLayout w:type="fixed"/>
        <w:tblLook w:val="0420" w:firstRow="1" w:lastRow="0" w:firstColumn="0" w:lastColumn="0" w:noHBand="0" w:noVBand="1"/>
      </w:tblPr>
      <w:tblGrid>
        <w:gridCol w:w="1425"/>
        <w:gridCol w:w="1169"/>
        <w:gridCol w:w="1206"/>
        <w:gridCol w:w="1206"/>
        <w:gridCol w:w="1328"/>
        <w:gridCol w:w="1096"/>
        <w:gridCol w:w="1425"/>
        <w:gridCol w:w="1181"/>
        <w:gridCol w:w="1389"/>
        <w:gridCol w:w="1132"/>
        <w:gridCol w:w="1401"/>
      </w:tblGrid>
      <w:tr w:rsidR="002C76BB" w:rsidRPr="004C0570" w14:paraId="0CA60FEC" w14:textId="77777777" w:rsidTr="008841AC">
        <w:trPr>
          <w:tblHeader/>
        </w:trPr>
        <w:tc>
          <w:tcPr>
            <w:tcW w:w="142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B243E6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Variable</w:t>
            </w:r>
          </w:p>
        </w:tc>
        <w:tc>
          <w:tcPr>
            <w:tcW w:w="116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87A3B7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PN</w:t>
            </w:r>
          </w:p>
        </w:tc>
        <w:tc>
          <w:tcPr>
            <w:tcW w:w="120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44967A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3pp</w:t>
            </w:r>
          </w:p>
        </w:tc>
        <w:tc>
          <w:tcPr>
            <w:tcW w:w="120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F1B514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6pp</w:t>
            </w:r>
          </w:p>
        </w:tc>
        <w:tc>
          <w:tcPr>
            <w:tcW w:w="132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60B080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12pp</w:t>
            </w:r>
          </w:p>
        </w:tc>
        <w:tc>
          <w:tcPr>
            <w:tcW w:w="109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400DE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Age</w:t>
            </w:r>
          </w:p>
        </w:tc>
        <w:tc>
          <w:tcPr>
            <w:tcW w:w="142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462E99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Wks.Preg.</w:t>
            </w:r>
          </w:p>
        </w:tc>
        <w:tc>
          <w:tcPr>
            <w:tcW w:w="118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A8B54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Minority</w:t>
            </w:r>
          </w:p>
        </w:tc>
        <w:tc>
          <w:tcPr>
            <w:tcW w:w="138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03E3F3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Education</w:t>
            </w:r>
          </w:p>
        </w:tc>
        <w:tc>
          <w:tcPr>
            <w:tcW w:w="113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F0B776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Income</w:t>
            </w:r>
          </w:p>
        </w:tc>
        <w:tc>
          <w:tcPr>
            <w:tcW w:w="140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F03EC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First Child</w:t>
            </w:r>
          </w:p>
        </w:tc>
      </w:tr>
      <w:tr w:rsidR="002C76BB" w:rsidRPr="004C0570" w14:paraId="7DE1E478" w14:textId="77777777" w:rsidTr="008841AC">
        <w:tc>
          <w:tcPr>
            <w:tcW w:w="142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D953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PN</w:t>
            </w:r>
          </w:p>
        </w:tc>
        <w:tc>
          <w:tcPr>
            <w:tcW w:w="116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25FE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20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F71E7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20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81EB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2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DF18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09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4856C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5349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F056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E3E7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042F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75CA6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38F01458"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6CBE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3pp</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91D9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0.59***</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0AD9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0C9E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F994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7651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7E4E0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84CD4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C4932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4E485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AE1A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26E89D56"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4948C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6pp</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7A388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0.58***</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7C0C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0.73***</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C5AE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92A0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D8ED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E324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B11D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8A60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6E9A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DCC6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0ADFE8B9"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E8AC0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BDI 12pp</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B924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0.53***</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C8A26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0.7***</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B7B7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0.68***</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BB46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5CF0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333A8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9D6E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5ADF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08F7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D7A7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50771813"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FAB3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Age</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893F8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77F0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-0.14**</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B2017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-0.22***</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F3A1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-0.17**</w:t>
            </w: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3D0C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E49D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4E47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CF41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0D91F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588A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15926D18"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3625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Wks.Preg.</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0DB2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-0.06</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54E4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0.10</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9AA9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0.06</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2AC7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0.08</w:t>
            </w: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B00962"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4C3A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2A95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7805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A36E9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72AD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296CB31D"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FEB3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Minority</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9E767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-0.04</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34826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0.02</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7AD5C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0.08</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8D80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0.06</w:t>
            </w: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34C4E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-0.02</w:t>
            </w: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1F65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4DC4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8238E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DAB7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38D5B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4A93BA77"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0384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Education</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ACB7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D44E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-0.14**</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48A77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-0.17**</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C278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-0.17**</w:t>
            </w: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95A74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0.37***</w:t>
            </w: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3F604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E607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662D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2A5D6B"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EBC1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4183F94C" w14:textId="77777777" w:rsidTr="008841A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6552D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Income</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27628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-0.29***</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CF61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-0.14**</w:t>
            </w:r>
          </w:p>
        </w:tc>
        <w:tc>
          <w:tcPr>
            <w:tcW w:w="12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79D10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-0.19**</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40ED8"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-0.16**</w:t>
            </w:r>
          </w:p>
        </w:tc>
        <w:tc>
          <w:tcPr>
            <w:tcW w:w="1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A5B80"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0.41***</w:t>
            </w:r>
          </w:p>
        </w:tc>
        <w:tc>
          <w:tcPr>
            <w:tcW w:w="14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4E79C"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628A9"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-0.04</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E29ED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0.54***</w:t>
            </w: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F41723"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2877AE"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r w:rsidR="002C76BB" w:rsidRPr="004C0570" w14:paraId="00ADFC1B" w14:textId="77777777" w:rsidTr="008841AC">
        <w:tc>
          <w:tcPr>
            <w:tcW w:w="142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FF9D1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First Child</w:t>
            </w:r>
          </w:p>
        </w:tc>
        <w:tc>
          <w:tcPr>
            <w:tcW w:w="116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F3A7C4F"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-0.03</w:t>
            </w:r>
          </w:p>
        </w:tc>
        <w:tc>
          <w:tcPr>
            <w:tcW w:w="120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BFAD66"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0.03</w:t>
            </w:r>
          </w:p>
        </w:tc>
        <w:tc>
          <w:tcPr>
            <w:tcW w:w="120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16C25E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-0.03</w:t>
            </w:r>
          </w:p>
        </w:tc>
        <w:tc>
          <w:tcPr>
            <w:tcW w:w="132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F7E95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-0.04</w:t>
            </w:r>
          </w:p>
        </w:tc>
        <w:tc>
          <w:tcPr>
            <w:tcW w:w="109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BE7157"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0.20***</w:t>
            </w:r>
          </w:p>
        </w:tc>
        <w:tc>
          <w:tcPr>
            <w:tcW w:w="142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E0ED0D4"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0.16***</w:t>
            </w:r>
          </w:p>
        </w:tc>
        <w:tc>
          <w:tcPr>
            <w:tcW w:w="118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6E0DAA"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38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0EF285"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-0.08</w:t>
            </w:r>
          </w:p>
        </w:tc>
        <w:tc>
          <w:tcPr>
            <w:tcW w:w="113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7AC841"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r w:rsidRPr="004C0570">
              <w:rPr>
                <w:rFonts w:eastAsia="Arial" w:cs="Times New Roman"/>
                <w:color w:val="000000"/>
                <w:szCs w:val="24"/>
              </w:rPr>
              <w:t>0.01</w:t>
            </w:r>
          </w:p>
        </w:tc>
        <w:tc>
          <w:tcPr>
            <w:tcW w:w="14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761740D" w14:textId="77777777" w:rsidR="002C76BB" w:rsidRPr="004C0570" w:rsidRDefault="002C76BB" w:rsidP="008841AC">
            <w:pPr>
              <w:pBdr>
                <w:top w:val="none" w:sz="0" w:space="0" w:color="000000"/>
                <w:left w:val="none" w:sz="0" w:space="0" w:color="000000"/>
                <w:bottom w:val="none" w:sz="0" w:space="0" w:color="000000"/>
                <w:right w:val="none" w:sz="0" w:space="0" w:color="000000"/>
              </w:pBdr>
              <w:spacing w:after="0"/>
              <w:rPr>
                <w:rFonts w:cs="Times New Roman"/>
                <w:szCs w:val="24"/>
              </w:rPr>
            </w:pPr>
          </w:p>
        </w:tc>
      </w:tr>
    </w:tbl>
    <w:p w14:paraId="2DAD4212" w14:textId="77777777" w:rsidR="002C76BB" w:rsidRPr="004C0570" w:rsidRDefault="002C76BB" w:rsidP="002C76BB">
      <w:pPr>
        <w:ind w:left="-1008"/>
        <w:rPr>
          <w:rFonts w:cs="Times New Roman"/>
          <w:szCs w:val="24"/>
        </w:rPr>
      </w:pPr>
      <w:r w:rsidRPr="004C0570">
        <w:rPr>
          <w:rFonts w:cs="Times New Roman"/>
          <w:i/>
          <w:iCs/>
          <w:szCs w:val="24"/>
        </w:rPr>
        <w:t xml:space="preserve">Note. </w:t>
      </w:r>
      <w:r w:rsidRPr="004C0570">
        <w:rPr>
          <w:rFonts w:cs="Times New Roman"/>
          <w:szCs w:val="24"/>
        </w:rPr>
        <w:t xml:space="preserve">* = </w:t>
      </w:r>
      <w:r w:rsidRPr="004C0570">
        <w:rPr>
          <w:rFonts w:cs="Times New Roman"/>
          <w:i/>
          <w:iCs/>
          <w:szCs w:val="24"/>
        </w:rPr>
        <w:t xml:space="preserve">p </w:t>
      </w:r>
      <w:r w:rsidRPr="004C0570">
        <w:rPr>
          <w:rFonts w:cs="Times New Roman"/>
          <w:szCs w:val="24"/>
        </w:rPr>
        <w:t xml:space="preserve">&lt; .05, ** = </w:t>
      </w:r>
      <w:r w:rsidRPr="004C0570">
        <w:rPr>
          <w:rFonts w:cs="Times New Roman"/>
          <w:i/>
          <w:iCs/>
          <w:szCs w:val="24"/>
        </w:rPr>
        <w:t xml:space="preserve">p </w:t>
      </w:r>
      <w:r w:rsidRPr="004C0570">
        <w:rPr>
          <w:rFonts w:cs="Times New Roman"/>
          <w:szCs w:val="24"/>
        </w:rPr>
        <w:t xml:space="preserve">&lt; .01, ** = </w:t>
      </w:r>
      <w:r w:rsidRPr="004C0570">
        <w:rPr>
          <w:rFonts w:cs="Times New Roman"/>
          <w:i/>
          <w:iCs/>
          <w:szCs w:val="24"/>
        </w:rPr>
        <w:t xml:space="preserve">p </w:t>
      </w:r>
      <w:r w:rsidRPr="004C0570">
        <w:rPr>
          <w:rFonts w:cs="Times New Roman"/>
          <w:szCs w:val="24"/>
        </w:rPr>
        <w:t>&lt; .001; BDI = Beck Depression Inventory-II; PN = Prenatal; 3pp = Three-months postpartum; 6pp = Six-months postpartum; 12pp = Twelve-months postpartum; Age = Age of participant; Wks.Preg. = Weeks pregnant during the prenatal survey; Minority = Minority status [1 = Racial/ethnic minority, 0 = White]; Income = Yearly household income; First Child variable is omitted because all mothers in the pre-pandemic sample were first-time mothers. First Child = Participant was pregnant with their first child during the prenatal survey</w:t>
      </w:r>
    </w:p>
    <w:p w14:paraId="6ACC7119" w14:textId="77777777" w:rsidR="002C76BB" w:rsidRPr="004C0570" w:rsidRDefault="002C76BB" w:rsidP="002C76BB">
      <w:pPr>
        <w:rPr>
          <w:rFonts w:cs="Times New Roman"/>
          <w:iCs/>
          <w:szCs w:val="24"/>
        </w:rPr>
      </w:pPr>
      <w:r w:rsidRPr="004C0570">
        <w:rPr>
          <w:rFonts w:cs="Times New Roman"/>
          <w:iCs/>
          <w:szCs w:val="24"/>
        </w:rPr>
        <w:br w:type="page"/>
      </w:r>
    </w:p>
    <w:p w14:paraId="401BB924" w14:textId="77777777" w:rsidR="002C76BB" w:rsidRPr="004C0570" w:rsidRDefault="002C76BB" w:rsidP="002C76BB">
      <w:pPr>
        <w:spacing w:line="480" w:lineRule="auto"/>
        <w:rPr>
          <w:rFonts w:cs="Times New Roman"/>
          <w:b/>
          <w:iCs/>
          <w:szCs w:val="24"/>
        </w:rPr>
      </w:pPr>
      <w:r w:rsidRPr="004C0570">
        <w:rPr>
          <w:rFonts w:cs="Times New Roman"/>
          <w:iCs/>
          <w:szCs w:val="24"/>
        </w:rPr>
        <w:lastRenderedPageBreak/>
        <w:t>Figure S1. Density plot of relationship quality across cohorts</w:t>
      </w:r>
    </w:p>
    <w:p w14:paraId="029A6F47" w14:textId="77777777" w:rsidR="002C76BB" w:rsidRPr="004C0570" w:rsidRDefault="002C76BB" w:rsidP="002C76BB">
      <w:pPr>
        <w:widowControl w:val="0"/>
        <w:spacing w:line="480" w:lineRule="auto"/>
        <w:rPr>
          <w:rFonts w:cs="Times New Roman"/>
          <w:b/>
          <w:szCs w:val="24"/>
        </w:rPr>
      </w:pPr>
      <w:r w:rsidRPr="004C0570">
        <w:rPr>
          <w:rFonts w:cs="Times New Roman"/>
          <w:noProof/>
          <w:szCs w:val="24"/>
        </w:rPr>
        <w:drawing>
          <wp:inline distT="0" distB="0" distL="0" distR="0" wp14:anchorId="46F56A2B" wp14:editId="4FF6C19F">
            <wp:extent cx="8229600" cy="4114800"/>
            <wp:effectExtent l="0" t="0" r="0" b="0"/>
            <wp:docPr id="1589608675" name="Picture 1"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608675" name="Picture 1" descr="A graph of a diagram&#10;&#10;Description automatically generated with medium confidence"/>
                    <pic:cNvPicPr/>
                  </pic:nvPicPr>
                  <pic:blipFill>
                    <a:blip r:embed="rId7"/>
                    <a:stretch>
                      <a:fillRect/>
                    </a:stretch>
                  </pic:blipFill>
                  <pic:spPr>
                    <a:xfrm>
                      <a:off x="0" y="0"/>
                      <a:ext cx="8229600" cy="4114800"/>
                    </a:xfrm>
                    <a:prstGeom prst="rect">
                      <a:avLst/>
                    </a:prstGeom>
                  </pic:spPr>
                </pic:pic>
              </a:graphicData>
            </a:graphic>
          </wp:inline>
        </w:drawing>
      </w:r>
    </w:p>
    <w:p w14:paraId="79AB980F" w14:textId="4AF4C82D" w:rsidR="00FC6054" w:rsidRDefault="002C76BB" w:rsidP="002C76BB">
      <w:pPr>
        <w:widowControl w:val="0"/>
        <w:spacing w:line="240" w:lineRule="auto"/>
        <w:rPr>
          <w:rFonts w:cs="Times New Roman"/>
          <w:szCs w:val="24"/>
        </w:rPr>
      </w:pPr>
      <w:r w:rsidRPr="004C0570">
        <w:rPr>
          <w:rFonts w:cs="Times New Roman"/>
          <w:i/>
          <w:szCs w:val="24"/>
        </w:rPr>
        <w:t xml:space="preserve">Note. </w:t>
      </w:r>
      <w:r w:rsidRPr="004C0570">
        <w:rPr>
          <w:rFonts w:cs="Times New Roman"/>
          <w:szCs w:val="24"/>
        </w:rPr>
        <w:t xml:space="preserve">Standardized factor scores of relationship quality are plotted with a mean of zero. Mean factor scores for each group are depicted as vertical dotted lines. Relationship quality was significantly higher in the pre-pandemic cohort, </w:t>
      </w:r>
      <w:r w:rsidRPr="004C0570">
        <w:rPr>
          <w:rFonts w:cs="Times New Roman"/>
          <w:i/>
          <w:szCs w:val="24"/>
        </w:rPr>
        <w:t>t</w:t>
      </w:r>
      <w:r w:rsidRPr="004C0570">
        <w:rPr>
          <w:rFonts w:cs="Times New Roman"/>
          <w:szCs w:val="24"/>
        </w:rPr>
        <w:t xml:space="preserve">(196.62) = 7.38, p &lt; .001. </w:t>
      </w:r>
    </w:p>
    <w:p w14:paraId="2BB04CED" w14:textId="77777777" w:rsidR="00FC6054" w:rsidRDefault="00FC6054">
      <w:pPr>
        <w:rPr>
          <w:rFonts w:cs="Times New Roman"/>
          <w:szCs w:val="24"/>
        </w:rPr>
      </w:pPr>
      <w:r>
        <w:rPr>
          <w:rFonts w:cs="Times New Roman"/>
          <w:szCs w:val="24"/>
        </w:rPr>
        <w:br w:type="page"/>
      </w:r>
    </w:p>
    <w:p w14:paraId="4002EAC1" w14:textId="41CDD984" w:rsidR="002C76BB" w:rsidRDefault="00FC6054" w:rsidP="002C76BB">
      <w:pPr>
        <w:widowControl w:val="0"/>
        <w:spacing w:line="240" w:lineRule="auto"/>
        <w:rPr>
          <w:rFonts w:cs="Times New Roman"/>
          <w:szCs w:val="24"/>
        </w:rPr>
      </w:pPr>
      <w:r>
        <w:rPr>
          <w:rFonts w:cs="Times New Roman"/>
          <w:szCs w:val="24"/>
        </w:rPr>
        <w:lastRenderedPageBreak/>
        <w:t>Figure S2. Marginal trajectory with the addition of the Diggle-Kenward component</w:t>
      </w:r>
    </w:p>
    <w:p w14:paraId="5A24A262" w14:textId="44044753" w:rsidR="00FC6054" w:rsidRDefault="00993FE4" w:rsidP="002C76BB">
      <w:pPr>
        <w:widowControl w:val="0"/>
        <w:spacing w:line="240" w:lineRule="auto"/>
        <w:rPr>
          <w:rFonts w:cs="Times New Roman"/>
          <w:szCs w:val="24"/>
        </w:rPr>
      </w:pPr>
      <w:r>
        <w:rPr>
          <w:rFonts w:cs="Times New Roman"/>
          <w:noProof/>
          <w:szCs w:val="24"/>
        </w:rPr>
        <w:drawing>
          <wp:inline distT="0" distB="0" distL="0" distR="0" wp14:anchorId="73311E6E" wp14:editId="1CC2A490">
            <wp:extent cx="5029210" cy="3657607"/>
            <wp:effectExtent l="0" t="0" r="0" b="0"/>
            <wp:docPr id="1445656435" name="Picture 2"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56435" name="Picture 2" descr="A diagram of a graph&#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29210" cy="3657607"/>
                    </a:xfrm>
                    <a:prstGeom prst="rect">
                      <a:avLst/>
                    </a:prstGeom>
                  </pic:spPr>
                </pic:pic>
              </a:graphicData>
            </a:graphic>
          </wp:inline>
        </w:drawing>
      </w:r>
    </w:p>
    <w:p w14:paraId="473746EC" w14:textId="2E656B24" w:rsidR="00300477" w:rsidRPr="004C0570" w:rsidRDefault="00300477" w:rsidP="002C76BB">
      <w:pPr>
        <w:widowControl w:val="0"/>
        <w:spacing w:line="240" w:lineRule="auto"/>
        <w:rPr>
          <w:rFonts w:cs="Times New Roman"/>
          <w:szCs w:val="24"/>
        </w:rPr>
      </w:pPr>
      <w:r>
        <w:rPr>
          <w:rFonts w:cs="Times New Roman"/>
          <w:i/>
          <w:iCs/>
          <w:szCs w:val="24"/>
        </w:rPr>
        <w:t xml:space="preserve">Note. </w:t>
      </w:r>
      <w:r w:rsidR="004306B4">
        <w:rPr>
          <w:rFonts w:cs="Times New Roman"/>
          <w:szCs w:val="24"/>
        </w:rPr>
        <w:t xml:space="preserve">This plot replicates the model depicted in Figure 2 with the addition of the Diggle-Kenward component to account for </w:t>
      </w:r>
      <w:r w:rsidR="00AE5BAA">
        <w:rPr>
          <w:rFonts w:cs="Times New Roman"/>
          <w:szCs w:val="24"/>
        </w:rPr>
        <w:t>the correlation between missingness and participants’ depressive symptoms at the current (</w:t>
      </w:r>
      <w:r w:rsidR="00AE5BAA">
        <w:rPr>
          <w:rFonts w:cs="Times New Roman"/>
          <w:i/>
          <w:iCs/>
          <w:szCs w:val="24"/>
        </w:rPr>
        <w:t>t</w:t>
      </w:r>
      <w:r w:rsidR="00AE5BAA">
        <w:rPr>
          <w:rFonts w:cs="Times New Roman"/>
          <w:szCs w:val="24"/>
        </w:rPr>
        <w:t>) and prior timepoint (</w:t>
      </w:r>
      <w:r w:rsidR="00AE5BAA">
        <w:rPr>
          <w:rFonts w:cs="Times New Roman"/>
          <w:i/>
          <w:iCs/>
          <w:szCs w:val="24"/>
        </w:rPr>
        <w:t xml:space="preserve">t </w:t>
      </w:r>
      <w:r w:rsidR="00AE5BAA">
        <w:rPr>
          <w:rFonts w:cs="Times New Roman"/>
          <w:szCs w:val="24"/>
        </w:rPr>
        <w:t xml:space="preserve">– 1). </w:t>
      </w:r>
      <w:r w:rsidRPr="008A7E2F">
        <w:rPr>
          <w:rFonts w:cs="Times New Roman"/>
          <w:szCs w:val="24"/>
        </w:rPr>
        <w:t>Plots include the model-implied marginal fit for each group</w:t>
      </w:r>
      <w:r>
        <w:rPr>
          <w:rFonts w:cs="Times New Roman"/>
          <w:szCs w:val="24"/>
        </w:rPr>
        <w:t xml:space="preserve"> in bolded red and blue lines, respectively. Marginal fits are conditional on </w:t>
      </w:r>
      <w:r w:rsidRPr="008A7E2F">
        <w:rPr>
          <w:rFonts w:cs="Times New Roman"/>
          <w:szCs w:val="24"/>
        </w:rPr>
        <w:t>mothers’ age, ethnic/racial minority status,</w:t>
      </w:r>
      <w:r>
        <w:rPr>
          <w:rFonts w:cs="Times New Roman"/>
          <w:szCs w:val="24"/>
        </w:rPr>
        <w:t xml:space="preserve"> number of weeks pregnant,</w:t>
      </w:r>
      <w:r w:rsidRPr="008A7E2F">
        <w:rPr>
          <w:rFonts w:cs="Times New Roman"/>
          <w:szCs w:val="24"/>
        </w:rPr>
        <w:t xml:space="preserve"> and educatio</w:t>
      </w:r>
      <w:r>
        <w:rPr>
          <w:rFonts w:cs="Times New Roman"/>
          <w:szCs w:val="24"/>
        </w:rPr>
        <w:t>n (see Table 3, Model 2, α1 – α3). Empirical data for each cohort are displayed in the background using transparent lines</w:t>
      </w:r>
      <w:r w:rsidRPr="008A7E2F">
        <w:rPr>
          <w:rFonts w:cs="Times New Roman"/>
          <w:szCs w:val="24"/>
        </w:rPr>
        <w:t>. BDI-II = Beck Depression Inventory-II standardized factor scores centered at zero; Pandemic cohort (n = 615 mothers); Pre-pandemic cohort (n = 99 mothers); Preg., 3PP, 6PP, and 12PP = prenatal, three-, six-, and twelve-month waves, respectively.</w:t>
      </w:r>
    </w:p>
    <w:p w14:paraId="230CEAA1" w14:textId="77777777" w:rsidR="002C76BB" w:rsidRDefault="002C76BB" w:rsidP="002C76BB">
      <w:pPr>
        <w:spacing w:line="240" w:lineRule="auto"/>
        <w:rPr>
          <w:rFonts w:cs="Times New Roman"/>
          <w:szCs w:val="24"/>
        </w:rPr>
      </w:pPr>
    </w:p>
    <w:p w14:paraId="44BED908" w14:textId="77777777" w:rsidR="00674B3F" w:rsidRDefault="00674B3F">
      <w:pPr>
        <w:rPr>
          <w:rFonts w:cs="Times New Roman"/>
          <w:szCs w:val="24"/>
        </w:rPr>
      </w:pPr>
      <w:r>
        <w:rPr>
          <w:rFonts w:cs="Times New Roman"/>
          <w:szCs w:val="24"/>
        </w:rPr>
        <w:br w:type="page"/>
      </w:r>
    </w:p>
    <w:p w14:paraId="0C37DA31" w14:textId="17918598" w:rsidR="00674B3F" w:rsidRPr="00674B3F" w:rsidRDefault="00674B3F" w:rsidP="00674B3F">
      <w:pPr>
        <w:spacing w:line="240" w:lineRule="auto"/>
        <w:jc w:val="center"/>
        <w:rPr>
          <w:rFonts w:cs="Times New Roman"/>
          <w:b/>
          <w:bCs/>
          <w:szCs w:val="24"/>
        </w:rPr>
      </w:pPr>
      <w:r w:rsidRPr="00674B3F">
        <w:rPr>
          <w:rFonts w:cs="Times New Roman"/>
          <w:b/>
          <w:bCs/>
          <w:szCs w:val="24"/>
        </w:rPr>
        <w:lastRenderedPageBreak/>
        <w:t>References</w:t>
      </w:r>
    </w:p>
    <w:p w14:paraId="118B5F20" w14:textId="59CFB64E" w:rsidR="006D5C75" w:rsidRPr="00CB6E30" w:rsidRDefault="006D5C75" w:rsidP="008D7367">
      <w:pPr>
        <w:widowControl w:val="0"/>
        <w:spacing w:line="240" w:lineRule="auto"/>
        <w:ind w:left="720" w:hanging="720"/>
        <w:rPr>
          <w:rFonts w:cs="Times New Roman"/>
          <w:color w:val="333333"/>
          <w:szCs w:val="24"/>
          <w:highlight w:val="white"/>
        </w:rPr>
      </w:pPr>
      <w:r w:rsidRPr="006D5C75">
        <w:rPr>
          <w:rFonts w:cs="Times New Roman"/>
          <w:color w:val="333333"/>
          <w:szCs w:val="24"/>
          <w:highlight w:val="white"/>
        </w:rPr>
        <w:t>Carey, M. P., Spector, I. P., Lantinga, L. J., &amp; Krauss, D. J. (1993). Reliability of the dyadic adjustment scale. </w:t>
      </w:r>
      <w:r w:rsidRPr="006D5C75">
        <w:rPr>
          <w:rFonts w:cs="Times New Roman"/>
          <w:i/>
          <w:iCs/>
          <w:color w:val="333333"/>
          <w:szCs w:val="24"/>
          <w:highlight w:val="white"/>
        </w:rPr>
        <w:t>Psychological Assessment</w:t>
      </w:r>
      <w:r w:rsidRPr="006D5C75">
        <w:rPr>
          <w:rFonts w:cs="Times New Roman"/>
          <w:color w:val="333333"/>
          <w:szCs w:val="24"/>
          <w:highlight w:val="white"/>
        </w:rPr>
        <w:t>, </w:t>
      </w:r>
      <w:r w:rsidRPr="006D5C75">
        <w:rPr>
          <w:rFonts w:cs="Times New Roman"/>
          <w:i/>
          <w:iCs/>
          <w:color w:val="333333"/>
          <w:szCs w:val="24"/>
          <w:highlight w:val="white"/>
        </w:rPr>
        <w:t>5</w:t>
      </w:r>
      <w:r w:rsidRPr="006D5C75">
        <w:rPr>
          <w:rFonts w:cs="Times New Roman"/>
          <w:color w:val="333333"/>
          <w:szCs w:val="24"/>
          <w:highlight w:val="white"/>
        </w:rPr>
        <w:t>(2), 238.</w:t>
      </w:r>
    </w:p>
    <w:p w14:paraId="318E9ED6" w14:textId="47FEB5A5" w:rsidR="00864687" w:rsidRDefault="00674B3F" w:rsidP="008D7367">
      <w:pPr>
        <w:widowControl w:val="0"/>
        <w:spacing w:line="240" w:lineRule="auto"/>
        <w:ind w:left="720" w:hanging="720"/>
        <w:rPr>
          <w:rFonts w:cs="Times New Roman"/>
          <w:color w:val="333333"/>
          <w:szCs w:val="24"/>
          <w:highlight w:val="white"/>
        </w:rPr>
      </w:pPr>
      <w:r w:rsidRPr="00CB6E30">
        <w:rPr>
          <w:rFonts w:cs="Times New Roman"/>
          <w:color w:val="333333"/>
          <w:szCs w:val="24"/>
          <w:highlight w:val="white"/>
        </w:rPr>
        <w:t xml:space="preserve">Cheung, G. W. &amp; Rensvold, R. B. (2002). </w:t>
      </w:r>
      <w:r w:rsidRPr="00E8308E">
        <w:rPr>
          <w:rFonts w:cs="Times New Roman"/>
          <w:color w:val="333333"/>
          <w:szCs w:val="24"/>
          <w:highlight w:val="white"/>
        </w:rPr>
        <w:t>Evaluating goodness-of-fit in</w:t>
      </w:r>
      <w:r>
        <w:rPr>
          <w:rFonts w:cs="Times New Roman"/>
          <w:color w:val="333333"/>
          <w:szCs w:val="24"/>
          <w:highlight w:val="white"/>
        </w:rPr>
        <w:t xml:space="preserve">dexes for testing measurement invariance. </w:t>
      </w:r>
      <w:r>
        <w:rPr>
          <w:rFonts w:cs="Times New Roman"/>
          <w:i/>
          <w:iCs/>
          <w:color w:val="333333"/>
          <w:szCs w:val="24"/>
          <w:highlight w:val="white"/>
        </w:rPr>
        <w:t>Structural Equation Modeling, 9</w:t>
      </w:r>
      <w:r>
        <w:rPr>
          <w:rFonts w:cs="Times New Roman"/>
          <w:color w:val="333333"/>
          <w:szCs w:val="24"/>
          <w:highlight w:val="white"/>
        </w:rPr>
        <w:t>(2), 233-255</w:t>
      </w:r>
      <w:r w:rsidR="00864687">
        <w:rPr>
          <w:rFonts w:cs="Times New Roman"/>
          <w:color w:val="333333"/>
          <w:szCs w:val="24"/>
          <w:highlight w:val="white"/>
        </w:rPr>
        <w:t>.</w:t>
      </w:r>
    </w:p>
    <w:p w14:paraId="6AB2543B" w14:textId="1331FF08" w:rsidR="00821EC7" w:rsidRDefault="00821EC7" w:rsidP="008D7367">
      <w:pPr>
        <w:widowControl w:val="0"/>
        <w:spacing w:line="240" w:lineRule="auto"/>
        <w:ind w:left="720" w:hanging="720"/>
        <w:rPr>
          <w:rFonts w:cs="Times New Roman"/>
          <w:color w:val="333333"/>
          <w:szCs w:val="24"/>
          <w:highlight w:val="white"/>
        </w:rPr>
      </w:pPr>
      <w:r w:rsidRPr="006A2651">
        <w:rPr>
          <w:rFonts w:cs="Times New Roman"/>
          <w:color w:val="333333"/>
          <w:szCs w:val="24"/>
          <w:highlight w:val="white"/>
        </w:rPr>
        <w:t>Diallo, T. M., Morin, A. J., &amp; Lu, H. (2016). Impact of misspecifications</w:t>
      </w:r>
      <w:r>
        <w:rPr>
          <w:rFonts w:cs="Times New Roman"/>
          <w:color w:val="333333"/>
          <w:szCs w:val="24"/>
          <w:highlight w:val="white"/>
        </w:rPr>
        <w:t xml:space="preserve"> </w:t>
      </w:r>
      <w:r w:rsidRPr="006A2651">
        <w:rPr>
          <w:rFonts w:cs="Times New Roman"/>
          <w:color w:val="333333"/>
          <w:szCs w:val="24"/>
          <w:highlight w:val="white"/>
        </w:rPr>
        <w:t>of the latent variance–covariance and residual matrices on the class</w:t>
      </w:r>
      <w:r>
        <w:rPr>
          <w:rFonts w:cs="Times New Roman"/>
          <w:color w:val="333333"/>
          <w:szCs w:val="24"/>
          <w:highlight w:val="white"/>
        </w:rPr>
        <w:t xml:space="preserve"> </w:t>
      </w:r>
      <w:r w:rsidRPr="006A2651">
        <w:rPr>
          <w:rFonts w:cs="Times New Roman"/>
          <w:color w:val="333333"/>
          <w:szCs w:val="24"/>
          <w:highlight w:val="white"/>
        </w:rPr>
        <w:t xml:space="preserve">enumeration accuracy of growth mixture models. </w:t>
      </w:r>
      <w:r w:rsidRPr="008841AC">
        <w:rPr>
          <w:rFonts w:cs="Times New Roman"/>
          <w:i/>
          <w:iCs/>
          <w:color w:val="333333"/>
          <w:szCs w:val="24"/>
          <w:highlight w:val="white"/>
        </w:rPr>
        <w:t>Structural Equation Modeling, 23,</w:t>
      </w:r>
      <w:r w:rsidRPr="006A2651">
        <w:rPr>
          <w:rFonts w:cs="Times New Roman"/>
          <w:color w:val="333333"/>
          <w:szCs w:val="24"/>
          <w:highlight w:val="white"/>
        </w:rPr>
        <w:t xml:space="preserve"> 507–531. </w:t>
      </w:r>
      <w:hyperlink r:id="rId9" w:history="1">
        <w:r w:rsidRPr="00F81A21">
          <w:rPr>
            <w:rStyle w:val="Hyperlink"/>
            <w:rFonts w:cs="Times New Roman"/>
            <w:szCs w:val="24"/>
            <w:highlight w:val="white"/>
          </w:rPr>
          <w:t>https://doi.org/10.1080/10705511.2016.1169188</w:t>
        </w:r>
      </w:hyperlink>
      <w:r>
        <w:rPr>
          <w:rFonts w:cs="Times New Roman"/>
          <w:color w:val="333333"/>
          <w:szCs w:val="24"/>
          <w:highlight w:val="white"/>
        </w:rPr>
        <w:t xml:space="preserve"> </w:t>
      </w:r>
    </w:p>
    <w:p w14:paraId="47703C74" w14:textId="6A5219BD" w:rsidR="00864687" w:rsidRPr="008841AC" w:rsidRDefault="00864687" w:rsidP="008D7367">
      <w:pPr>
        <w:widowControl w:val="0"/>
        <w:spacing w:line="240" w:lineRule="auto"/>
        <w:ind w:left="720" w:hanging="720"/>
        <w:rPr>
          <w:rFonts w:cs="Times New Roman"/>
          <w:color w:val="333333"/>
          <w:szCs w:val="24"/>
          <w:highlight w:val="white"/>
        </w:rPr>
      </w:pPr>
      <w:r w:rsidRPr="00D66671">
        <w:rPr>
          <w:rFonts w:cs="Times New Roman"/>
          <w:color w:val="333333"/>
          <w:szCs w:val="24"/>
          <w:highlight w:val="white"/>
        </w:rPr>
        <w:t>Diggle, P. J., Heagerty, P., Liang, K.Y.,</w:t>
      </w:r>
      <w:r>
        <w:rPr>
          <w:rFonts w:cs="Times New Roman"/>
          <w:color w:val="333333"/>
          <w:szCs w:val="24"/>
          <w:highlight w:val="white"/>
        </w:rPr>
        <w:t xml:space="preserve"> </w:t>
      </w:r>
      <w:r w:rsidRPr="00D66671">
        <w:rPr>
          <w:rFonts w:cs="Times New Roman"/>
          <w:color w:val="333333"/>
          <w:szCs w:val="24"/>
          <w:highlight w:val="white"/>
        </w:rPr>
        <w:t>&amp;</w:t>
      </w:r>
      <w:r>
        <w:rPr>
          <w:rFonts w:cs="Times New Roman"/>
          <w:color w:val="333333"/>
          <w:szCs w:val="24"/>
          <w:highlight w:val="white"/>
        </w:rPr>
        <w:t xml:space="preserve"> </w:t>
      </w:r>
      <w:r w:rsidRPr="00D66671">
        <w:rPr>
          <w:rFonts w:cs="Times New Roman"/>
          <w:color w:val="333333"/>
          <w:szCs w:val="24"/>
          <w:highlight w:val="white"/>
        </w:rPr>
        <w:t>Zeger, S. L. (2002). Analysis of</w:t>
      </w:r>
      <w:r>
        <w:rPr>
          <w:rFonts w:cs="Times New Roman"/>
          <w:color w:val="333333"/>
          <w:szCs w:val="24"/>
          <w:highlight w:val="white"/>
        </w:rPr>
        <w:t xml:space="preserve"> </w:t>
      </w:r>
      <w:r w:rsidRPr="00D66671">
        <w:rPr>
          <w:rFonts w:cs="Times New Roman"/>
          <w:color w:val="333333"/>
          <w:szCs w:val="24"/>
          <w:highlight w:val="white"/>
        </w:rPr>
        <w:t>longitudinal data (2nd). New York, NY: Oxford University Press.</w:t>
      </w:r>
    </w:p>
    <w:p w14:paraId="37CBF745" w14:textId="77777777" w:rsidR="00864687" w:rsidRDefault="00864687" w:rsidP="008D7367">
      <w:pPr>
        <w:widowControl w:val="0"/>
        <w:spacing w:line="240" w:lineRule="auto"/>
        <w:ind w:left="720" w:hanging="720"/>
        <w:rPr>
          <w:rFonts w:cs="Times New Roman"/>
          <w:color w:val="333333"/>
          <w:szCs w:val="24"/>
          <w:highlight w:val="white"/>
        </w:rPr>
      </w:pPr>
      <w:r w:rsidRPr="008841AC">
        <w:rPr>
          <w:rFonts w:cs="Times New Roman"/>
          <w:color w:val="333333"/>
          <w:szCs w:val="24"/>
          <w:highlight w:val="white"/>
        </w:rPr>
        <w:t>Diggle, P. J. &amp; Ken</w:t>
      </w:r>
      <w:r w:rsidRPr="0057689B">
        <w:rPr>
          <w:rFonts w:cs="Times New Roman"/>
          <w:color w:val="333333"/>
          <w:szCs w:val="24"/>
          <w:highlight w:val="white"/>
        </w:rPr>
        <w:t xml:space="preserve">ward, M. G. (1994). </w:t>
      </w:r>
      <w:r w:rsidRPr="008841AC">
        <w:rPr>
          <w:rFonts w:cs="Times New Roman"/>
          <w:color w:val="333333"/>
          <w:szCs w:val="24"/>
          <w:highlight w:val="white"/>
        </w:rPr>
        <w:t>Informative drop-out in l</w:t>
      </w:r>
      <w:r>
        <w:rPr>
          <w:rFonts w:cs="Times New Roman"/>
          <w:color w:val="333333"/>
          <w:szCs w:val="24"/>
          <w:highlight w:val="white"/>
        </w:rPr>
        <w:t xml:space="preserve">ongitudinal data analysis. </w:t>
      </w:r>
      <w:r>
        <w:rPr>
          <w:rFonts w:cs="Times New Roman"/>
          <w:i/>
          <w:iCs/>
          <w:color w:val="333333"/>
          <w:szCs w:val="24"/>
          <w:highlight w:val="white"/>
        </w:rPr>
        <w:t>Applied Statistics, 43</w:t>
      </w:r>
      <w:r>
        <w:rPr>
          <w:rFonts w:cs="Times New Roman"/>
          <w:color w:val="333333"/>
          <w:szCs w:val="24"/>
          <w:highlight w:val="white"/>
        </w:rPr>
        <w:t>(1), 49-73.</w:t>
      </w:r>
    </w:p>
    <w:p w14:paraId="1B296EFD" w14:textId="2C733468" w:rsidR="000259CB" w:rsidRDefault="000259CB" w:rsidP="008D7367">
      <w:pPr>
        <w:widowControl w:val="0"/>
        <w:spacing w:line="240" w:lineRule="auto"/>
        <w:ind w:left="720" w:hanging="720"/>
        <w:rPr>
          <w:rFonts w:cs="Times New Roman"/>
          <w:color w:val="333333"/>
          <w:szCs w:val="24"/>
          <w:highlight w:val="white"/>
        </w:rPr>
      </w:pPr>
      <w:r w:rsidRPr="00CB6E30">
        <w:rPr>
          <w:rFonts w:cs="Times New Roman"/>
          <w:color w:val="333333"/>
          <w:szCs w:val="24"/>
          <w:highlight w:val="white"/>
        </w:rPr>
        <w:t xml:space="preserve">Graham, J. M., Liu, Y. J., &amp; Jeziorski, J. L. (2006). </w:t>
      </w:r>
      <w:r w:rsidRPr="000259CB">
        <w:rPr>
          <w:rFonts w:cs="Times New Roman"/>
          <w:color w:val="333333"/>
          <w:szCs w:val="24"/>
          <w:highlight w:val="white"/>
        </w:rPr>
        <w:t>The dyadic adjustment scale: A reliability generalization meta‐analysis. </w:t>
      </w:r>
      <w:r w:rsidRPr="000259CB">
        <w:rPr>
          <w:rFonts w:cs="Times New Roman"/>
          <w:i/>
          <w:iCs/>
          <w:color w:val="333333"/>
          <w:szCs w:val="24"/>
          <w:highlight w:val="white"/>
        </w:rPr>
        <w:t>Journal of marriage and family</w:t>
      </w:r>
      <w:r w:rsidRPr="000259CB">
        <w:rPr>
          <w:rFonts w:cs="Times New Roman"/>
          <w:color w:val="333333"/>
          <w:szCs w:val="24"/>
          <w:highlight w:val="white"/>
        </w:rPr>
        <w:t>, </w:t>
      </w:r>
      <w:r w:rsidRPr="000259CB">
        <w:rPr>
          <w:rFonts w:cs="Times New Roman"/>
          <w:i/>
          <w:iCs/>
          <w:color w:val="333333"/>
          <w:szCs w:val="24"/>
          <w:highlight w:val="white"/>
        </w:rPr>
        <w:t>68</w:t>
      </w:r>
      <w:r w:rsidRPr="000259CB">
        <w:rPr>
          <w:rFonts w:cs="Times New Roman"/>
          <w:color w:val="333333"/>
          <w:szCs w:val="24"/>
          <w:highlight w:val="white"/>
        </w:rPr>
        <w:t>(3), 701-717.</w:t>
      </w:r>
    </w:p>
    <w:p w14:paraId="30FF786F" w14:textId="7CE5E905" w:rsidR="00F653E2" w:rsidRPr="00CB6E30" w:rsidRDefault="00F653E2" w:rsidP="008D7367">
      <w:pPr>
        <w:widowControl w:val="0"/>
        <w:spacing w:line="240" w:lineRule="auto"/>
        <w:ind w:left="720" w:hanging="720"/>
        <w:rPr>
          <w:rFonts w:cs="Times New Roman"/>
          <w:color w:val="333333"/>
          <w:szCs w:val="24"/>
          <w:highlight w:val="white"/>
        </w:rPr>
      </w:pPr>
      <w:r w:rsidRPr="00F653E2">
        <w:rPr>
          <w:rFonts w:cs="Times New Roman"/>
          <w:color w:val="333333"/>
          <w:szCs w:val="24"/>
          <w:highlight w:val="white"/>
        </w:rPr>
        <w:t>Hunsley, J., Best, M., Lefebvre, M., &amp; Vito, D. (2001). The seven-item short form of the Dyadic Adjustment Scale: Further evidence for construct validity. </w:t>
      </w:r>
      <w:r w:rsidRPr="00F653E2">
        <w:rPr>
          <w:rFonts w:cs="Times New Roman"/>
          <w:i/>
          <w:iCs/>
          <w:color w:val="333333"/>
          <w:szCs w:val="24"/>
          <w:highlight w:val="white"/>
        </w:rPr>
        <w:t>American Journal of family therapy</w:t>
      </w:r>
      <w:r w:rsidRPr="00F653E2">
        <w:rPr>
          <w:rFonts w:cs="Times New Roman"/>
          <w:color w:val="333333"/>
          <w:szCs w:val="24"/>
          <w:highlight w:val="white"/>
        </w:rPr>
        <w:t>, </w:t>
      </w:r>
      <w:r w:rsidRPr="00F653E2">
        <w:rPr>
          <w:rFonts w:cs="Times New Roman"/>
          <w:i/>
          <w:iCs/>
          <w:color w:val="333333"/>
          <w:szCs w:val="24"/>
          <w:highlight w:val="white"/>
        </w:rPr>
        <w:t>29</w:t>
      </w:r>
      <w:r w:rsidRPr="00F653E2">
        <w:rPr>
          <w:rFonts w:cs="Times New Roman"/>
          <w:color w:val="333333"/>
          <w:szCs w:val="24"/>
          <w:highlight w:val="white"/>
        </w:rPr>
        <w:t>(4), 325-335.</w:t>
      </w:r>
    </w:p>
    <w:p w14:paraId="328E6208" w14:textId="0ECB86CF" w:rsidR="004F623B" w:rsidRPr="00CB6E30" w:rsidRDefault="004F623B" w:rsidP="008D7367">
      <w:pPr>
        <w:widowControl w:val="0"/>
        <w:spacing w:line="240" w:lineRule="auto"/>
        <w:ind w:left="720" w:hanging="720"/>
        <w:rPr>
          <w:rFonts w:cs="Times New Roman"/>
          <w:color w:val="333333"/>
          <w:szCs w:val="24"/>
          <w:highlight w:val="white"/>
        </w:rPr>
      </w:pPr>
      <w:r w:rsidRPr="00CB6E30">
        <w:rPr>
          <w:rFonts w:cs="Times New Roman"/>
          <w:color w:val="333333"/>
          <w:szCs w:val="24"/>
          <w:highlight w:val="white"/>
        </w:rPr>
        <w:t xml:space="preserve">Jennrich, R. I., &amp; Schluchter, M. D. (1986). </w:t>
      </w:r>
      <w:r w:rsidRPr="00BD40F9">
        <w:rPr>
          <w:rFonts w:cs="Times New Roman"/>
          <w:color w:val="333333"/>
          <w:szCs w:val="24"/>
          <w:highlight w:val="white"/>
        </w:rPr>
        <w:t>Unbalanced repeated-measures models with structured covariance matrices. </w:t>
      </w:r>
      <w:r w:rsidRPr="00CB6E30">
        <w:rPr>
          <w:rFonts w:cs="Times New Roman"/>
          <w:i/>
          <w:iCs/>
          <w:color w:val="333333"/>
          <w:szCs w:val="24"/>
          <w:highlight w:val="white"/>
        </w:rPr>
        <w:t>Biometrics</w:t>
      </w:r>
      <w:r w:rsidRPr="00CB6E30">
        <w:rPr>
          <w:rFonts w:cs="Times New Roman"/>
          <w:color w:val="333333"/>
          <w:szCs w:val="24"/>
          <w:highlight w:val="white"/>
        </w:rPr>
        <w:t>, 805-820.</w:t>
      </w:r>
    </w:p>
    <w:p w14:paraId="1E789E93" w14:textId="33A0955A" w:rsidR="00A97A1A" w:rsidRPr="00A97A1A" w:rsidRDefault="00A97A1A" w:rsidP="008D7367">
      <w:pPr>
        <w:widowControl w:val="0"/>
        <w:spacing w:line="240" w:lineRule="auto"/>
        <w:ind w:left="720" w:hanging="720"/>
        <w:rPr>
          <w:rFonts w:cs="Times New Roman"/>
          <w:color w:val="333333"/>
          <w:szCs w:val="24"/>
          <w:highlight w:val="white"/>
        </w:rPr>
      </w:pPr>
      <w:r w:rsidRPr="00A97A1A">
        <w:rPr>
          <w:rFonts w:cs="Times New Roman"/>
          <w:color w:val="333333"/>
          <w:szCs w:val="24"/>
          <w:highlight w:val="white"/>
        </w:rPr>
        <w:t>Kang, Y., McNeish, D. M., &amp; Hancock, G</w:t>
      </w:r>
      <w:r>
        <w:rPr>
          <w:rFonts w:cs="Times New Roman"/>
          <w:color w:val="333333"/>
          <w:szCs w:val="24"/>
          <w:highlight w:val="white"/>
        </w:rPr>
        <w:t xml:space="preserve">. R. (2016). The role of measurement quality on practical guidelines for assessing measurement and structural invariance. </w:t>
      </w:r>
      <w:r>
        <w:rPr>
          <w:rFonts w:cs="Times New Roman"/>
          <w:i/>
          <w:iCs/>
          <w:color w:val="333333"/>
          <w:szCs w:val="24"/>
          <w:highlight w:val="white"/>
        </w:rPr>
        <w:t>Educational and Psychological Measurement, 76</w:t>
      </w:r>
      <w:r>
        <w:rPr>
          <w:rFonts w:cs="Times New Roman"/>
          <w:color w:val="333333"/>
          <w:szCs w:val="24"/>
          <w:highlight w:val="white"/>
        </w:rPr>
        <w:t xml:space="preserve">(4), 533-561. </w:t>
      </w:r>
      <w:proofErr w:type="spellStart"/>
      <w:r w:rsidR="00762556">
        <w:rPr>
          <w:rFonts w:cs="Times New Roman"/>
          <w:color w:val="333333"/>
          <w:szCs w:val="24"/>
        </w:rPr>
        <w:t>doi</w:t>
      </w:r>
      <w:proofErr w:type="spellEnd"/>
      <w:r w:rsidR="00762556" w:rsidRPr="00762556">
        <w:rPr>
          <w:rFonts w:cs="Times New Roman"/>
          <w:color w:val="333333"/>
          <w:szCs w:val="24"/>
        </w:rPr>
        <w:t>: 10.1177/0013164415603764</w:t>
      </w:r>
    </w:p>
    <w:p w14:paraId="0E6F7511" w14:textId="51E2193B" w:rsidR="00F963A2" w:rsidRDefault="00F963A2" w:rsidP="008D7367">
      <w:pPr>
        <w:widowControl w:val="0"/>
        <w:spacing w:line="240" w:lineRule="auto"/>
        <w:ind w:left="720" w:hanging="720"/>
        <w:rPr>
          <w:rFonts w:eastAsia="Arial" w:cs="Times New Roman"/>
          <w:color w:val="333333"/>
          <w:kern w:val="0"/>
          <w:szCs w:val="24"/>
          <w:highlight w:val="white"/>
          <w14:ligatures w14:val="none"/>
        </w:rPr>
      </w:pPr>
      <w:r w:rsidRPr="00F963A2">
        <w:rPr>
          <w:rFonts w:eastAsia="Arial" w:cs="Times New Roman"/>
          <w:color w:val="333333"/>
          <w:kern w:val="0"/>
          <w:szCs w:val="24"/>
          <w:highlight w:val="white"/>
          <w14:ligatures w14:val="none"/>
        </w:rPr>
        <w:t>León, G., Waizman, Y., Aviv, E., &amp; Saxbe, D. (2025, January 15). Impact of the COVID-19 pandemic-related lockdowns, disruptions in social connection, and loneliness on depressive symptom trajectories across the transition to motherhood. Retrieved from osf.io/</w:t>
      </w:r>
      <w:proofErr w:type="spellStart"/>
      <w:r w:rsidRPr="00F963A2">
        <w:rPr>
          <w:rFonts w:eastAsia="Arial" w:cs="Times New Roman"/>
          <w:color w:val="333333"/>
          <w:kern w:val="0"/>
          <w:szCs w:val="24"/>
          <w:highlight w:val="white"/>
          <w14:ligatures w14:val="none"/>
        </w:rPr>
        <w:t>bsdak</w:t>
      </w:r>
      <w:proofErr w:type="spellEnd"/>
    </w:p>
    <w:p w14:paraId="0486AE3C" w14:textId="0BCB39A7" w:rsidR="001710E4" w:rsidRPr="001710E4" w:rsidRDefault="001710E4" w:rsidP="008D7367">
      <w:pPr>
        <w:widowControl w:val="0"/>
        <w:spacing w:line="240" w:lineRule="auto"/>
        <w:ind w:left="720" w:hanging="720"/>
        <w:rPr>
          <w:rFonts w:eastAsia="Arial" w:cs="Times New Roman"/>
          <w:color w:val="333333"/>
          <w:kern w:val="0"/>
          <w:szCs w:val="24"/>
          <w:highlight w:val="white"/>
          <w14:ligatures w14:val="none"/>
        </w:rPr>
      </w:pPr>
      <w:r w:rsidRPr="001710E4">
        <w:rPr>
          <w:rFonts w:eastAsia="Arial" w:cs="Times New Roman"/>
          <w:color w:val="333333"/>
          <w:kern w:val="0"/>
          <w:szCs w:val="24"/>
          <w:highlight w:val="white"/>
          <w14:ligatures w14:val="none"/>
        </w:rPr>
        <w:t xml:space="preserve">Liu, M., &amp; Hancock, G. R. (2014). Unrestricted mixture models for class identification in growth mixture modeling. </w:t>
      </w:r>
      <w:r w:rsidRPr="001710E4">
        <w:rPr>
          <w:rFonts w:eastAsia="Arial" w:cs="Times New Roman"/>
          <w:i/>
          <w:iCs/>
          <w:color w:val="333333"/>
          <w:kern w:val="0"/>
          <w:szCs w:val="24"/>
          <w:highlight w:val="white"/>
          <w14:ligatures w14:val="none"/>
        </w:rPr>
        <w:t>Educational and Psychological Measurement, 74</w:t>
      </w:r>
      <w:r w:rsidRPr="001710E4">
        <w:rPr>
          <w:rFonts w:eastAsia="Arial" w:cs="Times New Roman"/>
          <w:color w:val="333333"/>
          <w:kern w:val="0"/>
          <w:szCs w:val="24"/>
          <w:highlight w:val="white"/>
          <w14:ligatures w14:val="none"/>
        </w:rPr>
        <w:t xml:space="preserve">, 557–584. </w:t>
      </w:r>
      <w:hyperlink r:id="rId10" w:history="1">
        <w:r w:rsidRPr="001710E4">
          <w:rPr>
            <w:rFonts w:eastAsia="Arial" w:cs="Times New Roman"/>
            <w:color w:val="467886" w:themeColor="hyperlink"/>
            <w:kern w:val="0"/>
            <w:szCs w:val="24"/>
            <w:highlight w:val="white"/>
            <w:u w:val="single"/>
            <w14:ligatures w14:val="none"/>
          </w:rPr>
          <w:t>https://doi.org/10.1177/0013164413519798</w:t>
        </w:r>
      </w:hyperlink>
      <w:r w:rsidRPr="001710E4">
        <w:rPr>
          <w:rFonts w:eastAsia="Arial" w:cs="Times New Roman"/>
          <w:color w:val="333333"/>
          <w:kern w:val="0"/>
          <w:szCs w:val="24"/>
          <w:highlight w:val="white"/>
          <w14:ligatures w14:val="none"/>
        </w:rPr>
        <w:t xml:space="preserve"> </w:t>
      </w:r>
    </w:p>
    <w:p w14:paraId="397E8EED" w14:textId="77777777" w:rsidR="004920C9" w:rsidRDefault="00F069AF" w:rsidP="008D7367">
      <w:pPr>
        <w:widowControl w:val="0"/>
        <w:spacing w:line="240" w:lineRule="auto"/>
        <w:ind w:left="720" w:hanging="720"/>
        <w:rPr>
          <w:rFonts w:cs="Times New Roman"/>
          <w:color w:val="333333"/>
          <w:szCs w:val="24"/>
        </w:rPr>
      </w:pPr>
      <w:r>
        <w:rPr>
          <w:rFonts w:cs="Times New Roman"/>
          <w:color w:val="333333"/>
          <w:szCs w:val="24"/>
          <w:highlight w:val="white"/>
        </w:rPr>
        <w:t xml:space="preserve">McNeish, D. M. (2024). </w:t>
      </w:r>
      <w:r w:rsidR="00865CBC">
        <w:rPr>
          <w:rFonts w:cs="Times New Roman"/>
          <w:color w:val="333333"/>
          <w:szCs w:val="24"/>
          <w:highlight w:val="white"/>
        </w:rPr>
        <w:t xml:space="preserve">Missing not at random intensive longitudinal data: Diggle-Kenward selection for dynamic structural equation </w:t>
      </w:r>
      <w:r w:rsidR="00865CBC">
        <w:rPr>
          <w:rFonts w:cs="Times New Roman"/>
          <w:color w:val="333333"/>
          <w:szCs w:val="24"/>
          <w:highlight w:val="white"/>
        </w:rPr>
        <w:lastRenderedPageBreak/>
        <w:t xml:space="preserve">models. </w:t>
      </w:r>
      <w:r w:rsidR="00865CBC">
        <w:rPr>
          <w:rFonts w:cs="Times New Roman"/>
          <w:i/>
          <w:iCs/>
          <w:color w:val="333333"/>
          <w:szCs w:val="24"/>
          <w:highlight w:val="white"/>
        </w:rPr>
        <w:t>Preprint from PsyArXiv</w:t>
      </w:r>
      <w:r w:rsidR="00C356D9">
        <w:rPr>
          <w:rFonts w:cs="Times New Roman"/>
          <w:i/>
          <w:iCs/>
          <w:color w:val="333333"/>
          <w:szCs w:val="24"/>
          <w:highlight w:val="white"/>
        </w:rPr>
        <w:t xml:space="preserve">. </w:t>
      </w:r>
      <w:hyperlink r:id="rId11" w:history="1">
        <w:r w:rsidR="00C356D9" w:rsidRPr="00C356D9">
          <w:rPr>
            <w:rStyle w:val="Hyperlink"/>
            <w:rFonts w:cs="Times New Roman"/>
            <w:szCs w:val="24"/>
          </w:rPr>
          <w:t>https://doi.org/10.31234/osf.io/h3er7</w:t>
        </w:r>
      </w:hyperlink>
    </w:p>
    <w:p w14:paraId="473DEB05" w14:textId="77777777" w:rsidR="004920C9" w:rsidRDefault="004920C9" w:rsidP="008D7367">
      <w:pPr>
        <w:widowControl w:val="0"/>
        <w:spacing w:line="240" w:lineRule="auto"/>
        <w:ind w:left="720" w:hanging="720"/>
        <w:rPr>
          <w:rFonts w:cs="Times New Roman"/>
          <w:color w:val="333333"/>
          <w:szCs w:val="24"/>
          <w:highlight w:val="white"/>
        </w:rPr>
      </w:pPr>
      <w:r w:rsidRPr="00BD40F9">
        <w:rPr>
          <w:rFonts w:cs="Times New Roman"/>
          <w:color w:val="333333"/>
          <w:szCs w:val="24"/>
          <w:highlight w:val="white"/>
        </w:rPr>
        <w:t>McNeish, D., &amp; Harring, J. (2020). Covariance pattern mixture models: Eliminating random effects to improve convergence and performance. </w:t>
      </w:r>
      <w:r w:rsidRPr="00BD40F9">
        <w:rPr>
          <w:rFonts w:cs="Times New Roman"/>
          <w:i/>
          <w:iCs/>
          <w:color w:val="333333"/>
          <w:szCs w:val="24"/>
          <w:highlight w:val="white"/>
        </w:rPr>
        <w:t>Behavior Research Methods</w:t>
      </w:r>
      <w:r w:rsidRPr="00BD40F9">
        <w:rPr>
          <w:rFonts w:cs="Times New Roman"/>
          <w:color w:val="333333"/>
          <w:szCs w:val="24"/>
          <w:highlight w:val="white"/>
        </w:rPr>
        <w:t>, </w:t>
      </w:r>
      <w:r w:rsidRPr="00BD40F9">
        <w:rPr>
          <w:rFonts w:cs="Times New Roman"/>
          <w:i/>
          <w:iCs/>
          <w:color w:val="333333"/>
          <w:szCs w:val="24"/>
          <w:highlight w:val="white"/>
        </w:rPr>
        <w:t>52</w:t>
      </w:r>
      <w:r w:rsidRPr="00BD40F9">
        <w:rPr>
          <w:rFonts w:cs="Times New Roman"/>
          <w:color w:val="333333"/>
          <w:szCs w:val="24"/>
          <w:highlight w:val="white"/>
        </w:rPr>
        <w:t>, 947-979.</w:t>
      </w:r>
    </w:p>
    <w:p w14:paraId="54ED773F" w14:textId="45493D58" w:rsidR="006D18E3" w:rsidRDefault="006D18E3" w:rsidP="008D7367">
      <w:pPr>
        <w:widowControl w:val="0"/>
        <w:spacing w:line="240" w:lineRule="auto"/>
        <w:ind w:left="720" w:hanging="720"/>
        <w:rPr>
          <w:rFonts w:cs="Times New Roman"/>
          <w:color w:val="954F72"/>
          <w:szCs w:val="24"/>
          <w:highlight w:val="white"/>
          <w:u w:val="single"/>
        </w:rPr>
      </w:pPr>
      <w:r w:rsidRPr="003D0CA6">
        <w:rPr>
          <w:rFonts w:cs="Times New Roman"/>
          <w:color w:val="333333"/>
          <w:szCs w:val="24"/>
          <w:highlight w:val="white"/>
          <w:lang w:val="de-DE"/>
        </w:rPr>
        <w:t xml:space="preserve">McNeish, D., &amp; Wolf, M. G. (2020). </w:t>
      </w:r>
      <w:r w:rsidRPr="008A7E2F">
        <w:rPr>
          <w:rFonts w:cs="Times New Roman"/>
          <w:color w:val="333333"/>
          <w:szCs w:val="24"/>
          <w:highlight w:val="white"/>
        </w:rPr>
        <w:t xml:space="preserve">Thinking twice about sum scores. </w:t>
      </w:r>
      <w:r w:rsidRPr="008A7E2F">
        <w:rPr>
          <w:rFonts w:cs="Times New Roman"/>
          <w:i/>
          <w:color w:val="333333"/>
          <w:szCs w:val="24"/>
          <w:highlight w:val="white"/>
        </w:rPr>
        <w:t>Behavior Research Methods</w:t>
      </w:r>
      <w:r w:rsidRPr="008A7E2F">
        <w:rPr>
          <w:rFonts w:cs="Times New Roman"/>
          <w:color w:val="333333"/>
          <w:szCs w:val="24"/>
          <w:highlight w:val="white"/>
        </w:rPr>
        <w:t xml:space="preserve">, </w:t>
      </w:r>
      <w:r w:rsidRPr="008A7E2F">
        <w:rPr>
          <w:rFonts w:cs="Times New Roman"/>
          <w:i/>
          <w:color w:val="333333"/>
          <w:szCs w:val="24"/>
          <w:highlight w:val="white"/>
        </w:rPr>
        <w:t>52</w:t>
      </w:r>
      <w:r w:rsidRPr="008A7E2F">
        <w:rPr>
          <w:rFonts w:cs="Times New Roman"/>
          <w:color w:val="333333"/>
          <w:szCs w:val="24"/>
          <w:highlight w:val="white"/>
        </w:rPr>
        <w:t xml:space="preserve">(6), 2287–2305. </w:t>
      </w:r>
      <w:hyperlink r:id="rId12">
        <w:r w:rsidRPr="008A7E2F">
          <w:rPr>
            <w:rFonts w:cs="Times New Roman"/>
            <w:color w:val="954F72"/>
            <w:szCs w:val="24"/>
            <w:highlight w:val="white"/>
            <w:u w:val="single"/>
          </w:rPr>
          <w:t>https://doi.org/10.3758/s13428-020-01398-0</w:t>
        </w:r>
      </w:hyperlink>
    </w:p>
    <w:p w14:paraId="11B0E031" w14:textId="63564AB0" w:rsidR="004E00F5" w:rsidRDefault="004E00F5" w:rsidP="008D7367">
      <w:pPr>
        <w:widowControl w:val="0"/>
        <w:spacing w:line="240" w:lineRule="auto"/>
        <w:ind w:left="720" w:hanging="720"/>
        <w:rPr>
          <w:rFonts w:cs="Times New Roman"/>
          <w:color w:val="333333"/>
          <w:szCs w:val="24"/>
          <w:highlight w:val="white"/>
        </w:rPr>
      </w:pPr>
      <w:r w:rsidRPr="008A7E2F">
        <w:rPr>
          <w:rFonts w:cs="Times New Roman"/>
          <w:color w:val="333333"/>
          <w:szCs w:val="24"/>
          <w:highlight w:val="white"/>
        </w:rPr>
        <w:t>R Core Team (202</w:t>
      </w:r>
      <w:r>
        <w:rPr>
          <w:rFonts w:cs="Times New Roman"/>
          <w:color w:val="333333"/>
          <w:szCs w:val="24"/>
          <w:highlight w:val="white"/>
        </w:rPr>
        <w:t>4</w:t>
      </w:r>
      <w:r w:rsidRPr="008A7E2F">
        <w:rPr>
          <w:rFonts w:cs="Times New Roman"/>
          <w:color w:val="333333"/>
          <w:szCs w:val="24"/>
          <w:highlight w:val="white"/>
        </w:rPr>
        <w:t xml:space="preserve">). R: A language and environment for statistical computing. </w:t>
      </w:r>
      <w:r w:rsidRPr="008A7E2F">
        <w:rPr>
          <w:rFonts w:cs="Times New Roman"/>
          <w:i/>
          <w:color w:val="333333"/>
          <w:szCs w:val="24"/>
          <w:highlight w:val="white"/>
        </w:rPr>
        <w:t>R Foundation for Statistical Computing</w:t>
      </w:r>
      <w:r w:rsidRPr="008A7E2F">
        <w:rPr>
          <w:rFonts w:cs="Times New Roman"/>
          <w:color w:val="333333"/>
          <w:szCs w:val="24"/>
          <w:highlight w:val="white"/>
        </w:rPr>
        <w:t xml:space="preserve">, Vienna, Austria. </w:t>
      </w:r>
      <w:hyperlink r:id="rId13">
        <w:r w:rsidRPr="008A7E2F">
          <w:rPr>
            <w:rFonts w:cs="Times New Roman"/>
            <w:color w:val="1155CC"/>
            <w:szCs w:val="24"/>
            <w:highlight w:val="white"/>
            <w:u w:val="single"/>
          </w:rPr>
          <w:t>https://www.R-project.org</w:t>
        </w:r>
      </w:hyperlink>
      <w:r w:rsidRPr="008A7E2F">
        <w:rPr>
          <w:rFonts w:cs="Times New Roman"/>
          <w:color w:val="333333"/>
          <w:szCs w:val="24"/>
          <w:highlight w:val="white"/>
        </w:rPr>
        <w:t xml:space="preserve"> </w:t>
      </w:r>
    </w:p>
    <w:p w14:paraId="4D4757F2" w14:textId="532370F2" w:rsidR="00D60CAB" w:rsidRDefault="00D60CAB" w:rsidP="008D7367">
      <w:pPr>
        <w:widowControl w:val="0"/>
        <w:spacing w:line="240" w:lineRule="auto"/>
        <w:ind w:left="720" w:hanging="720"/>
        <w:rPr>
          <w:rFonts w:cs="Times New Roman"/>
          <w:color w:val="954F72"/>
          <w:szCs w:val="24"/>
          <w:highlight w:val="white"/>
          <w:u w:val="single"/>
        </w:rPr>
      </w:pPr>
      <w:r w:rsidRPr="008A7E2F">
        <w:rPr>
          <w:rFonts w:cs="Times New Roman"/>
          <w:color w:val="333333"/>
          <w:szCs w:val="24"/>
          <w:highlight w:val="white"/>
        </w:rPr>
        <w:t xml:space="preserve">Rosseel, Y. (2012). </w:t>
      </w:r>
      <w:proofErr w:type="spellStart"/>
      <w:r w:rsidRPr="008841AC">
        <w:rPr>
          <w:rFonts w:cs="Times New Roman"/>
          <w:bCs/>
          <w:color w:val="333333"/>
          <w:szCs w:val="24"/>
          <w:highlight w:val="white"/>
        </w:rPr>
        <w:t>lavaan</w:t>
      </w:r>
      <w:proofErr w:type="spellEnd"/>
      <w:r w:rsidRPr="004440CB">
        <w:rPr>
          <w:rFonts w:cs="Times New Roman"/>
          <w:bCs/>
          <w:color w:val="333333"/>
          <w:szCs w:val="24"/>
          <w:highlight w:val="white"/>
        </w:rPr>
        <w:t>:</w:t>
      </w:r>
      <w:r w:rsidRPr="008A7E2F">
        <w:rPr>
          <w:rFonts w:cs="Times New Roman"/>
          <w:color w:val="333333"/>
          <w:szCs w:val="24"/>
          <w:highlight w:val="white"/>
        </w:rPr>
        <w:t xml:space="preserve"> An </w:t>
      </w:r>
      <w:r w:rsidRPr="008A7E2F">
        <w:rPr>
          <w:rFonts w:cs="Times New Roman"/>
          <w:i/>
          <w:color w:val="333333"/>
          <w:szCs w:val="24"/>
          <w:highlight w:val="white"/>
        </w:rPr>
        <w:t>R</w:t>
      </w:r>
      <w:r w:rsidRPr="008A7E2F">
        <w:rPr>
          <w:rFonts w:cs="Times New Roman"/>
          <w:color w:val="333333"/>
          <w:szCs w:val="24"/>
          <w:highlight w:val="white"/>
        </w:rPr>
        <w:t xml:space="preserve"> Package for Structural Equation Modeling. </w:t>
      </w:r>
      <w:r w:rsidRPr="008A7E2F">
        <w:rPr>
          <w:rFonts w:cs="Times New Roman"/>
          <w:i/>
          <w:color w:val="333333"/>
          <w:szCs w:val="24"/>
          <w:highlight w:val="white"/>
        </w:rPr>
        <w:t>Journal of Statistical Software</w:t>
      </w:r>
      <w:r w:rsidRPr="008A7E2F">
        <w:rPr>
          <w:rFonts w:cs="Times New Roman"/>
          <w:color w:val="333333"/>
          <w:szCs w:val="24"/>
          <w:highlight w:val="white"/>
        </w:rPr>
        <w:t xml:space="preserve">, </w:t>
      </w:r>
      <w:r w:rsidRPr="008A7E2F">
        <w:rPr>
          <w:rFonts w:cs="Times New Roman"/>
          <w:i/>
          <w:color w:val="333333"/>
          <w:szCs w:val="24"/>
          <w:highlight w:val="white"/>
        </w:rPr>
        <w:t>48</w:t>
      </w:r>
      <w:r w:rsidRPr="008A7E2F">
        <w:rPr>
          <w:rFonts w:cs="Times New Roman"/>
          <w:color w:val="333333"/>
          <w:szCs w:val="24"/>
          <w:highlight w:val="white"/>
        </w:rPr>
        <w:t xml:space="preserve">(2). </w:t>
      </w:r>
      <w:hyperlink r:id="rId14">
        <w:r w:rsidRPr="008A7E2F">
          <w:rPr>
            <w:rFonts w:cs="Times New Roman"/>
            <w:color w:val="954F72"/>
            <w:szCs w:val="24"/>
            <w:highlight w:val="white"/>
            <w:u w:val="single"/>
          </w:rPr>
          <w:t>https://doi.org/10.18637/jss.v048.i02</w:t>
        </w:r>
      </w:hyperlink>
    </w:p>
    <w:p w14:paraId="3C54937B" w14:textId="2E4A38D5" w:rsidR="00FF430F" w:rsidRDefault="00FF430F" w:rsidP="008D7367">
      <w:pPr>
        <w:widowControl w:val="0"/>
        <w:spacing w:line="240" w:lineRule="auto"/>
        <w:ind w:left="720" w:hanging="720"/>
        <w:rPr>
          <w:rFonts w:cs="Times New Roman"/>
          <w:color w:val="333333"/>
          <w:szCs w:val="24"/>
          <w:highlight w:val="white"/>
        </w:rPr>
      </w:pPr>
      <w:r w:rsidRPr="008A7E2F">
        <w:rPr>
          <w:rFonts w:cs="Times New Roman"/>
          <w:color w:val="333333"/>
          <w:szCs w:val="24"/>
          <w:highlight w:val="white"/>
        </w:rPr>
        <w:t xml:space="preserve">Sabourin, S., Valois, P., &amp; Lussier, Y. (2005). Development and validation of a brief version of the dyadic adjustment scale with a nonparametric item analysis model. </w:t>
      </w:r>
      <w:r w:rsidRPr="008A7E2F">
        <w:rPr>
          <w:rFonts w:cs="Times New Roman"/>
          <w:i/>
          <w:color w:val="333333"/>
          <w:szCs w:val="24"/>
          <w:highlight w:val="white"/>
        </w:rPr>
        <w:t>Psychological assessment, 17</w:t>
      </w:r>
      <w:r w:rsidRPr="008A7E2F">
        <w:rPr>
          <w:rFonts w:cs="Times New Roman"/>
          <w:color w:val="333333"/>
          <w:szCs w:val="24"/>
          <w:highlight w:val="white"/>
        </w:rPr>
        <w:t>(1), 15-27. DOI: 10.1037/1040-3590.17.1.15</w:t>
      </w:r>
    </w:p>
    <w:p w14:paraId="3C9071C8" w14:textId="0E8FC3BB" w:rsidR="009B2906" w:rsidRDefault="009B2906" w:rsidP="008D7367">
      <w:pPr>
        <w:widowControl w:val="0"/>
        <w:spacing w:line="240" w:lineRule="auto"/>
        <w:ind w:left="720" w:hanging="720"/>
        <w:rPr>
          <w:rFonts w:cs="Times New Roman"/>
          <w:color w:val="333333"/>
          <w:szCs w:val="24"/>
          <w:highlight w:val="white"/>
        </w:rPr>
      </w:pPr>
      <w:r w:rsidRPr="008A7E2F">
        <w:rPr>
          <w:rFonts w:cs="Times New Roman"/>
          <w:color w:val="333333"/>
          <w:szCs w:val="24"/>
          <w:highlight w:val="white"/>
        </w:rPr>
        <w:t xml:space="preserve">Sharpley, C. F., &amp; Rogers, H. J. (1984). Preliminary validation of the abbreviated Spanier Dyadic Adjustment Scale: Some psychometric data regarding a screening test of marital adjustment. </w:t>
      </w:r>
      <w:r w:rsidRPr="008A7E2F">
        <w:rPr>
          <w:rFonts w:cs="Times New Roman"/>
          <w:i/>
          <w:color w:val="333333"/>
          <w:szCs w:val="24"/>
          <w:highlight w:val="white"/>
        </w:rPr>
        <w:t>Educational and Psychological Measurement</w:t>
      </w:r>
      <w:r w:rsidRPr="008A7E2F">
        <w:rPr>
          <w:rFonts w:cs="Times New Roman"/>
          <w:color w:val="333333"/>
          <w:szCs w:val="24"/>
          <w:highlight w:val="white"/>
        </w:rPr>
        <w:t>, 44, 1045–1049. doi:10.1177/0013164484444029</w:t>
      </w:r>
    </w:p>
    <w:p w14:paraId="26B0F395" w14:textId="2F4586C7" w:rsidR="00716CFC" w:rsidRPr="008A7E2F" w:rsidRDefault="00716CFC" w:rsidP="008D7367">
      <w:pPr>
        <w:widowControl w:val="0"/>
        <w:spacing w:line="240" w:lineRule="auto"/>
        <w:ind w:left="720" w:hanging="720"/>
        <w:rPr>
          <w:rFonts w:cs="Times New Roman"/>
          <w:color w:val="954F72"/>
          <w:szCs w:val="24"/>
          <w:highlight w:val="white"/>
          <w:u w:val="single"/>
        </w:rPr>
      </w:pPr>
      <w:r w:rsidRPr="008A7E2F">
        <w:rPr>
          <w:rFonts w:cs="Times New Roman"/>
          <w:color w:val="333333"/>
          <w:szCs w:val="24"/>
          <w:highlight w:val="white"/>
        </w:rPr>
        <w:t xml:space="preserve">Spanier, G. B. (1976). Measuring dyadic adjustment: New scales for assessing the quality of marriage and similar dyads. </w:t>
      </w:r>
      <w:r w:rsidRPr="008A7E2F">
        <w:rPr>
          <w:rFonts w:cs="Times New Roman"/>
          <w:i/>
          <w:color w:val="333333"/>
          <w:szCs w:val="24"/>
          <w:highlight w:val="white"/>
        </w:rPr>
        <w:t>Journal of</w:t>
      </w:r>
      <w:r w:rsidR="008D7367">
        <w:rPr>
          <w:rFonts w:cs="Times New Roman"/>
          <w:i/>
          <w:color w:val="333333"/>
          <w:szCs w:val="24"/>
          <w:highlight w:val="white"/>
        </w:rPr>
        <w:t xml:space="preserve"> </w:t>
      </w:r>
      <w:r w:rsidRPr="008A7E2F">
        <w:rPr>
          <w:rFonts w:cs="Times New Roman"/>
          <w:i/>
          <w:color w:val="333333"/>
          <w:szCs w:val="24"/>
          <w:highlight w:val="white"/>
        </w:rPr>
        <w:t>Marriage and the Family</w:t>
      </w:r>
      <w:r w:rsidRPr="008A7E2F">
        <w:rPr>
          <w:rFonts w:cs="Times New Roman"/>
          <w:color w:val="333333"/>
          <w:szCs w:val="24"/>
          <w:highlight w:val="white"/>
        </w:rPr>
        <w:t xml:space="preserve">, </w:t>
      </w:r>
      <w:r w:rsidRPr="008A7E2F">
        <w:rPr>
          <w:rFonts w:cs="Times New Roman"/>
          <w:i/>
          <w:color w:val="333333"/>
          <w:szCs w:val="24"/>
          <w:highlight w:val="white"/>
        </w:rPr>
        <w:t>38</w:t>
      </w:r>
      <w:r w:rsidRPr="008A7E2F">
        <w:rPr>
          <w:rFonts w:cs="Times New Roman"/>
          <w:color w:val="333333"/>
          <w:szCs w:val="24"/>
          <w:highlight w:val="white"/>
        </w:rPr>
        <w:t xml:space="preserve">(1), 15. </w:t>
      </w:r>
      <w:hyperlink r:id="rId15">
        <w:r w:rsidRPr="008A7E2F">
          <w:rPr>
            <w:rFonts w:cs="Times New Roman"/>
            <w:color w:val="954F72"/>
            <w:szCs w:val="24"/>
            <w:highlight w:val="white"/>
            <w:u w:val="single"/>
          </w:rPr>
          <w:t>https://doi.org/10.2307/350547</w:t>
        </w:r>
      </w:hyperlink>
    </w:p>
    <w:p w14:paraId="6193F873" w14:textId="4EED4B91" w:rsidR="00674B3F" w:rsidRPr="000E3A25" w:rsidRDefault="00674B3F" w:rsidP="000E3A25">
      <w:pPr>
        <w:widowControl w:val="0"/>
        <w:spacing w:afterLines="160" w:after="384" w:line="240" w:lineRule="auto"/>
        <w:rPr>
          <w:rFonts w:cs="Times New Roman"/>
          <w:color w:val="333333"/>
          <w:szCs w:val="24"/>
          <w:highlight w:val="white"/>
        </w:rPr>
      </w:pPr>
    </w:p>
    <w:sectPr w:rsidR="00674B3F" w:rsidRPr="000E3A25" w:rsidSect="00A3060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907"/>
    <w:rsid w:val="000024BC"/>
    <w:rsid w:val="00007973"/>
    <w:rsid w:val="00025600"/>
    <w:rsid w:val="000259CB"/>
    <w:rsid w:val="00041CE1"/>
    <w:rsid w:val="000423C3"/>
    <w:rsid w:val="000530E7"/>
    <w:rsid w:val="00086A18"/>
    <w:rsid w:val="000A4636"/>
    <w:rsid w:val="000B3B0B"/>
    <w:rsid w:val="000C656C"/>
    <w:rsid w:val="000D1D30"/>
    <w:rsid w:val="000D5853"/>
    <w:rsid w:val="000E3A25"/>
    <w:rsid w:val="000F2414"/>
    <w:rsid w:val="000F7BA2"/>
    <w:rsid w:val="00103772"/>
    <w:rsid w:val="001163CE"/>
    <w:rsid w:val="001264E3"/>
    <w:rsid w:val="00144305"/>
    <w:rsid w:val="00151984"/>
    <w:rsid w:val="00154D9E"/>
    <w:rsid w:val="00156038"/>
    <w:rsid w:val="001710E4"/>
    <w:rsid w:val="00176C23"/>
    <w:rsid w:val="001A5CA9"/>
    <w:rsid w:val="001B3990"/>
    <w:rsid w:val="001B79BF"/>
    <w:rsid w:val="001C0BA2"/>
    <w:rsid w:val="001F241A"/>
    <w:rsid w:val="001F5D44"/>
    <w:rsid w:val="001F5EE0"/>
    <w:rsid w:val="002015C4"/>
    <w:rsid w:val="00220795"/>
    <w:rsid w:val="00221C22"/>
    <w:rsid w:val="00251451"/>
    <w:rsid w:val="00253ABB"/>
    <w:rsid w:val="0025613B"/>
    <w:rsid w:val="00281334"/>
    <w:rsid w:val="00281D4D"/>
    <w:rsid w:val="00283754"/>
    <w:rsid w:val="00287B86"/>
    <w:rsid w:val="0029012A"/>
    <w:rsid w:val="00295BD2"/>
    <w:rsid w:val="002A562A"/>
    <w:rsid w:val="002B2716"/>
    <w:rsid w:val="002C76BB"/>
    <w:rsid w:val="002D5CC7"/>
    <w:rsid w:val="00300477"/>
    <w:rsid w:val="0030550B"/>
    <w:rsid w:val="0031217A"/>
    <w:rsid w:val="00327031"/>
    <w:rsid w:val="00336C69"/>
    <w:rsid w:val="00337974"/>
    <w:rsid w:val="003701B6"/>
    <w:rsid w:val="003710D3"/>
    <w:rsid w:val="003A2CC6"/>
    <w:rsid w:val="003A7CCA"/>
    <w:rsid w:val="003B2706"/>
    <w:rsid w:val="003B5DBA"/>
    <w:rsid w:val="003D0CA6"/>
    <w:rsid w:val="003D26EA"/>
    <w:rsid w:val="003D4126"/>
    <w:rsid w:val="003E138D"/>
    <w:rsid w:val="003E2464"/>
    <w:rsid w:val="003E25A6"/>
    <w:rsid w:val="003E5ADB"/>
    <w:rsid w:val="003F2A5B"/>
    <w:rsid w:val="0040471B"/>
    <w:rsid w:val="0041454B"/>
    <w:rsid w:val="004306B4"/>
    <w:rsid w:val="0044437C"/>
    <w:rsid w:val="00451E72"/>
    <w:rsid w:val="00464564"/>
    <w:rsid w:val="00470EAE"/>
    <w:rsid w:val="00484AFD"/>
    <w:rsid w:val="004851F1"/>
    <w:rsid w:val="00486631"/>
    <w:rsid w:val="0049160B"/>
    <w:rsid w:val="004920C9"/>
    <w:rsid w:val="00494878"/>
    <w:rsid w:val="004A0450"/>
    <w:rsid w:val="004B147C"/>
    <w:rsid w:val="004B7D5A"/>
    <w:rsid w:val="004C0570"/>
    <w:rsid w:val="004C1A10"/>
    <w:rsid w:val="004E00F5"/>
    <w:rsid w:val="004E40C8"/>
    <w:rsid w:val="004F397D"/>
    <w:rsid w:val="004F623B"/>
    <w:rsid w:val="00506ADA"/>
    <w:rsid w:val="00513078"/>
    <w:rsid w:val="00514434"/>
    <w:rsid w:val="00535ACB"/>
    <w:rsid w:val="0054727F"/>
    <w:rsid w:val="00560618"/>
    <w:rsid w:val="00565023"/>
    <w:rsid w:val="00566441"/>
    <w:rsid w:val="00567182"/>
    <w:rsid w:val="00575F8D"/>
    <w:rsid w:val="0059270E"/>
    <w:rsid w:val="005B3E55"/>
    <w:rsid w:val="005C03EB"/>
    <w:rsid w:val="005C3C37"/>
    <w:rsid w:val="005C43A5"/>
    <w:rsid w:val="005C7CCC"/>
    <w:rsid w:val="005D2ACC"/>
    <w:rsid w:val="006142BE"/>
    <w:rsid w:val="00616B1D"/>
    <w:rsid w:val="0062786D"/>
    <w:rsid w:val="00647063"/>
    <w:rsid w:val="00666663"/>
    <w:rsid w:val="00674B3F"/>
    <w:rsid w:val="00682A11"/>
    <w:rsid w:val="00684C3D"/>
    <w:rsid w:val="00685004"/>
    <w:rsid w:val="0069379F"/>
    <w:rsid w:val="006A19C3"/>
    <w:rsid w:val="006A4833"/>
    <w:rsid w:val="006B0C0F"/>
    <w:rsid w:val="006C3BE8"/>
    <w:rsid w:val="006D18E3"/>
    <w:rsid w:val="006D1BDE"/>
    <w:rsid w:val="006D5C75"/>
    <w:rsid w:val="007029C0"/>
    <w:rsid w:val="00716CFC"/>
    <w:rsid w:val="007205DC"/>
    <w:rsid w:val="00720699"/>
    <w:rsid w:val="00733EF6"/>
    <w:rsid w:val="007361C1"/>
    <w:rsid w:val="00762556"/>
    <w:rsid w:val="00766467"/>
    <w:rsid w:val="00770CCC"/>
    <w:rsid w:val="00770CEC"/>
    <w:rsid w:val="00773620"/>
    <w:rsid w:val="00782E8F"/>
    <w:rsid w:val="00785DAE"/>
    <w:rsid w:val="00786907"/>
    <w:rsid w:val="007A27B3"/>
    <w:rsid w:val="007D1538"/>
    <w:rsid w:val="007D6D4B"/>
    <w:rsid w:val="007E0AA4"/>
    <w:rsid w:val="007F6AF9"/>
    <w:rsid w:val="007F6DBE"/>
    <w:rsid w:val="00807C2A"/>
    <w:rsid w:val="008145DD"/>
    <w:rsid w:val="00817312"/>
    <w:rsid w:val="00821EC7"/>
    <w:rsid w:val="00822263"/>
    <w:rsid w:val="008413BD"/>
    <w:rsid w:val="00864687"/>
    <w:rsid w:val="00865CBC"/>
    <w:rsid w:val="00883013"/>
    <w:rsid w:val="008A4C21"/>
    <w:rsid w:val="008A541A"/>
    <w:rsid w:val="008D7367"/>
    <w:rsid w:val="008D7EF0"/>
    <w:rsid w:val="008E03DA"/>
    <w:rsid w:val="008E687A"/>
    <w:rsid w:val="00901E37"/>
    <w:rsid w:val="00915857"/>
    <w:rsid w:val="009270FA"/>
    <w:rsid w:val="00942082"/>
    <w:rsid w:val="00947008"/>
    <w:rsid w:val="00950003"/>
    <w:rsid w:val="00953906"/>
    <w:rsid w:val="00971139"/>
    <w:rsid w:val="00993FE4"/>
    <w:rsid w:val="00994544"/>
    <w:rsid w:val="009A1E56"/>
    <w:rsid w:val="009B2906"/>
    <w:rsid w:val="009B5593"/>
    <w:rsid w:val="009D3E10"/>
    <w:rsid w:val="00A06BA8"/>
    <w:rsid w:val="00A171D6"/>
    <w:rsid w:val="00A25985"/>
    <w:rsid w:val="00A3060D"/>
    <w:rsid w:val="00A365DA"/>
    <w:rsid w:val="00A858FA"/>
    <w:rsid w:val="00A87A09"/>
    <w:rsid w:val="00A94E15"/>
    <w:rsid w:val="00A97A1A"/>
    <w:rsid w:val="00AB0063"/>
    <w:rsid w:val="00AB03C1"/>
    <w:rsid w:val="00AB1D4F"/>
    <w:rsid w:val="00AB223D"/>
    <w:rsid w:val="00AD7414"/>
    <w:rsid w:val="00AE0532"/>
    <w:rsid w:val="00AE140D"/>
    <w:rsid w:val="00AE5BAA"/>
    <w:rsid w:val="00B552EF"/>
    <w:rsid w:val="00B56141"/>
    <w:rsid w:val="00B6276E"/>
    <w:rsid w:val="00B911DF"/>
    <w:rsid w:val="00B93A38"/>
    <w:rsid w:val="00B94FA9"/>
    <w:rsid w:val="00B95F1E"/>
    <w:rsid w:val="00BB05F3"/>
    <w:rsid w:val="00BC1DC1"/>
    <w:rsid w:val="00BC4EB7"/>
    <w:rsid w:val="00BC688A"/>
    <w:rsid w:val="00BD692E"/>
    <w:rsid w:val="00C07A3E"/>
    <w:rsid w:val="00C17BE3"/>
    <w:rsid w:val="00C2520E"/>
    <w:rsid w:val="00C3226B"/>
    <w:rsid w:val="00C32FA9"/>
    <w:rsid w:val="00C356D9"/>
    <w:rsid w:val="00C43228"/>
    <w:rsid w:val="00C56B27"/>
    <w:rsid w:val="00C7282C"/>
    <w:rsid w:val="00C9566F"/>
    <w:rsid w:val="00CA0A1E"/>
    <w:rsid w:val="00CA28B3"/>
    <w:rsid w:val="00CB6E30"/>
    <w:rsid w:val="00CC1B29"/>
    <w:rsid w:val="00CC1FE9"/>
    <w:rsid w:val="00CC34EF"/>
    <w:rsid w:val="00CD316A"/>
    <w:rsid w:val="00CD6723"/>
    <w:rsid w:val="00CE4465"/>
    <w:rsid w:val="00CF7E4F"/>
    <w:rsid w:val="00D03C6D"/>
    <w:rsid w:val="00D12918"/>
    <w:rsid w:val="00D226D1"/>
    <w:rsid w:val="00D274D2"/>
    <w:rsid w:val="00D349D9"/>
    <w:rsid w:val="00D35105"/>
    <w:rsid w:val="00D3758D"/>
    <w:rsid w:val="00D51A37"/>
    <w:rsid w:val="00D60CAB"/>
    <w:rsid w:val="00D73B0E"/>
    <w:rsid w:val="00D95C71"/>
    <w:rsid w:val="00DA4424"/>
    <w:rsid w:val="00DB5510"/>
    <w:rsid w:val="00DB5F79"/>
    <w:rsid w:val="00DB6BF2"/>
    <w:rsid w:val="00DC253C"/>
    <w:rsid w:val="00DC29BD"/>
    <w:rsid w:val="00DD0855"/>
    <w:rsid w:val="00DD5776"/>
    <w:rsid w:val="00E16B7C"/>
    <w:rsid w:val="00E205F2"/>
    <w:rsid w:val="00E33943"/>
    <w:rsid w:val="00E4112F"/>
    <w:rsid w:val="00E41F37"/>
    <w:rsid w:val="00E841A1"/>
    <w:rsid w:val="00E8668D"/>
    <w:rsid w:val="00E90E10"/>
    <w:rsid w:val="00E90EEB"/>
    <w:rsid w:val="00E937F7"/>
    <w:rsid w:val="00EA41FB"/>
    <w:rsid w:val="00EA6301"/>
    <w:rsid w:val="00EB3723"/>
    <w:rsid w:val="00EB7675"/>
    <w:rsid w:val="00EC54A8"/>
    <w:rsid w:val="00ED3A02"/>
    <w:rsid w:val="00ED4EF7"/>
    <w:rsid w:val="00EE226D"/>
    <w:rsid w:val="00EE6A4E"/>
    <w:rsid w:val="00EF2343"/>
    <w:rsid w:val="00EF729F"/>
    <w:rsid w:val="00F069AF"/>
    <w:rsid w:val="00F33B52"/>
    <w:rsid w:val="00F429A6"/>
    <w:rsid w:val="00F458AB"/>
    <w:rsid w:val="00F47D2B"/>
    <w:rsid w:val="00F53534"/>
    <w:rsid w:val="00F572F1"/>
    <w:rsid w:val="00F653E2"/>
    <w:rsid w:val="00F771E7"/>
    <w:rsid w:val="00F963A2"/>
    <w:rsid w:val="00F9691D"/>
    <w:rsid w:val="00F97CD1"/>
    <w:rsid w:val="00FC43FB"/>
    <w:rsid w:val="00FC6054"/>
    <w:rsid w:val="00FC7F4F"/>
    <w:rsid w:val="00FD66AA"/>
    <w:rsid w:val="00FE14E4"/>
    <w:rsid w:val="00FF430F"/>
    <w:rsid w:val="00FF6B67"/>
    <w:rsid w:val="00FF7B1D"/>
    <w:rsid w:val="00FF7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09C0C7"/>
  <w15:chartTrackingRefBased/>
  <w15:docId w15:val="{1D424A1D-E963-44E5-BF1C-A0B9B45C9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6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6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6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6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6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69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9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9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9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6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6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6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6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6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907"/>
    <w:rPr>
      <w:rFonts w:eastAsiaTheme="majorEastAsia" w:cstheme="majorBidi"/>
      <w:color w:val="272727" w:themeColor="text1" w:themeTint="D8"/>
    </w:rPr>
  </w:style>
  <w:style w:type="paragraph" w:styleId="Title">
    <w:name w:val="Title"/>
    <w:basedOn w:val="Normal"/>
    <w:next w:val="Normal"/>
    <w:link w:val="TitleChar"/>
    <w:uiPriority w:val="10"/>
    <w:qFormat/>
    <w:rsid w:val="00786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907"/>
    <w:pPr>
      <w:spacing w:before="160"/>
      <w:jc w:val="center"/>
    </w:pPr>
    <w:rPr>
      <w:i/>
      <w:iCs/>
      <w:color w:val="404040" w:themeColor="text1" w:themeTint="BF"/>
    </w:rPr>
  </w:style>
  <w:style w:type="character" w:customStyle="1" w:styleId="QuoteChar">
    <w:name w:val="Quote Char"/>
    <w:basedOn w:val="DefaultParagraphFont"/>
    <w:link w:val="Quote"/>
    <w:uiPriority w:val="29"/>
    <w:rsid w:val="00786907"/>
    <w:rPr>
      <w:i/>
      <w:iCs/>
      <w:color w:val="404040" w:themeColor="text1" w:themeTint="BF"/>
    </w:rPr>
  </w:style>
  <w:style w:type="paragraph" w:styleId="ListParagraph">
    <w:name w:val="List Paragraph"/>
    <w:basedOn w:val="Normal"/>
    <w:uiPriority w:val="34"/>
    <w:qFormat/>
    <w:rsid w:val="00786907"/>
    <w:pPr>
      <w:ind w:left="720"/>
      <w:contextualSpacing/>
    </w:pPr>
  </w:style>
  <w:style w:type="character" w:styleId="IntenseEmphasis">
    <w:name w:val="Intense Emphasis"/>
    <w:basedOn w:val="DefaultParagraphFont"/>
    <w:uiPriority w:val="21"/>
    <w:qFormat/>
    <w:rsid w:val="00786907"/>
    <w:rPr>
      <w:i/>
      <w:iCs/>
      <w:color w:val="0F4761" w:themeColor="accent1" w:themeShade="BF"/>
    </w:rPr>
  </w:style>
  <w:style w:type="paragraph" w:styleId="IntenseQuote">
    <w:name w:val="Intense Quote"/>
    <w:basedOn w:val="Normal"/>
    <w:next w:val="Normal"/>
    <w:link w:val="IntenseQuoteChar"/>
    <w:uiPriority w:val="30"/>
    <w:qFormat/>
    <w:rsid w:val="00786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6907"/>
    <w:rPr>
      <w:i/>
      <w:iCs/>
      <w:color w:val="0F4761" w:themeColor="accent1" w:themeShade="BF"/>
    </w:rPr>
  </w:style>
  <w:style w:type="character" w:styleId="IntenseReference">
    <w:name w:val="Intense Reference"/>
    <w:basedOn w:val="DefaultParagraphFont"/>
    <w:uiPriority w:val="32"/>
    <w:qFormat/>
    <w:rsid w:val="00786907"/>
    <w:rPr>
      <w:b/>
      <w:bCs/>
      <w:smallCaps/>
      <w:color w:val="0F4761" w:themeColor="accent1" w:themeShade="BF"/>
      <w:spacing w:val="5"/>
    </w:rPr>
  </w:style>
  <w:style w:type="character" w:styleId="Hyperlink">
    <w:name w:val="Hyperlink"/>
    <w:basedOn w:val="DefaultParagraphFont"/>
    <w:uiPriority w:val="99"/>
    <w:unhideWhenUsed/>
    <w:rsid w:val="00C356D9"/>
    <w:rPr>
      <w:color w:val="467886" w:themeColor="hyperlink"/>
      <w:u w:val="single"/>
    </w:rPr>
  </w:style>
  <w:style w:type="character" w:styleId="UnresolvedMention">
    <w:name w:val="Unresolved Mention"/>
    <w:basedOn w:val="DefaultParagraphFont"/>
    <w:uiPriority w:val="99"/>
    <w:semiHidden/>
    <w:unhideWhenUsed/>
    <w:rsid w:val="00C356D9"/>
    <w:rPr>
      <w:color w:val="605E5C"/>
      <w:shd w:val="clear" w:color="auto" w:fill="E1DFDD"/>
    </w:rPr>
  </w:style>
  <w:style w:type="character" w:styleId="FollowedHyperlink">
    <w:name w:val="FollowedHyperlink"/>
    <w:basedOn w:val="DefaultParagraphFont"/>
    <w:uiPriority w:val="99"/>
    <w:semiHidden/>
    <w:unhideWhenUsed/>
    <w:rsid w:val="0046456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715683">
      <w:bodyDiv w:val="1"/>
      <w:marLeft w:val="0"/>
      <w:marRight w:val="0"/>
      <w:marTop w:val="0"/>
      <w:marBottom w:val="0"/>
      <w:divBdr>
        <w:top w:val="none" w:sz="0" w:space="0" w:color="auto"/>
        <w:left w:val="none" w:sz="0" w:space="0" w:color="auto"/>
        <w:bottom w:val="none" w:sz="0" w:space="0" w:color="auto"/>
        <w:right w:val="none" w:sz="0" w:space="0" w:color="auto"/>
      </w:divBdr>
    </w:div>
    <w:div w:id="1367410538">
      <w:bodyDiv w:val="1"/>
      <w:marLeft w:val="0"/>
      <w:marRight w:val="0"/>
      <w:marTop w:val="0"/>
      <w:marBottom w:val="0"/>
      <w:divBdr>
        <w:top w:val="none" w:sz="0" w:space="0" w:color="auto"/>
        <w:left w:val="none" w:sz="0" w:space="0" w:color="auto"/>
        <w:bottom w:val="none" w:sz="0" w:space="0" w:color="auto"/>
        <w:right w:val="none" w:sz="0" w:space="0" w:color="auto"/>
      </w:divBdr>
    </w:div>
    <w:div w:id="1532300313">
      <w:bodyDiv w:val="1"/>
      <w:marLeft w:val="0"/>
      <w:marRight w:val="0"/>
      <w:marTop w:val="0"/>
      <w:marBottom w:val="0"/>
      <w:divBdr>
        <w:top w:val="none" w:sz="0" w:space="0" w:color="auto"/>
        <w:left w:val="none" w:sz="0" w:space="0" w:color="auto"/>
        <w:bottom w:val="none" w:sz="0" w:space="0" w:color="auto"/>
        <w:right w:val="none" w:sz="0" w:space="0" w:color="auto"/>
      </w:divBdr>
    </w:div>
    <w:div w:id="1748265583">
      <w:bodyDiv w:val="1"/>
      <w:marLeft w:val="0"/>
      <w:marRight w:val="0"/>
      <w:marTop w:val="0"/>
      <w:marBottom w:val="0"/>
      <w:divBdr>
        <w:top w:val="none" w:sz="0" w:space="0" w:color="auto"/>
        <w:left w:val="none" w:sz="0" w:space="0" w:color="auto"/>
        <w:bottom w:val="none" w:sz="0" w:space="0" w:color="auto"/>
        <w:right w:val="none" w:sz="0" w:space="0" w:color="auto"/>
      </w:divBdr>
    </w:div>
    <w:div w:id="195582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r-project.org/"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s://doi.org/10.3758/s13428-020-01398-0"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osf.io/bsdak/files/osfstorage" TargetMode="External"/><Relationship Id="rId11" Type="http://schemas.openxmlformats.org/officeDocument/2006/relationships/hyperlink" Target="https://doi.org/10.31234/osf.io/h3er7" TargetMode="External"/><Relationship Id="rId5" Type="http://schemas.openxmlformats.org/officeDocument/2006/relationships/hyperlink" Target="https://osf.io/bsdak/files/osfstorage" TargetMode="External"/><Relationship Id="rId15" Type="http://schemas.openxmlformats.org/officeDocument/2006/relationships/hyperlink" Target="https://doi.org/10.2307/350547" TargetMode="External"/><Relationship Id="rId10" Type="http://schemas.openxmlformats.org/officeDocument/2006/relationships/hyperlink" Target="https://doi.org/10.1177/0013164413519798" TargetMode="External"/><Relationship Id="rId4" Type="http://schemas.openxmlformats.org/officeDocument/2006/relationships/hyperlink" Target="https://osf.io/bsdak/files/osfstorage" TargetMode="External"/><Relationship Id="rId9" Type="http://schemas.openxmlformats.org/officeDocument/2006/relationships/hyperlink" Target="https://doi.org/10.1080/10705511.2016.1169188" TargetMode="External"/><Relationship Id="rId14" Type="http://schemas.openxmlformats.org/officeDocument/2006/relationships/hyperlink" Target="https://doi.org/10.18637/jss.v048.i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1592</TotalTime>
  <Pages>14</Pages>
  <Words>3677</Words>
  <Characters>20962</Characters>
  <Application>Microsoft Office Word</Application>
  <DocSecurity>0</DocSecurity>
  <Lines>174</Lines>
  <Paragraphs>49</Paragraphs>
  <ScaleCrop>false</ScaleCrop>
  <Company/>
  <LinksUpToDate>false</LinksUpToDate>
  <CharactersWithSpaces>24590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Leon</dc:creator>
  <cp:keywords/>
  <dc:description/>
  <cp:lastModifiedBy>Gabriel Leon</cp:lastModifiedBy>
  <cp:revision>274</cp:revision>
  <dcterms:created xsi:type="dcterms:W3CDTF">2024-08-02T22:39:00Z</dcterms:created>
  <dcterms:modified xsi:type="dcterms:W3CDTF">2025-01-16T17:06:00Z</dcterms:modified>
</cp:coreProperties>
</file>