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36B52" w14:textId="41DADFF6" w:rsidR="00952109" w:rsidRPr="001401D1" w:rsidRDefault="00952109" w:rsidP="0052361A">
      <w:pPr>
        <w:jc w:val="center"/>
        <w:rPr>
          <w:b/>
          <w:bCs/>
        </w:rPr>
      </w:pPr>
      <w:bookmarkStart w:id="0" w:name="OLE_LINK127"/>
      <w:bookmarkStart w:id="1" w:name="OLE_LINK128"/>
      <w:r w:rsidRPr="001401D1">
        <w:rPr>
          <w:b/>
          <w:bCs/>
        </w:rPr>
        <w:t>Assessing General Versus Specific Liability for Externalizing Problems in Adolescence:</w:t>
      </w:r>
    </w:p>
    <w:p w14:paraId="1788F751" w14:textId="2470E007" w:rsidR="00952109" w:rsidRPr="001401D1" w:rsidRDefault="00952109" w:rsidP="0052361A">
      <w:pPr>
        <w:jc w:val="center"/>
        <w:rPr>
          <w:b/>
          <w:bCs/>
        </w:rPr>
      </w:pPr>
      <w:r w:rsidRPr="001401D1">
        <w:rPr>
          <w:b/>
          <w:bCs/>
        </w:rPr>
        <w:t xml:space="preserve">Concurrent and Prospective Prediction of </w:t>
      </w:r>
      <w:r w:rsidR="001E5418" w:rsidRPr="001401D1">
        <w:rPr>
          <w:b/>
          <w:bCs/>
        </w:rPr>
        <w:t xml:space="preserve">Symptoms of </w:t>
      </w:r>
      <w:r w:rsidRPr="001401D1">
        <w:rPr>
          <w:b/>
          <w:bCs/>
        </w:rPr>
        <w:t xml:space="preserve">Conduct Disorder, ADHD, and </w:t>
      </w:r>
      <w:r w:rsidR="004C77A2" w:rsidRPr="001401D1">
        <w:rPr>
          <w:b/>
          <w:bCs/>
        </w:rPr>
        <w:t>Substance Use</w:t>
      </w:r>
    </w:p>
    <w:bookmarkEnd w:id="0"/>
    <w:bookmarkEnd w:id="1"/>
    <w:p w14:paraId="59AD8B7D" w14:textId="41A3E821" w:rsidR="00391E8C" w:rsidRPr="001401D1" w:rsidRDefault="004555E7" w:rsidP="0052361A">
      <w:pPr>
        <w:autoSpaceDE w:val="0"/>
        <w:autoSpaceDN w:val="0"/>
        <w:adjustRightInd w:val="0"/>
        <w:jc w:val="center"/>
        <w:rPr>
          <w:b/>
          <w:iCs/>
          <w:u w:val="single"/>
        </w:rPr>
      </w:pPr>
      <w:r w:rsidRPr="001401D1">
        <w:rPr>
          <w:b/>
          <w:iCs/>
          <w:u w:val="single"/>
        </w:rPr>
        <w:t>Supplemental Material</w:t>
      </w:r>
    </w:p>
    <w:p w14:paraId="480D0BE2" w14:textId="378DCB66" w:rsidR="001E3653" w:rsidRPr="001401D1" w:rsidRDefault="001E3653" w:rsidP="0052361A">
      <w:pPr>
        <w:autoSpaceDE w:val="0"/>
        <w:autoSpaceDN w:val="0"/>
        <w:adjustRightInd w:val="0"/>
        <w:jc w:val="center"/>
        <w:rPr>
          <w:b/>
          <w:iCs/>
          <w:u w:val="single"/>
        </w:rPr>
      </w:pPr>
    </w:p>
    <w:p w14:paraId="7FBBE5A5" w14:textId="64B7D883" w:rsidR="00A92679" w:rsidRPr="001401D1" w:rsidRDefault="00A92679" w:rsidP="0052361A">
      <w:pPr>
        <w:rPr>
          <w:rFonts w:eastAsia="Calibri"/>
          <w:iCs/>
        </w:rPr>
      </w:pPr>
      <w:r w:rsidRPr="001401D1">
        <w:rPr>
          <w:b/>
        </w:rPr>
        <w:t xml:space="preserve">Supplemental </w:t>
      </w:r>
      <w:r w:rsidR="005361EF" w:rsidRPr="001401D1">
        <w:rPr>
          <w:b/>
        </w:rPr>
        <w:t>Method</w:t>
      </w:r>
      <w:r w:rsidR="00521F45" w:rsidRPr="001401D1">
        <w:rPr>
          <w:b/>
        </w:rPr>
        <w:t xml:space="preserve"> A</w:t>
      </w:r>
      <w:r w:rsidRPr="001401D1">
        <w:rPr>
          <w:b/>
        </w:rPr>
        <w:t>:</w:t>
      </w:r>
      <w:r w:rsidRPr="001401D1">
        <w:rPr>
          <w:rFonts w:eastAsia="Calibri"/>
          <w:iCs/>
        </w:rPr>
        <w:t xml:space="preserve"> </w:t>
      </w:r>
      <w:bookmarkStart w:id="2" w:name="OLE_LINK147"/>
      <w:bookmarkStart w:id="3" w:name="OLE_LINK148"/>
      <w:r w:rsidR="00BE3932" w:rsidRPr="001401D1">
        <w:rPr>
          <w:rFonts w:eastAsia="Calibri"/>
          <w:iCs/>
        </w:rPr>
        <w:t>Questionnaire</w:t>
      </w:r>
      <w:r w:rsidR="00B24B2A" w:rsidRPr="001401D1">
        <w:rPr>
          <w:rFonts w:eastAsia="Calibri"/>
          <w:iCs/>
        </w:rPr>
        <w:t xml:space="preserve">s </w:t>
      </w:r>
      <w:r w:rsidR="00BE3932" w:rsidRPr="001401D1">
        <w:rPr>
          <w:rFonts w:eastAsia="Calibri"/>
          <w:iCs/>
        </w:rPr>
        <w:t>that Served</w:t>
      </w:r>
      <w:r w:rsidR="0069518A" w:rsidRPr="001401D1">
        <w:rPr>
          <w:rFonts w:eastAsia="Calibri"/>
          <w:iCs/>
        </w:rPr>
        <w:t xml:space="preserve"> as Sources of Candidate Items for IMAGEN-Callousness Scale</w:t>
      </w:r>
      <w:bookmarkEnd w:id="2"/>
      <w:bookmarkEnd w:id="3"/>
    </w:p>
    <w:p w14:paraId="6665F7CE" w14:textId="15FB63BD" w:rsidR="00A92679" w:rsidRPr="001401D1" w:rsidRDefault="00A92679" w:rsidP="000F0757">
      <w:pPr>
        <w:rPr>
          <w:rFonts w:eastAsia="Calibri"/>
          <w:iCs/>
        </w:rPr>
      </w:pPr>
      <w:r w:rsidRPr="001401D1">
        <w:rPr>
          <w:rFonts w:eastAsia="Calibri"/>
          <w:iCs/>
        </w:rPr>
        <w:t xml:space="preserve">   p. </w:t>
      </w:r>
      <w:r w:rsidR="00416A41" w:rsidRPr="001401D1">
        <w:rPr>
          <w:rFonts w:eastAsia="Calibri"/>
          <w:iCs/>
        </w:rPr>
        <w:t>2</w:t>
      </w:r>
    </w:p>
    <w:p w14:paraId="327B8594" w14:textId="47C054DC" w:rsidR="00521F45" w:rsidRPr="001401D1" w:rsidRDefault="00521F45" w:rsidP="000F0757">
      <w:pPr>
        <w:rPr>
          <w:rFonts w:eastAsia="Calibri"/>
          <w:iCs/>
          <w:sz w:val="16"/>
          <w:szCs w:val="16"/>
        </w:rPr>
      </w:pPr>
    </w:p>
    <w:p w14:paraId="38844A73" w14:textId="5DB091D7" w:rsidR="00521F45" w:rsidRPr="001401D1" w:rsidRDefault="00521F45" w:rsidP="000F0757">
      <w:r w:rsidRPr="001401D1">
        <w:rPr>
          <w:rFonts w:eastAsia="Calibri"/>
          <w:b/>
          <w:bCs/>
          <w:iCs/>
        </w:rPr>
        <w:t>Supplemental Method B:</w:t>
      </w:r>
      <w:r w:rsidRPr="001401D1">
        <w:rPr>
          <w:rFonts w:eastAsia="Calibri"/>
          <w:iCs/>
        </w:rPr>
        <w:t xml:space="preserve"> </w:t>
      </w:r>
      <w:bookmarkStart w:id="4" w:name="OLE_LINK129"/>
      <w:bookmarkStart w:id="5" w:name="OLE_LINK130"/>
      <w:r w:rsidRPr="001401D1">
        <w:t>Detailed Description of Procedural Steps for Developing the IMAGEN-Callousness Scale</w:t>
      </w:r>
      <w:bookmarkEnd w:id="4"/>
      <w:bookmarkEnd w:id="5"/>
    </w:p>
    <w:p w14:paraId="59D7DF03" w14:textId="5CBF8C12" w:rsidR="005F1781" w:rsidRPr="001401D1" w:rsidRDefault="005F1781" w:rsidP="000F0757">
      <w:pPr>
        <w:ind w:firstLine="180"/>
        <w:rPr>
          <w:rFonts w:eastAsia="Calibri"/>
          <w:iCs/>
        </w:rPr>
      </w:pPr>
      <w:r w:rsidRPr="001401D1">
        <w:rPr>
          <w:rFonts w:eastAsia="Calibri"/>
          <w:iCs/>
        </w:rPr>
        <w:t xml:space="preserve">p. </w:t>
      </w:r>
      <w:r w:rsidR="00416A41" w:rsidRPr="001401D1">
        <w:rPr>
          <w:rFonts w:eastAsia="Calibri"/>
          <w:iCs/>
        </w:rPr>
        <w:t>4</w:t>
      </w:r>
    </w:p>
    <w:p w14:paraId="3B6D6C93" w14:textId="6FEB1BAA" w:rsidR="004611D4" w:rsidRPr="001401D1" w:rsidRDefault="004611D4" w:rsidP="000F0757">
      <w:pPr>
        <w:ind w:firstLine="180"/>
        <w:rPr>
          <w:rFonts w:eastAsia="Calibri"/>
          <w:iCs/>
          <w:sz w:val="16"/>
          <w:szCs w:val="16"/>
        </w:rPr>
      </w:pPr>
    </w:p>
    <w:p w14:paraId="299147EA" w14:textId="62BF2EAC" w:rsidR="004611D4" w:rsidRPr="001401D1" w:rsidRDefault="004611D4" w:rsidP="004611D4">
      <w:pPr>
        <w:rPr>
          <w:rFonts w:eastAsia="Calibri"/>
          <w:iCs/>
        </w:rPr>
      </w:pPr>
      <w:r w:rsidRPr="001401D1">
        <w:rPr>
          <w:rFonts w:eastAsia="Calibri"/>
          <w:b/>
          <w:bCs/>
          <w:iCs/>
        </w:rPr>
        <w:t xml:space="preserve">Supplemental Discussion: </w:t>
      </w:r>
      <w:r w:rsidRPr="001401D1">
        <w:rPr>
          <w:rFonts w:eastAsia="Calibri"/>
          <w:iCs/>
        </w:rPr>
        <w:t>Scale Development</w:t>
      </w:r>
      <w:r w:rsidR="000707D8" w:rsidRPr="001401D1">
        <w:rPr>
          <w:rFonts w:eastAsia="Calibri"/>
          <w:iCs/>
        </w:rPr>
        <w:t>, Harmonization, and Neurobehavioral Traits:</w:t>
      </w:r>
      <w:r w:rsidRPr="001401D1">
        <w:rPr>
          <w:rFonts w:eastAsia="Calibri"/>
          <w:iCs/>
        </w:rPr>
        <w:t xml:space="preserve"> Setting the Stage for </w:t>
      </w:r>
      <w:r w:rsidR="000707D8" w:rsidRPr="001401D1">
        <w:rPr>
          <w:rFonts w:eastAsia="Calibri"/>
          <w:iCs/>
        </w:rPr>
        <w:t>Research Using Consortium Studies</w:t>
      </w:r>
    </w:p>
    <w:p w14:paraId="6C536C54" w14:textId="6788AEF2" w:rsidR="004611D4" w:rsidRPr="001401D1" w:rsidRDefault="004611D4" w:rsidP="004611D4">
      <w:pPr>
        <w:ind w:firstLine="180"/>
        <w:rPr>
          <w:rFonts w:eastAsia="Calibri"/>
          <w:iCs/>
        </w:rPr>
      </w:pPr>
      <w:r w:rsidRPr="001401D1">
        <w:rPr>
          <w:rFonts w:eastAsia="Calibri"/>
          <w:iCs/>
        </w:rPr>
        <w:t>p. 6</w:t>
      </w:r>
    </w:p>
    <w:p w14:paraId="34D88237" w14:textId="77777777" w:rsidR="003255D8" w:rsidRPr="001401D1" w:rsidRDefault="003255D8" w:rsidP="000F0757">
      <w:pPr>
        <w:rPr>
          <w:b/>
          <w:sz w:val="16"/>
          <w:szCs w:val="16"/>
        </w:rPr>
      </w:pPr>
    </w:p>
    <w:p w14:paraId="7371AE48" w14:textId="6478413C" w:rsidR="0052361A" w:rsidRPr="001401D1" w:rsidRDefault="0052361A" w:rsidP="000F0757">
      <w:pPr>
        <w:rPr>
          <w:bCs/>
        </w:rPr>
      </w:pPr>
      <w:r w:rsidRPr="001401D1">
        <w:rPr>
          <w:b/>
        </w:rPr>
        <w:t xml:space="preserve">Supplemental Method C: </w:t>
      </w:r>
      <w:r w:rsidRPr="001401D1">
        <w:rPr>
          <w:bCs/>
        </w:rPr>
        <w:t>Characterization of Trait Scores and Externalizing Symptoms</w:t>
      </w:r>
      <w:r w:rsidR="002C556E" w:rsidRPr="001401D1">
        <w:rPr>
          <w:bCs/>
        </w:rPr>
        <w:t xml:space="preserve"> in the IMAGEN Sample</w:t>
      </w:r>
    </w:p>
    <w:p w14:paraId="643502CE" w14:textId="3E1077BF" w:rsidR="0052361A" w:rsidRPr="001401D1" w:rsidRDefault="0052361A" w:rsidP="000F0757">
      <w:pPr>
        <w:tabs>
          <w:tab w:val="left" w:pos="180"/>
        </w:tabs>
        <w:rPr>
          <w:bCs/>
        </w:rPr>
      </w:pPr>
      <w:r w:rsidRPr="001401D1">
        <w:rPr>
          <w:bCs/>
        </w:rPr>
        <w:tab/>
        <w:t xml:space="preserve">p. </w:t>
      </w:r>
      <w:r w:rsidR="001E5418" w:rsidRPr="001401D1">
        <w:rPr>
          <w:bCs/>
        </w:rPr>
        <w:t>8</w:t>
      </w:r>
    </w:p>
    <w:p w14:paraId="5F896E8C" w14:textId="77777777" w:rsidR="0052361A" w:rsidRPr="001401D1" w:rsidRDefault="0052361A" w:rsidP="000F0757">
      <w:pPr>
        <w:rPr>
          <w:b/>
          <w:sz w:val="16"/>
          <w:szCs w:val="16"/>
        </w:rPr>
      </w:pPr>
    </w:p>
    <w:p w14:paraId="1476FA00" w14:textId="6B3807A0" w:rsidR="007E5B64" w:rsidRPr="001401D1" w:rsidRDefault="007E5B64" w:rsidP="000F0757">
      <w:pPr>
        <w:rPr>
          <w:bCs/>
        </w:rPr>
      </w:pPr>
      <w:r w:rsidRPr="001401D1">
        <w:rPr>
          <w:b/>
        </w:rPr>
        <w:t>Supplemental Results:</w:t>
      </w:r>
      <w:r w:rsidRPr="001401D1">
        <w:rPr>
          <w:bCs/>
        </w:rPr>
        <w:t xml:space="preserve"> Analyses of Rule-Breaking and Aggressive Subfactors of Conduct Disorder</w:t>
      </w:r>
    </w:p>
    <w:p w14:paraId="40A07B9A" w14:textId="5927E9B9" w:rsidR="007E5B64" w:rsidRPr="001401D1" w:rsidRDefault="000E097F" w:rsidP="000F0757">
      <w:pPr>
        <w:tabs>
          <w:tab w:val="left" w:pos="180"/>
        </w:tabs>
        <w:rPr>
          <w:bCs/>
        </w:rPr>
      </w:pPr>
      <w:r w:rsidRPr="001401D1">
        <w:rPr>
          <w:bCs/>
        </w:rPr>
        <w:tab/>
        <w:t xml:space="preserve">p. </w:t>
      </w:r>
      <w:r w:rsidR="001E5418" w:rsidRPr="001401D1">
        <w:rPr>
          <w:bCs/>
        </w:rPr>
        <w:t>10</w:t>
      </w:r>
    </w:p>
    <w:p w14:paraId="76CF272F" w14:textId="77777777" w:rsidR="000E097F" w:rsidRPr="001401D1" w:rsidRDefault="000E097F" w:rsidP="000F0757">
      <w:pPr>
        <w:rPr>
          <w:b/>
          <w:sz w:val="16"/>
          <w:szCs w:val="16"/>
        </w:rPr>
      </w:pPr>
    </w:p>
    <w:p w14:paraId="5ADC1033" w14:textId="35086DCE" w:rsidR="00C60ED7" w:rsidRPr="001401D1" w:rsidRDefault="00C60ED7" w:rsidP="000F0757">
      <w:pPr>
        <w:rPr>
          <w:rFonts w:eastAsia="MS Mincho"/>
          <w:iCs/>
          <w:noProof/>
          <w:kern w:val="2"/>
        </w:rPr>
      </w:pPr>
      <w:r w:rsidRPr="001401D1">
        <w:rPr>
          <w:b/>
        </w:rPr>
        <w:t>Supplemental Table</w:t>
      </w:r>
      <w:r w:rsidR="001E3653" w:rsidRPr="001401D1">
        <w:rPr>
          <w:b/>
        </w:rPr>
        <w:t xml:space="preserve"> </w:t>
      </w:r>
      <w:r w:rsidR="006E7A21" w:rsidRPr="001401D1">
        <w:rPr>
          <w:b/>
        </w:rPr>
        <w:t>A</w:t>
      </w:r>
      <w:r w:rsidRPr="001401D1">
        <w:rPr>
          <w:b/>
        </w:rPr>
        <w:t xml:space="preserve">: </w:t>
      </w:r>
      <w:r w:rsidR="00D2648E" w:rsidRPr="001401D1">
        <w:rPr>
          <w:iCs/>
        </w:rPr>
        <w:t xml:space="preserve">Items </w:t>
      </w:r>
      <w:r w:rsidR="00FA1651" w:rsidRPr="001401D1">
        <w:rPr>
          <w:iCs/>
        </w:rPr>
        <w:t xml:space="preserve">and Psychometric Properties of </w:t>
      </w:r>
      <w:r w:rsidR="004E1C56" w:rsidRPr="001401D1">
        <w:rPr>
          <w:iCs/>
        </w:rPr>
        <w:t xml:space="preserve">Final </w:t>
      </w:r>
      <w:r w:rsidR="00FA1651" w:rsidRPr="001401D1">
        <w:rPr>
          <w:iCs/>
        </w:rPr>
        <w:t>IMAGEN-Callousness Scale</w:t>
      </w:r>
    </w:p>
    <w:p w14:paraId="0A791816" w14:textId="504EAF9F" w:rsidR="00672A70" w:rsidRPr="001401D1" w:rsidRDefault="00C60ED7" w:rsidP="000F0757">
      <w:pPr>
        <w:rPr>
          <w:rFonts w:eastAsia="MS Mincho"/>
          <w:iCs/>
          <w:noProof/>
          <w:kern w:val="2"/>
        </w:rPr>
      </w:pPr>
      <w:r w:rsidRPr="001401D1">
        <w:rPr>
          <w:rFonts w:eastAsia="MS Mincho"/>
          <w:iCs/>
          <w:noProof/>
          <w:kern w:val="2"/>
        </w:rPr>
        <w:t xml:space="preserve">   p. </w:t>
      </w:r>
      <w:r w:rsidR="003D7D31" w:rsidRPr="001401D1">
        <w:rPr>
          <w:rFonts w:eastAsia="MS Mincho"/>
          <w:iCs/>
          <w:noProof/>
          <w:kern w:val="2"/>
        </w:rPr>
        <w:t>1</w:t>
      </w:r>
      <w:r w:rsidR="001E5418" w:rsidRPr="001401D1">
        <w:rPr>
          <w:rFonts w:eastAsia="MS Mincho"/>
          <w:iCs/>
          <w:noProof/>
          <w:kern w:val="2"/>
        </w:rPr>
        <w:t>3</w:t>
      </w:r>
    </w:p>
    <w:p w14:paraId="769A7E93" w14:textId="5DC19564" w:rsidR="00DD1D61" w:rsidRPr="001401D1" w:rsidRDefault="00DD1D61" w:rsidP="000F0757">
      <w:pPr>
        <w:rPr>
          <w:rFonts w:eastAsia="MS Mincho"/>
          <w:iCs/>
          <w:noProof/>
          <w:kern w:val="2"/>
          <w:sz w:val="16"/>
          <w:szCs w:val="16"/>
        </w:rPr>
      </w:pPr>
    </w:p>
    <w:p w14:paraId="274D2060" w14:textId="1F6947F0" w:rsidR="003255D8" w:rsidRPr="001401D1" w:rsidRDefault="003255D8" w:rsidP="000F0757">
      <w:pPr>
        <w:rPr>
          <w:rFonts w:eastAsia="MS Mincho"/>
          <w:iCs/>
          <w:noProof/>
          <w:kern w:val="2"/>
        </w:rPr>
      </w:pPr>
      <w:r w:rsidRPr="001401D1">
        <w:rPr>
          <w:rFonts w:eastAsia="MS Mincho"/>
          <w:b/>
          <w:bCs/>
          <w:iCs/>
          <w:noProof/>
          <w:kern w:val="2"/>
        </w:rPr>
        <w:t xml:space="preserve">Supplemental Table </w:t>
      </w:r>
      <w:r w:rsidR="006E7A21" w:rsidRPr="001401D1">
        <w:rPr>
          <w:rFonts w:eastAsia="MS Mincho"/>
          <w:b/>
          <w:bCs/>
          <w:iCs/>
          <w:noProof/>
          <w:kern w:val="2"/>
        </w:rPr>
        <w:t>B</w:t>
      </w:r>
      <w:r w:rsidRPr="001401D1">
        <w:rPr>
          <w:rFonts w:eastAsia="MS Mincho"/>
          <w:b/>
          <w:bCs/>
          <w:iCs/>
          <w:noProof/>
          <w:kern w:val="2"/>
        </w:rPr>
        <w:t>:</w:t>
      </w:r>
      <w:r w:rsidRPr="001401D1">
        <w:rPr>
          <w:rFonts w:eastAsia="MS Mincho"/>
          <w:iCs/>
          <w:noProof/>
          <w:kern w:val="2"/>
        </w:rPr>
        <w:t xml:space="preserve"> </w:t>
      </w:r>
      <w:r w:rsidR="003D1A86" w:rsidRPr="001401D1">
        <w:rPr>
          <w:rFonts w:eastAsia="MS Mincho"/>
          <w:iCs/>
          <w:noProof/>
          <w:kern w:val="2"/>
        </w:rPr>
        <w:t>Clinical Symptoms Used in Outcome Measures</w:t>
      </w:r>
    </w:p>
    <w:p w14:paraId="755CDF22" w14:textId="1F9D9FEE" w:rsidR="0040048E" w:rsidRPr="001401D1" w:rsidRDefault="0040048E" w:rsidP="000F0757">
      <w:pPr>
        <w:rPr>
          <w:rFonts w:eastAsia="MS Mincho"/>
          <w:b/>
          <w:bCs/>
          <w:iCs/>
          <w:noProof/>
          <w:kern w:val="2"/>
        </w:rPr>
      </w:pPr>
      <w:r w:rsidRPr="001401D1">
        <w:rPr>
          <w:rFonts w:eastAsia="MS Mincho"/>
          <w:b/>
          <w:bCs/>
          <w:iCs/>
          <w:noProof/>
          <w:kern w:val="2"/>
        </w:rPr>
        <w:t xml:space="preserve">   </w:t>
      </w:r>
      <w:r w:rsidRPr="001401D1">
        <w:rPr>
          <w:rFonts w:eastAsia="MS Mincho"/>
          <w:iCs/>
          <w:noProof/>
          <w:kern w:val="2"/>
        </w:rPr>
        <w:t xml:space="preserve">p. </w:t>
      </w:r>
      <w:r w:rsidR="00780B62" w:rsidRPr="001401D1">
        <w:rPr>
          <w:rFonts w:eastAsia="MS Mincho"/>
          <w:iCs/>
          <w:noProof/>
          <w:kern w:val="2"/>
        </w:rPr>
        <w:t>1</w:t>
      </w:r>
      <w:r w:rsidR="001E5418" w:rsidRPr="001401D1">
        <w:rPr>
          <w:rFonts w:eastAsia="MS Mincho"/>
          <w:iCs/>
          <w:noProof/>
          <w:kern w:val="2"/>
        </w:rPr>
        <w:t>4</w:t>
      </w:r>
    </w:p>
    <w:p w14:paraId="27F2CEE2" w14:textId="77777777" w:rsidR="003255D8" w:rsidRPr="001401D1" w:rsidRDefault="003255D8" w:rsidP="000F0757">
      <w:pPr>
        <w:rPr>
          <w:rFonts w:eastAsia="MS Mincho"/>
          <w:b/>
          <w:bCs/>
          <w:iCs/>
          <w:noProof/>
          <w:kern w:val="2"/>
          <w:sz w:val="16"/>
          <w:szCs w:val="16"/>
        </w:rPr>
      </w:pPr>
    </w:p>
    <w:p w14:paraId="668D0853" w14:textId="24F97C55" w:rsidR="001E3653" w:rsidRPr="001401D1" w:rsidRDefault="001E3653" w:rsidP="000F0757">
      <w:pPr>
        <w:rPr>
          <w:rFonts w:eastAsia="MS Mincho"/>
          <w:iCs/>
          <w:noProof/>
          <w:kern w:val="2"/>
        </w:rPr>
      </w:pPr>
      <w:r w:rsidRPr="001401D1">
        <w:rPr>
          <w:rFonts w:eastAsia="MS Mincho"/>
          <w:b/>
          <w:bCs/>
          <w:iCs/>
          <w:noProof/>
          <w:kern w:val="2"/>
        </w:rPr>
        <w:t xml:space="preserve">Supplemental Table </w:t>
      </w:r>
      <w:r w:rsidR="006E7A21" w:rsidRPr="001401D1">
        <w:rPr>
          <w:rFonts w:eastAsia="MS Mincho"/>
          <w:b/>
          <w:bCs/>
          <w:iCs/>
          <w:noProof/>
          <w:kern w:val="2"/>
        </w:rPr>
        <w:t>C</w:t>
      </w:r>
      <w:r w:rsidRPr="001401D1">
        <w:rPr>
          <w:rFonts w:eastAsia="MS Mincho"/>
          <w:b/>
          <w:bCs/>
          <w:iCs/>
          <w:noProof/>
          <w:kern w:val="2"/>
        </w:rPr>
        <w:t>:</w:t>
      </w:r>
      <w:r w:rsidRPr="001401D1">
        <w:rPr>
          <w:rFonts w:eastAsia="MS Mincho"/>
          <w:iCs/>
          <w:noProof/>
          <w:kern w:val="2"/>
        </w:rPr>
        <w:t xml:space="preserve"> </w:t>
      </w:r>
      <w:r w:rsidRPr="001401D1">
        <w:rPr>
          <w:lang w:eastAsia="it-IT"/>
        </w:rPr>
        <w:t>Zero-Order Correlations and Descriptive Statistics for All Study Variables</w:t>
      </w:r>
    </w:p>
    <w:p w14:paraId="01708EE0" w14:textId="2511F1F4" w:rsidR="001E3653" w:rsidRPr="001401D1" w:rsidRDefault="001E3653" w:rsidP="000F0757">
      <w:pPr>
        <w:rPr>
          <w:rFonts w:eastAsia="MS Mincho"/>
          <w:b/>
          <w:bCs/>
          <w:iCs/>
          <w:noProof/>
          <w:kern w:val="2"/>
        </w:rPr>
      </w:pPr>
      <w:r w:rsidRPr="001401D1">
        <w:rPr>
          <w:rFonts w:eastAsia="MS Mincho"/>
          <w:b/>
          <w:bCs/>
          <w:iCs/>
          <w:noProof/>
          <w:kern w:val="2"/>
        </w:rPr>
        <w:t xml:space="preserve">   </w:t>
      </w:r>
      <w:r w:rsidRPr="001401D1">
        <w:rPr>
          <w:rFonts w:eastAsia="MS Mincho"/>
          <w:iCs/>
          <w:noProof/>
          <w:kern w:val="2"/>
        </w:rPr>
        <w:t xml:space="preserve">p. </w:t>
      </w:r>
      <w:r w:rsidR="00A41D18" w:rsidRPr="001401D1">
        <w:rPr>
          <w:rFonts w:eastAsia="MS Mincho"/>
          <w:iCs/>
          <w:noProof/>
          <w:kern w:val="2"/>
        </w:rPr>
        <w:t>1</w:t>
      </w:r>
      <w:r w:rsidR="001E5418" w:rsidRPr="001401D1">
        <w:rPr>
          <w:rFonts w:eastAsia="MS Mincho"/>
          <w:iCs/>
          <w:noProof/>
          <w:kern w:val="2"/>
        </w:rPr>
        <w:t>5</w:t>
      </w:r>
    </w:p>
    <w:p w14:paraId="7E8BF148" w14:textId="59B4520A" w:rsidR="0031708A" w:rsidRPr="001401D1" w:rsidRDefault="0031708A" w:rsidP="000F0757">
      <w:pPr>
        <w:rPr>
          <w:rFonts w:eastAsia="MS Mincho"/>
          <w:b/>
          <w:bCs/>
          <w:iCs/>
          <w:noProof/>
          <w:kern w:val="2"/>
          <w:sz w:val="16"/>
          <w:szCs w:val="16"/>
        </w:rPr>
      </w:pPr>
    </w:p>
    <w:p w14:paraId="75BC1F46" w14:textId="1223A0EC" w:rsidR="0031708A" w:rsidRPr="001401D1" w:rsidRDefault="0031708A" w:rsidP="000F0757">
      <w:pPr>
        <w:rPr>
          <w:rFonts w:eastAsia="MS Mincho"/>
          <w:iCs/>
          <w:noProof/>
          <w:kern w:val="2"/>
        </w:rPr>
      </w:pPr>
      <w:r w:rsidRPr="001401D1">
        <w:rPr>
          <w:rFonts w:eastAsia="MS Mincho"/>
          <w:b/>
          <w:bCs/>
          <w:iCs/>
          <w:noProof/>
          <w:kern w:val="2"/>
        </w:rPr>
        <w:t xml:space="preserve">Supplemental Figure </w:t>
      </w:r>
      <w:r w:rsidR="006E7A21" w:rsidRPr="001401D1">
        <w:rPr>
          <w:rFonts w:eastAsia="MS Mincho"/>
          <w:b/>
          <w:bCs/>
          <w:iCs/>
          <w:noProof/>
          <w:kern w:val="2"/>
        </w:rPr>
        <w:t>A</w:t>
      </w:r>
      <w:r w:rsidRPr="001401D1">
        <w:rPr>
          <w:rFonts w:eastAsia="MS Mincho"/>
          <w:b/>
          <w:bCs/>
          <w:iCs/>
          <w:noProof/>
          <w:kern w:val="2"/>
        </w:rPr>
        <w:t>:</w:t>
      </w:r>
      <w:r w:rsidRPr="001401D1">
        <w:rPr>
          <w:rFonts w:eastAsia="MS Mincho"/>
          <w:iCs/>
          <w:noProof/>
          <w:kern w:val="2"/>
        </w:rPr>
        <w:t xml:space="preserve"> Participant Exclusions for the Current Analyses</w:t>
      </w:r>
    </w:p>
    <w:p w14:paraId="0832AEB3" w14:textId="784B3873" w:rsidR="00ED6790" w:rsidRPr="001401D1" w:rsidRDefault="00ED6790" w:rsidP="000F0757">
      <w:pPr>
        <w:rPr>
          <w:rFonts w:eastAsia="MS Mincho"/>
          <w:iCs/>
          <w:noProof/>
          <w:kern w:val="2"/>
        </w:rPr>
      </w:pPr>
      <w:r w:rsidRPr="001401D1">
        <w:rPr>
          <w:rFonts w:eastAsia="MS Mincho"/>
          <w:b/>
          <w:bCs/>
          <w:iCs/>
          <w:noProof/>
          <w:kern w:val="2"/>
        </w:rPr>
        <w:t xml:space="preserve">   </w:t>
      </w:r>
      <w:r w:rsidRPr="001401D1">
        <w:rPr>
          <w:rFonts w:eastAsia="MS Mincho"/>
          <w:iCs/>
          <w:noProof/>
          <w:kern w:val="2"/>
        </w:rPr>
        <w:t xml:space="preserve">p. </w:t>
      </w:r>
      <w:r w:rsidR="009726FE" w:rsidRPr="001401D1">
        <w:rPr>
          <w:rFonts w:eastAsia="MS Mincho"/>
          <w:iCs/>
          <w:noProof/>
          <w:kern w:val="2"/>
        </w:rPr>
        <w:t>1</w:t>
      </w:r>
      <w:r w:rsidR="001E5418" w:rsidRPr="001401D1">
        <w:rPr>
          <w:rFonts w:eastAsia="MS Mincho"/>
          <w:iCs/>
          <w:noProof/>
          <w:kern w:val="2"/>
        </w:rPr>
        <w:t>6</w:t>
      </w:r>
    </w:p>
    <w:p w14:paraId="6A30A5C3" w14:textId="67541283" w:rsidR="007E5B64" w:rsidRPr="001401D1" w:rsidRDefault="007E5B64" w:rsidP="000F0757">
      <w:pPr>
        <w:rPr>
          <w:rFonts w:eastAsia="MS Mincho"/>
          <w:iCs/>
          <w:noProof/>
          <w:kern w:val="2"/>
          <w:sz w:val="16"/>
          <w:szCs w:val="16"/>
        </w:rPr>
      </w:pPr>
    </w:p>
    <w:p w14:paraId="6F62AD1C" w14:textId="7BE1419E" w:rsidR="00D0655F" w:rsidRPr="001401D1" w:rsidRDefault="00D0655F" w:rsidP="000F0757">
      <w:pPr>
        <w:rPr>
          <w:rFonts w:eastAsia="MS Mincho"/>
          <w:b/>
          <w:bCs/>
          <w:iCs/>
          <w:noProof/>
          <w:kern w:val="2"/>
        </w:rPr>
      </w:pPr>
      <w:r w:rsidRPr="001401D1">
        <w:rPr>
          <w:rFonts w:eastAsia="MS Mincho"/>
          <w:b/>
          <w:bCs/>
          <w:iCs/>
          <w:noProof/>
          <w:kern w:val="2"/>
        </w:rPr>
        <w:t xml:space="preserve">Supplemental Figure B: </w:t>
      </w:r>
      <w:r w:rsidRPr="001401D1">
        <w:rPr>
          <w:rFonts w:eastAsia="MS Mincho"/>
          <w:iCs/>
          <w:noProof/>
          <w:kern w:val="2"/>
        </w:rPr>
        <w:t>Distribution of IMAGEN-Disinhibition Scores at T1 and T2</w:t>
      </w:r>
    </w:p>
    <w:p w14:paraId="2CA5EE67" w14:textId="363FAB62" w:rsidR="00D0655F" w:rsidRPr="001401D1" w:rsidRDefault="00D0655F" w:rsidP="000F0757">
      <w:pPr>
        <w:tabs>
          <w:tab w:val="left" w:pos="180"/>
        </w:tabs>
        <w:rPr>
          <w:rFonts w:eastAsia="MS Mincho"/>
          <w:iCs/>
          <w:noProof/>
          <w:kern w:val="2"/>
        </w:rPr>
      </w:pPr>
      <w:r w:rsidRPr="001401D1">
        <w:rPr>
          <w:rFonts w:eastAsia="MS Mincho"/>
          <w:iCs/>
          <w:noProof/>
          <w:kern w:val="2"/>
        </w:rPr>
        <w:tab/>
        <w:t>p. 1</w:t>
      </w:r>
      <w:r w:rsidR="001E5418" w:rsidRPr="001401D1">
        <w:rPr>
          <w:rFonts w:eastAsia="MS Mincho"/>
          <w:iCs/>
          <w:noProof/>
          <w:kern w:val="2"/>
        </w:rPr>
        <w:t>7</w:t>
      </w:r>
    </w:p>
    <w:p w14:paraId="49E4EE61" w14:textId="6E99DE05" w:rsidR="00D0655F" w:rsidRPr="001401D1" w:rsidRDefault="00D0655F" w:rsidP="000F0757">
      <w:pPr>
        <w:rPr>
          <w:rFonts w:eastAsia="MS Mincho"/>
          <w:b/>
          <w:bCs/>
          <w:iCs/>
          <w:noProof/>
          <w:kern w:val="2"/>
          <w:sz w:val="16"/>
          <w:szCs w:val="16"/>
        </w:rPr>
      </w:pPr>
    </w:p>
    <w:p w14:paraId="1FE75D67" w14:textId="0B9F39F8" w:rsidR="00D0655F" w:rsidRPr="001401D1" w:rsidRDefault="00D0655F" w:rsidP="000F0757">
      <w:pPr>
        <w:rPr>
          <w:rFonts w:eastAsia="MS Mincho"/>
          <w:b/>
          <w:bCs/>
          <w:iCs/>
          <w:noProof/>
          <w:kern w:val="2"/>
        </w:rPr>
      </w:pPr>
      <w:r w:rsidRPr="001401D1">
        <w:rPr>
          <w:rFonts w:eastAsia="MS Mincho"/>
          <w:b/>
          <w:bCs/>
          <w:iCs/>
          <w:noProof/>
          <w:kern w:val="2"/>
        </w:rPr>
        <w:t xml:space="preserve">Supplemental Figure C: </w:t>
      </w:r>
      <w:r w:rsidRPr="001401D1">
        <w:rPr>
          <w:rFonts w:eastAsia="MS Mincho"/>
          <w:iCs/>
          <w:noProof/>
          <w:kern w:val="2"/>
        </w:rPr>
        <w:t>Distribution of IMAGEN-Callousness Scores at T1 and T2</w:t>
      </w:r>
    </w:p>
    <w:p w14:paraId="5A926651" w14:textId="349A77CC" w:rsidR="00D0655F" w:rsidRPr="001401D1" w:rsidRDefault="00D0655F" w:rsidP="000F0757">
      <w:pPr>
        <w:tabs>
          <w:tab w:val="left" w:pos="180"/>
        </w:tabs>
        <w:rPr>
          <w:rFonts w:eastAsia="MS Mincho"/>
          <w:iCs/>
          <w:noProof/>
          <w:kern w:val="2"/>
        </w:rPr>
      </w:pPr>
      <w:r w:rsidRPr="001401D1">
        <w:rPr>
          <w:rFonts w:eastAsia="MS Mincho"/>
          <w:iCs/>
          <w:noProof/>
          <w:kern w:val="2"/>
        </w:rPr>
        <w:tab/>
        <w:t>p. 1</w:t>
      </w:r>
      <w:r w:rsidR="001E5418" w:rsidRPr="001401D1">
        <w:rPr>
          <w:rFonts w:eastAsia="MS Mincho"/>
          <w:iCs/>
          <w:noProof/>
          <w:kern w:val="2"/>
        </w:rPr>
        <w:t>8</w:t>
      </w:r>
    </w:p>
    <w:p w14:paraId="6BCBEB4C" w14:textId="77777777" w:rsidR="00D0655F" w:rsidRPr="001401D1" w:rsidRDefault="00D0655F" w:rsidP="000F0757">
      <w:pPr>
        <w:tabs>
          <w:tab w:val="left" w:pos="180"/>
        </w:tabs>
        <w:rPr>
          <w:rFonts w:eastAsia="MS Mincho"/>
          <w:b/>
          <w:bCs/>
          <w:iCs/>
          <w:noProof/>
          <w:kern w:val="2"/>
          <w:sz w:val="16"/>
          <w:szCs w:val="16"/>
        </w:rPr>
      </w:pPr>
    </w:p>
    <w:p w14:paraId="1F572247" w14:textId="19D2DDEF" w:rsidR="007E5B64" w:rsidRPr="001401D1" w:rsidRDefault="007E5B64" w:rsidP="000F0757">
      <w:pPr>
        <w:rPr>
          <w:rFonts w:eastAsia="MS Mincho"/>
          <w:b/>
          <w:bCs/>
          <w:iCs/>
          <w:noProof/>
          <w:kern w:val="2"/>
        </w:rPr>
      </w:pPr>
      <w:r w:rsidRPr="001401D1">
        <w:rPr>
          <w:rFonts w:eastAsia="MS Mincho"/>
          <w:b/>
          <w:bCs/>
          <w:iCs/>
          <w:noProof/>
          <w:kern w:val="2"/>
        </w:rPr>
        <w:t xml:space="preserve">Supplemental Figure </w:t>
      </w:r>
      <w:r w:rsidR="00D0655F" w:rsidRPr="001401D1">
        <w:rPr>
          <w:rFonts w:eastAsia="MS Mincho"/>
          <w:b/>
          <w:bCs/>
          <w:iCs/>
          <w:noProof/>
          <w:kern w:val="2"/>
        </w:rPr>
        <w:t>D</w:t>
      </w:r>
      <w:r w:rsidRPr="001401D1">
        <w:rPr>
          <w:rFonts w:eastAsia="MS Mincho"/>
          <w:b/>
          <w:bCs/>
          <w:iCs/>
          <w:noProof/>
          <w:kern w:val="2"/>
        </w:rPr>
        <w:t>:</w:t>
      </w:r>
      <w:r w:rsidR="00602A26" w:rsidRPr="001401D1">
        <w:rPr>
          <w:rFonts w:eastAsia="MS Mincho"/>
          <w:iCs/>
          <w:noProof/>
          <w:kern w:val="2"/>
        </w:rPr>
        <w:t xml:space="preserve"> </w:t>
      </w:r>
      <w:r w:rsidR="00602A26" w:rsidRPr="001401D1">
        <w:rPr>
          <w:noProof/>
        </w:rPr>
        <w:t>Incidence Rate Ratios for Disinhibition and Callousness as Predictors of Rule-Breaking Symptoms of Conduct Disorder in Negative Binomial Regression Models</w:t>
      </w:r>
    </w:p>
    <w:p w14:paraId="36B4C229" w14:textId="0C7FC401" w:rsidR="000E097F" w:rsidRPr="001401D1" w:rsidRDefault="000E097F" w:rsidP="000F0757">
      <w:pPr>
        <w:tabs>
          <w:tab w:val="left" w:pos="180"/>
        </w:tabs>
        <w:rPr>
          <w:bCs/>
        </w:rPr>
      </w:pPr>
      <w:r w:rsidRPr="001401D1">
        <w:rPr>
          <w:bCs/>
        </w:rPr>
        <w:tab/>
        <w:t xml:space="preserve">p. </w:t>
      </w:r>
      <w:r w:rsidR="009726FE" w:rsidRPr="001401D1">
        <w:rPr>
          <w:bCs/>
        </w:rPr>
        <w:t>1</w:t>
      </w:r>
      <w:r w:rsidR="001E5418" w:rsidRPr="001401D1">
        <w:rPr>
          <w:bCs/>
        </w:rPr>
        <w:t>9</w:t>
      </w:r>
    </w:p>
    <w:p w14:paraId="068020E8" w14:textId="162F8BFC" w:rsidR="001E3653" w:rsidRPr="001401D1" w:rsidRDefault="001E3653" w:rsidP="000F0757">
      <w:pPr>
        <w:rPr>
          <w:rFonts w:eastAsia="MS Mincho"/>
          <w:b/>
          <w:bCs/>
          <w:iCs/>
          <w:noProof/>
          <w:kern w:val="2"/>
          <w:sz w:val="16"/>
          <w:szCs w:val="16"/>
        </w:rPr>
      </w:pPr>
    </w:p>
    <w:p w14:paraId="3786AD3E" w14:textId="273BEFB7" w:rsidR="00602A26" w:rsidRPr="001401D1" w:rsidRDefault="00602A26" w:rsidP="000F0757">
      <w:pPr>
        <w:rPr>
          <w:rFonts w:eastAsia="MS Mincho"/>
          <w:b/>
          <w:bCs/>
          <w:iCs/>
          <w:noProof/>
          <w:kern w:val="2"/>
        </w:rPr>
      </w:pPr>
      <w:r w:rsidRPr="001401D1">
        <w:rPr>
          <w:rFonts w:eastAsia="MS Mincho"/>
          <w:b/>
          <w:bCs/>
          <w:iCs/>
          <w:noProof/>
          <w:kern w:val="2"/>
        </w:rPr>
        <w:t xml:space="preserve">Supplemental Figure </w:t>
      </w:r>
      <w:r w:rsidR="00D0655F" w:rsidRPr="001401D1">
        <w:rPr>
          <w:rFonts w:eastAsia="MS Mincho"/>
          <w:b/>
          <w:bCs/>
          <w:iCs/>
          <w:noProof/>
          <w:kern w:val="2"/>
        </w:rPr>
        <w:t>E</w:t>
      </w:r>
      <w:r w:rsidRPr="001401D1">
        <w:rPr>
          <w:rFonts w:eastAsia="MS Mincho"/>
          <w:b/>
          <w:bCs/>
          <w:iCs/>
          <w:noProof/>
          <w:kern w:val="2"/>
        </w:rPr>
        <w:t>:</w:t>
      </w:r>
      <w:r w:rsidRPr="001401D1">
        <w:rPr>
          <w:rFonts w:eastAsia="MS Mincho"/>
          <w:iCs/>
          <w:noProof/>
          <w:kern w:val="2"/>
        </w:rPr>
        <w:t xml:space="preserve"> </w:t>
      </w:r>
      <w:r w:rsidRPr="001401D1">
        <w:rPr>
          <w:noProof/>
        </w:rPr>
        <w:t>Incidence Rate Ratios for Disinhibition and Callousness as Predictors of Aggressive Symptoms of Conduct Disorder in Negative Binomial Regression Models</w:t>
      </w:r>
    </w:p>
    <w:p w14:paraId="4F896673" w14:textId="7324FDAA" w:rsidR="000E097F" w:rsidRPr="001401D1" w:rsidRDefault="000E097F" w:rsidP="000F0757">
      <w:pPr>
        <w:tabs>
          <w:tab w:val="left" w:pos="180"/>
        </w:tabs>
        <w:rPr>
          <w:bCs/>
        </w:rPr>
      </w:pPr>
      <w:r w:rsidRPr="001401D1">
        <w:rPr>
          <w:bCs/>
        </w:rPr>
        <w:tab/>
        <w:t xml:space="preserve">p. </w:t>
      </w:r>
      <w:r w:rsidR="001E5418" w:rsidRPr="001401D1">
        <w:rPr>
          <w:bCs/>
        </w:rPr>
        <w:t>20</w:t>
      </w:r>
    </w:p>
    <w:p w14:paraId="391A0D8D" w14:textId="77777777" w:rsidR="00602A26" w:rsidRPr="001401D1" w:rsidRDefault="00602A26" w:rsidP="000F0757">
      <w:pPr>
        <w:rPr>
          <w:rFonts w:eastAsia="MS Mincho"/>
          <w:b/>
          <w:bCs/>
          <w:iCs/>
          <w:noProof/>
          <w:kern w:val="2"/>
          <w:sz w:val="16"/>
          <w:szCs w:val="16"/>
        </w:rPr>
      </w:pPr>
    </w:p>
    <w:p w14:paraId="5B65779B" w14:textId="5625E2F1" w:rsidR="00DD1D61" w:rsidRPr="001401D1" w:rsidRDefault="00DD1D61" w:rsidP="000F0757">
      <w:pPr>
        <w:rPr>
          <w:rFonts w:eastAsia="MS Mincho"/>
          <w:b/>
          <w:bCs/>
          <w:iCs/>
          <w:noProof/>
          <w:kern w:val="2"/>
        </w:rPr>
      </w:pPr>
      <w:r w:rsidRPr="001401D1">
        <w:rPr>
          <w:rFonts w:eastAsia="MS Mincho"/>
          <w:b/>
          <w:bCs/>
          <w:iCs/>
          <w:noProof/>
          <w:kern w:val="2"/>
        </w:rPr>
        <w:t>References</w:t>
      </w:r>
    </w:p>
    <w:p w14:paraId="57D05328" w14:textId="293328F6" w:rsidR="00293385" w:rsidRPr="001401D1" w:rsidRDefault="00DD1D61" w:rsidP="000F0757">
      <w:pPr>
        <w:tabs>
          <w:tab w:val="left" w:pos="180"/>
        </w:tabs>
        <w:rPr>
          <w:rFonts w:eastAsia="MS Mincho"/>
          <w:iCs/>
          <w:noProof/>
          <w:kern w:val="2"/>
        </w:rPr>
      </w:pPr>
      <w:r w:rsidRPr="001401D1">
        <w:rPr>
          <w:rFonts w:eastAsia="MS Mincho"/>
          <w:iCs/>
          <w:noProof/>
          <w:kern w:val="2"/>
        </w:rPr>
        <w:tab/>
        <w:t xml:space="preserve">p. </w:t>
      </w:r>
      <w:bookmarkStart w:id="6" w:name="OLE_LINK145"/>
      <w:bookmarkStart w:id="7" w:name="OLE_LINK146"/>
      <w:r w:rsidR="001E5418" w:rsidRPr="001401D1">
        <w:rPr>
          <w:rFonts w:eastAsia="MS Mincho"/>
          <w:iCs/>
          <w:noProof/>
          <w:kern w:val="2"/>
        </w:rPr>
        <w:t>21</w:t>
      </w:r>
      <w:r w:rsidR="00293385" w:rsidRPr="001401D1">
        <w:rPr>
          <w:b/>
        </w:rPr>
        <w:br w:type="page"/>
      </w:r>
    </w:p>
    <w:p w14:paraId="24E9DEE5" w14:textId="390033CF" w:rsidR="0069518A" w:rsidRPr="001401D1" w:rsidRDefault="0069518A" w:rsidP="00B24B2A">
      <w:pPr>
        <w:spacing w:line="480" w:lineRule="auto"/>
        <w:jc w:val="center"/>
        <w:rPr>
          <w:b/>
        </w:rPr>
      </w:pPr>
      <w:r w:rsidRPr="001401D1">
        <w:rPr>
          <w:b/>
        </w:rPr>
        <w:lastRenderedPageBreak/>
        <w:t xml:space="preserve">Supplemental Method </w:t>
      </w:r>
      <w:r w:rsidR="00005B17" w:rsidRPr="001401D1">
        <w:rPr>
          <w:b/>
        </w:rPr>
        <w:t>A</w:t>
      </w:r>
      <w:r w:rsidRPr="001401D1">
        <w:rPr>
          <w:b/>
        </w:rPr>
        <w:t>:</w:t>
      </w:r>
    </w:p>
    <w:p w14:paraId="062E6DD4" w14:textId="042A603F" w:rsidR="00B24B2A" w:rsidRPr="001401D1" w:rsidRDefault="00B24B2A" w:rsidP="00B24B2A">
      <w:pPr>
        <w:spacing w:line="480" w:lineRule="auto"/>
        <w:jc w:val="center"/>
      </w:pPr>
      <w:r w:rsidRPr="001401D1">
        <w:rPr>
          <w:rFonts w:eastAsia="Calibri"/>
          <w:b/>
          <w:bCs/>
          <w:iCs/>
        </w:rPr>
        <w:t>Questionnaires that Served as Sources of Candidate Items for IMAGEN-Callousness Scale</w:t>
      </w:r>
    </w:p>
    <w:p w14:paraId="4F4A0533" w14:textId="10D84ED8" w:rsidR="00B24B2A" w:rsidRPr="001401D1" w:rsidRDefault="00B24B2A" w:rsidP="00B24B2A">
      <w:pPr>
        <w:spacing w:line="480" w:lineRule="auto"/>
        <w:ind w:firstLine="720"/>
      </w:pPr>
      <w:r w:rsidRPr="001401D1">
        <w:t xml:space="preserve">Callousness-relevant items including in existing inventories administered to IMAGEN participants were identified via consensus ratings completed during the development of the IMAGEN-Disinhibition scale </w:t>
      </w:r>
      <w:r w:rsidR="0085208E" w:rsidRPr="001401D1">
        <w:rPr>
          <w:noProof/>
        </w:rPr>
        <w:t>(Brislin et al., 2019)</w:t>
      </w:r>
      <w:r w:rsidR="0085208E" w:rsidRPr="001401D1">
        <w:t>.</w:t>
      </w:r>
      <w:r w:rsidRPr="001401D1">
        <w:t xml:space="preserve"> These items were used as the pool of candidate items from which the IMAGEN-Callousness scale was derived. To facilitate </w:t>
      </w:r>
      <w:r w:rsidR="00CB7CFC" w:rsidRPr="001401D1">
        <w:t xml:space="preserve">prospective analyses and </w:t>
      </w:r>
      <w:r w:rsidRPr="001401D1">
        <w:t xml:space="preserve">future research with this sample, only items administered at </w:t>
      </w:r>
      <w:r w:rsidR="00005B17" w:rsidRPr="001401D1">
        <w:t>both T1 and T2</w:t>
      </w:r>
      <w:r w:rsidRPr="001401D1">
        <w:t xml:space="preserve"> were considered for inclusion in the scale. Existing inventories containing items previously identified as relevant to callousness are as follows.</w:t>
      </w:r>
    </w:p>
    <w:p w14:paraId="65B65F19" w14:textId="5E2AC4C4" w:rsidR="00B24B2A" w:rsidRPr="001401D1" w:rsidRDefault="00B24B2A" w:rsidP="0085208E">
      <w:pPr>
        <w:spacing w:line="480" w:lineRule="auto"/>
      </w:pPr>
      <w:r w:rsidRPr="001401D1">
        <w:tab/>
      </w:r>
      <w:r w:rsidRPr="001401D1">
        <w:rPr>
          <w:b/>
          <w:iCs/>
        </w:rPr>
        <w:t>NEO-FFI.</w:t>
      </w:r>
      <w:r w:rsidRPr="001401D1">
        <w:rPr>
          <w:i/>
        </w:rPr>
        <w:t xml:space="preserve"> </w:t>
      </w:r>
      <w:r w:rsidRPr="001401D1">
        <w:t xml:space="preserve">The </w:t>
      </w:r>
      <w:bookmarkStart w:id="8" w:name="OLE_LINK10"/>
      <w:bookmarkStart w:id="9" w:name="OLE_LINK11"/>
      <w:r w:rsidRPr="001401D1">
        <w:t>Neuroticism-Extraversion-Openness Five-Factor Inventory</w:t>
      </w:r>
      <w:bookmarkEnd w:id="8"/>
      <w:bookmarkEnd w:id="9"/>
      <w:r w:rsidRPr="001401D1">
        <w:t xml:space="preserve"> (NEO-FFI; </w:t>
      </w:r>
      <w:r w:rsidR="0085208E" w:rsidRPr="001401D1">
        <w:rPr>
          <w:noProof/>
        </w:rPr>
        <w:t>Costa &amp; McCrae, 1992)</w:t>
      </w:r>
      <w:r w:rsidRPr="001401D1">
        <w:t xml:space="preserve"> is a 60-item questionnaire that indexes the five-factor model of personality. Participants responded using a five-point Likert scale ranging from “strongly disagree” to “strongly agree.”</w:t>
      </w:r>
      <w:r w:rsidR="00391E8C" w:rsidRPr="001401D1">
        <w:t xml:space="preserve"> For the purposes of </w:t>
      </w:r>
      <w:r w:rsidR="00952A15" w:rsidRPr="001401D1">
        <w:t xml:space="preserve">scale development, responses were re-scaled as follows: 0 (strongly disagree) remained 0, 1 remained 1, 2 became 1.5, 3 became 2, and 4 (strongly agree) became 3 (see </w:t>
      </w:r>
      <w:r w:rsidR="0085208E" w:rsidRPr="001401D1">
        <w:rPr>
          <w:noProof/>
        </w:rPr>
        <w:t>Brislin et al., 2019)</w:t>
      </w:r>
      <w:r w:rsidR="00952A15" w:rsidRPr="001401D1">
        <w:t>.</w:t>
      </w:r>
    </w:p>
    <w:p w14:paraId="5A85171B" w14:textId="3477A9C6" w:rsidR="00952A15" w:rsidRPr="001401D1" w:rsidRDefault="00B24B2A" w:rsidP="00B24B2A">
      <w:pPr>
        <w:spacing w:line="480" w:lineRule="auto"/>
      </w:pPr>
      <w:r w:rsidRPr="001401D1">
        <w:tab/>
      </w:r>
      <w:r w:rsidRPr="001401D1">
        <w:rPr>
          <w:b/>
          <w:iCs/>
        </w:rPr>
        <w:t>SDQ.</w:t>
      </w:r>
      <w:r w:rsidRPr="001401D1">
        <w:t xml:space="preserve"> The Strengths and Difficulties Questionnaire (SDQ;</w:t>
      </w:r>
      <w:r w:rsidR="0085208E" w:rsidRPr="001401D1">
        <w:t xml:space="preserve"> </w:t>
      </w:r>
      <w:r w:rsidR="0085208E" w:rsidRPr="001401D1">
        <w:rPr>
          <w:noProof/>
        </w:rPr>
        <w:t>Goodman, 2001)</w:t>
      </w:r>
      <w:r w:rsidRPr="001401D1">
        <w:t xml:space="preserve"> consists of 25 items assessing adolescent psychopathology in the domains of hyperactivity/inattention, behavior problems, peer problems, emotion dysregulation, and general psychosocial well-being. Participants responded on a three-point Likert scale ranging from “not true” to “certainly true.”</w:t>
      </w:r>
      <w:r w:rsidR="00952A15" w:rsidRPr="001401D1">
        <w:t xml:space="preserve"> Items were re-scaled following </w:t>
      </w:r>
      <w:r w:rsidR="0085208E" w:rsidRPr="001401D1">
        <w:rPr>
          <w:noProof/>
        </w:rPr>
        <w:t>Brislin et al. (2019)</w:t>
      </w:r>
      <w:r w:rsidR="00952A15" w:rsidRPr="001401D1">
        <w:t>, such that 0 (not true) remained 0, 1 became 1.5, and 2 (certainly true) became 3.</w:t>
      </w:r>
    </w:p>
    <w:p w14:paraId="4D7620B8" w14:textId="4414EDD6" w:rsidR="00B24B2A" w:rsidRPr="001401D1" w:rsidRDefault="00B24B2A" w:rsidP="00B24B2A">
      <w:pPr>
        <w:spacing w:line="480" w:lineRule="auto"/>
      </w:pPr>
      <w:r w:rsidRPr="001401D1">
        <w:tab/>
      </w:r>
      <w:bookmarkStart w:id="10" w:name="OLE_LINK12"/>
      <w:bookmarkStart w:id="11" w:name="OLE_LINK13"/>
      <w:r w:rsidRPr="001401D1">
        <w:rPr>
          <w:b/>
          <w:iCs/>
        </w:rPr>
        <w:t>ROBVQ.</w:t>
      </w:r>
      <w:r w:rsidRPr="001401D1">
        <w:t xml:space="preserve"> The Revised Olweus Bully/Victim Questionnaire for Students </w:t>
      </w:r>
      <w:bookmarkEnd w:id="10"/>
      <w:bookmarkEnd w:id="11"/>
      <w:r w:rsidRPr="001401D1">
        <w:t xml:space="preserve">(ROBVQ; </w:t>
      </w:r>
      <w:r w:rsidR="0085208E" w:rsidRPr="001401D1">
        <w:rPr>
          <w:noProof/>
        </w:rPr>
        <w:t>Olweus, 1996)</w:t>
      </w:r>
      <w:r w:rsidRPr="001401D1">
        <w:t xml:space="preserve"> consists of 40 items assessing frequency of different types of bullying and victimization, including physical, verbal, and racial bullying, as well as settings, attitudes, and reactions </w:t>
      </w:r>
      <w:r w:rsidRPr="001401D1">
        <w:lastRenderedPageBreak/>
        <w:t>surrounding bullying. In the IMAGEN sample, a modified 12-item version was administered, consisting of eight items from the ROBVQ (e.g., “I was bullied at school”; “I took part in bullying another student at school”) as well as four additional items pertaining to non-peer bullying: “I have been bullied by a teacher”; “I have been bullied by a family member”; “I have bullied a teacher”; and “I have bullied a family member.” Participants responded to items according to frequency of these experiences over the last six months on a five-point Likert scale, ranging from “none” to “several times a week.”</w:t>
      </w:r>
      <w:r w:rsidR="00952A15" w:rsidRPr="001401D1">
        <w:t xml:space="preserve"> </w:t>
      </w:r>
      <w:r w:rsidR="00FA1651" w:rsidRPr="001401D1">
        <w:t>During re-scaling</w:t>
      </w:r>
      <w:r w:rsidR="00952A15" w:rsidRPr="001401D1">
        <w:t>, 1 (none) became 0, 2 became 1, 3 became 2, 4 became 2.5, and 5 (several times a week) became 3. The scaling was performed asymmetrically for ROBVQ items due to the relative infrequency of higher-coded responses.</w:t>
      </w:r>
    </w:p>
    <w:p w14:paraId="47D20304" w14:textId="563C6A39" w:rsidR="00B24B2A" w:rsidRPr="001401D1" w:rsidRDefault="00B24B2A" w:rsidP="0085208E">
      <w:pPr>
        <w:spacing w:line="480" w:lineRule="auto"/>
      </w:pPr>
      <w:r w:rsidRPr="001401D1">
        <w:tab/>
      </w:r>
      <w:r w:rsidRPr="001401D1">
        <w:rPr>
          <w:b/>
          <w:iCs/>
        </w:rPr>
        <w:t>SURPS.</w:t>
      </w:r>
      <w:r w:rsidRPr="001401D1">
        <w:rPr>
          <w:i/>
        </w:rPr>
        <w:t xml:space="preserve"> </w:t>
      </w:r>
      <w:r w:rsidRPr="001401D1">
        <w:t xml:space="preserve">The Substance Use Risk Profile Scale (SURPS; </w:t>
      </w:r>
      <w:r w:rsidR="0085208E" w:rsidRPr="001401D1">
        <w:rPr>
          <w:noProof/>
        </w:rPr>
        <w:t>Woicik</w:t>
      </w:r>
      <w:r w:rsidR="00412669" w:rsidRPr="001401D1">
        <w:rPr>
          <w:noProof/>
        </w:rPr>
        <w:t xml:space="preserve"> et al., </w:t>
      </w:r>
      <w:r w:rsidR="0085208E" w:rsidRPr="001401D1">
        <w:rPr>
          <w:noProof/>
        </w:rPr>
        <w:t>2009)</w:t>
      </w:r>
      <w:r w:rsidRPr="001401D1">
        <w:t xml:space="preserve"> consists of 23 items assessing four domains of personality associated with risk for substance use problems: anxiety sensitivity, hopelessness, sensation-seeking, and impulsivity. Participants responded on a four-point Likert scale ranging from “strongly disagree” to “strongly agree.”</w:t>
      </w:r>
      <w:r w:rsidR="00FA1651" w:rsidRPr="001401D1">
        <w:t xml:space="preserve"> Following </w:t>
      </w:r>
      <w:r w:rsidR="0085208E" w:rsidRPr="001401D1">
        <w:rPr>
          <w:noProof/>
        </w:rPr>
        <w:t>Brislin et al. (2019)</w:t>
      </w:r>
      <w:r w:rsidR="0085208E" w:rsidRPr="001401D1">
        <w:t>,</w:t>
      </w:r>
      <w:r w:rsidR="00FA1651" w:rsidRPr="001401D1">
        <w:t xml:space="preserve"> items were re-scaled such that 1 (strongly disagree) became 0, 2 became 1, 3 became 2, and 4 (strongly agree) became 3.</w:t>
      </w:r>
    </w:p>
    <w:p w14:paraId="2B7128CB" w14:textId="67C3B3CC" w:rsidR="00391E8C" w:rsidRPr="001401D1" w:rsidRDefault="00B24B2A" w:rsidP="00FA1651">
      <w:pPr>
        <w:spacing w:line="480" w:lineRule="auto"/>
      </w:pPr>
      <w:r w:rsidRPr="001401D1">
        <w:tab/>
      </w:r>
      <w:r w:rsidRPr="001401D1">
        <w:rPr>
          <w:b/>
          <w:iCs/>
        </w:rPr>
        <w:t>TCI-R: NSS</w:t>
      </w:r>
      <w:r w:rsidRPr="001401D1">
        <w:rPr>
          <w:iCs/>
        </w:rPr>
        <w:t>.</w:t>
      </w:r>
      <w:r w:rsidRPr="001401D1">
        <w:t xml:space="preserve"> The 35-item Novelty-Seeking Scale (NSS) of the Temperament and Character Inventory – Revised (TCI-R; </w:t>
      </w:r>
      <w:r w:rsidR="0085208E" w:rsidRPr="001401D1">
        <w:rPr>
          <w:noProof/>
        </w:rPr>
        <w:t>Cloninger, 1999)</w:t>
      </w:r>
      <w:r w:rsidRPr="001401D1">
        <w:t xml:space="preserve"> consists of four subscales: exploratory impulsiveness, disorderliness, excitability, and extravagance. Participants responded on a five-point Likert scale ranging from “definitely false” to “definitely true.”</w:t>
      </w:r>
      <w:r w:rsidR="00FA1651" w:rsidRPr="001401D1">
        <w:t xml:space="preserve"> Following </w:t>
      </w:r>
      <w:r w:rsidR="0085208E" w:rsidRPr="001401D1">
        <w:rPr>
          <w:noProof/>
        </w:rPr>
        <w:t>Brislin et al.</w:t>
      </w:r>
      <w:r w:rsidR="00C2642E" w:rsidRPr="001401D1">
        <w:rPr>
          <w:noProof/>
        </w:rPr>
        <w:t xml:space="preserve"> (</w:t>
      </w:r>
      <w:r w:rsidR="0085208E" w:rsidRPr="001401D1">
        <w:rPr>
          <w:noProof/>
        </w:rPr>
        <w:t>2019)</w:t>
      </w:r>
      <w:r w:rsidR="00FA1651" w:rsidRPr="001401D1">
        <w:t xml:space="preserve">, during re-scaling, </w:t>
      </w:r>
      <w:r w:rsidR="00391E8C" w:rsidRPr="001401D1">
        <w:t xml:space="preserve">1 (definitely false) became 0, 2 became 1, 3 became 1.5, 4 became 2, and 5 (definitely true) became 3. </w:t>
      </w:r>
    </w:p>
    <w:p w14:paraId="5589E152" w14:textId="5F1AA169" w:rsidR="0069518A" w:rsidRPr="001401D1" w:rsidRDefault="0069518A" w:rsidP="00B24B2A">
      <w:pPr>
        <w:spacing w:line="480" w:lineRule="auto"/>
        <w:rPr>
          <w:b/>
        </w:rPr>
      </w:pPr>
    </w:p>
    <w:p w14:paraId="364C3715" w14:textId="77777777" w:rsidR="0069518A" w:rsidRPr="001401D1" w:rsidRDefault="0069518A" w:rsidP="00B24B2A">
      <w:pPr>
        <w:spacing w:line="480" w:lineRule="auto"/>
        <w:rPr>
          <w:b/>
        </w:rPr>
      </w:pPr>
      <w:r w:rsidRPr="001401D1">
        <w:rPr>
          <w:b/>
        </w:rPr>
        <w:br w:type="page"/>
      </w:r>
    </w:p>
    <w:p w14:paraId="30421F35" w14:textId="4132008F" w:rsidR="007B5C19" w:rsidRPr="001401D1" w:rsidRDefault="007B5C19" w:rsidP="005F1781">
      <w:pPr>
        <w:spacing w:line="480" w:lineRule="auto"/>
        <w:jc w:val="center"/>
        <w:rPr>
          <w:b/>
        </w:rPr>
      </w:pPr>
      <w:r w:rsidRPr="001401D1">
        <w:rPr>
          <w:b/>
        </w:rPr>
        <w:lastRenderedPageBreak/>
        <w:t xml:space="preserve">Supplemental Method </w:t>
      </w:r>
      <w:r w:rsidR="0069518A" w:rsidRPr="001401D1">
        <w:rPr>
          <w:b/>
        </w:rPr>
        <w:t>B</w:t>
      </w:r>
      <w:r w:rsidRPr="001401D1">
        <w:rPr>
          <w:b/>
        </w:rPr>
        <w:t>:</w:t>
      </w:r>
    </w:p>
    <w:p w14:paraId="40572D24" w14:textId="320FEE4A" w:rsidR="00526EFF" w:rsidRPr="001401D1" w:rsidRDefault="00A722E2" w:rsidP="005F1781">
      <w:pPr>
        <w:spacing w:line="480" w:lineRule="auto"/>
        <w:jc w:val="center"/>
        <w:rPr>
          <w:b/>
          <w:bCs/>
          <w:sz w:val="12"/>
          <w:szCs w:val="12"/>
        </w:rPr>
      </w:pPr>
      <w:r w:rsidRPr="001401D1">
        <w:rPr>
          <w:b/>
          <w:bCs/>
        </w:rPr>
        <w:t>Detailed Description of Procedural Steps for Developing the IMAGEN-Callousness Scale</w:t>
      </w:r>
    </w:p>
    <w:p w14:paraId="29B114BF" w14:textId="05F80662" w:rsidR="007B5C19" w:rsidRPr="001401D1" w:rsidRDefault="007B5C19" w:rsidP="00C2642E">
      <w:pPr>
        <w:spacing w:line="480" w:lineRule="auto"/>
      </w:pPr>
      <w:r w:rsidRPr="001401D1">
        <w:tab/>
        <w:t xml:space="preserve">Scale construction occurred in two steps: (1) initial selection of candidate items for each scale, </w:t>
      </w:r>
      <w:bookmarkEnd w:id="6"/>
      <w:bookmarkEnd w:id="7"/>
      <w:r w:rsidRPr="001401D1">
        <w:t xml:space="preserve">followed by (2) refinement of these initial scale item sets. </w:t>
      </w:r>
      <w:r w:rsidR="00785890" w:rsidRPr="001401D1">
        <w:t xml:space="preserve">This process has been used in several previous scale development efforts (e.g., </w:t>
      </w:r>
      <w:r w:rsidR="00C2642E" w:rsidRPr="001401D1">
        <w:rPr>
          <w:noProof/>
        </w:rPr>
        <w:t>Brislin</w:t>
      </w:r>
      <w:r w:rsidR="00412669" w:rsidRPr="001401D1">
        <w:rPr>
          <w:noProof/>
        </w:rPr>
        <w:t xml:space="preserve"> et al.</w:t>
      </w:r>
      <w:r w:rsidR="00C2642E" w:rsidRPr="001401D1">
        <w:rPr>
          <w:noProof/>
        </w:rPr>
        <w:t xml:space="preserve">, 2015, 2019; Drislane et al., 2015, </w:t>
      </w:r>
      <w:r w:rsidR="008A3B08" w:rsidRPr="001401D1">
        <w:rPr>
          <w:noProof/>
        </w:rPr>
        <w:t xml:space="preserve">2018, </w:t>
      </w:r>
      <w:r w:rsidR="00C2642E" w:rsidRPr="001401D1">
        <w:rPr>
          <w:noProof/>
        </w:rPr>
        <w:t>2019; Hall et al., 2014; Sellbom et al., 2016)</w:t>
      </w:r>
      <w:r w:rsidR="00785890" w:rsidRPr="001401D1">
        <w:t>.</w:t>
      </w:r>
    </w:p>
    <w:p w14:paraId="5EEB8596" w14:textId="4F6F9011" w:rsidR="002F46C1" w:rsidRPr="001401D1" w:rsidRDefault="007B5C19" w:rsidP="00391E8C">
      <w:pPr>
        <w:spacing w:line="480" w:lineRule="auto"/>
      </w:pPr>
      <w:r w:rsidRPr="001401D1">
        <w:tab/>
      </w:r>
      <w:r w:rsidRPr="001401D1">
        <w:rPr>
          <w:b/>
          <w:iCs/>
        </w:rPr>
        <w:t xml:space="preserve">Candidate </w:t>
      </w:r>
      <w:r w:rsidR="00F556FC" w:rsidRPr="001401D1">
        <w:rPr>
          <w:b/>
          <w:iCs/>
        </w:rPr>
        <w:t>i</w:t>
      </w:r>
      <w:r w:rsidRPr="001401D1">
        <w:rPr>
          <w:b/>
          <w:iCs/>
        </w:rPr>
        <w:t xml:space="preserve">tem </w:t>
      </w:r>
      <w:r w:rsidR="00F556FC" w:rsidRPr="001401D1">
        <w:rPr>
          <w:b/>
          <w:iCs/>
        </w:rPr>
        <w:t>s</w:t>
      </w:r>
      <w:r w:rsidRPr="001401D1">
        <w:rPr>
          <w:b/>
          <w:iCs/>
        </w:rPr>
        <w:t>election</w:t>
      </w:r>
      <w:r w:rsidRPr="001401D1">
        <w:rPr>
          <w:b/>
          <w:i/>
        </w:rPr>
        <w:t>.</w:t>
      </w:r>
      <w:r w:rsidRPr="001401D1">
        <w:t xml:space="preserve"> </w:t>
      </w:r>
      <w:r w:rsidR="002F46C1" w:rsidRPr="001401D1">
        <w:t>Candidate items were identified based on consensus ratings performed during the development of the IMAGEN-Disinhibition scale</w:t>
      </w:r>
      <w:r w:rsidR="00C2642E" w:rsidRPr="001401D1">
        <w:t xml:space="preserve"> </w:t>
      </w:r>
      <w:r w:rsidR="00C2642E" w:rsidRPr="001401D1">
        <w:rPr>
          <w:noProof/>
        </w:rPr>
        <w:t>(Brislin et al., 2019)</w:t>
      </w:r>
      <w:r w:rsidR="002F46C1" w:rsidRPr="001401D1">
        <w:t xml:space="preserve">. </w:t>
      </w:r>
      <w:r w:rsidR="00D63E18" w:rsidRPr="001401D1">
        <w:rPr>
          <w:bCs/>
        </w:rPr>
        <w:t>Five</w:t>
      </w:r>
      <w:r w:rsidRPr="001401D1">
        <w:rPr>
          <w:bCs/>
        </w:rPr>
        <w:t xml:space="preserve"> evaluators</w:t>
      </w:r>
      <w:r w:rsidR="00D63E18" w:rsidRPr="001401D1">
        <w:rPr>
          <w:bCs/>
        </w:rPr>
        <w:t xml:space="preserve"> —</w:t>
      </w:r>
      <w:r w:rsidRPr="001401D1">
        <w:rPr>
          <w:bCs/>
        </w:rPr>
        <w:t xml:space="preserve"> </w:t>
      </w:r>
      <w:r w:rsidR="00D63E18" w:rsidRPr="001401D1">
        <w:rPr>
          <w:bCs/>
        </w:rPr>
        <w:t>two</w:t>
      </w:r>
      <w:r w:rsidRPr="001401D1">
        <w:rPr>
          <w:bCs/>
        </w:rPr>
        <w:t xml:space="preserve"> PhD-level psychologist</w:t>
      </w:r>
      <w:r w:rsidR="00D63E18" w:rsidRPr="001401D1">
        <w:rPr>
          <w:bCs/>
        </w:rPr>
        <w:t>s</w:t>
      </w:r>
      <w:r w:rsidRPr="001401D1">
        <w:rPr>
          <w:bCs/>
        </w:rPr>
        <w:t xml:space="preserve"> and three clinical psychology graduate students</w:t>
      </w:r>
      <w:r w:rsidR="002F46C1" w:rsidRPr="001401D1">
        <w:rPr>
          <w:bCs/>
        </w:rPr>
        <w:t> —</w:t>
      </w:r>
      <w:r w:rsidRPr="001401D1">
        <w:rPr>
          <w:bCs/>
        </w:rPr>
        <w:t xml:space="preserve"> </w:t>
      </w:r>
      <w:r w:rsidR="002F46C1" w:rsidRPr="001401D1">
        <w:rPr>
          <w:bCs/>
        </w:rPr>
        <w:t>were provided with written definitions of callousness and disinhibition</w:t>
      </w:r>
      <w:r w:rsidR="00D93A0F" w:rsidRPr="001401D1">
        <w:rPr>
          <w:rStyle w:val="FootnoteReference"/>
        </w:rPr>
        <w:footnoteReference w:id="1"/>
      </w:r>
      <w:r w:rsidR="002F46C1" w:rsidRPr="001401D1">
        <w:rPr>
          <w:bCs/>
        </w:rPr>
        <w:t xml:space="preserve"> and asked to rate the extent to which each item </w:t>
      </w:r>
      <w:r w:rsidR="00005B17" w:rsidRPr="001401D1">
        <w:rPr>
          <w:bCs/>
        </w:rPr>
        <w:t xml:space="preserve">administered to the IMAGEN sample </w:t>
      </w:r>
      <w:r w:rsidR="002F46C1" w:rsidRPr="001401D1">
        <w:rPr>
          <w:bCs/>
        </w:rPr>
        <w:t>represented each construct on the following scale: unrelated to construct; strongly represents high level of construct; somewhat represents high level of construct; somewhat represents low level of construct; or strongly represents low level of construct. I</w:t>
      </w:r>
      <w:r w:rsidR="00D93A0F" w:rsidRPr="001401D1">
        <w:rPr>
          <w:bCs/>
        </w:rPr>
        <w:t xml:space="preserve">tems that were </w:t>
      </w:r>
      <w:r w:rsidR="0015761C" w:rsidRPr="001401D1">
        <w:rPr>
          <w:bCs/>
        </w:rPr>
        <w:t xml:space="preserve">(1) </w:t>
      </w:r>
      <w:r w:rsidR="00D93A0F" w:rsidRPr="001401D1">
        <w:rPr>
          <w:bCs/>
        </w:rPr>
        <w:t xml:space="preserve">identified by all five raters as representing high (i.e., extremely callous) or low (i.e., extremely affiliative/empathic) levels of callousness, </w:t>
      </w:r>
      <w:r w:rsidR="0015761C" w:rsidRPr="001401D1">
        <w:rPr>
          <w:bCs/>
        </w:rPr>
        <w:t>(2)</w:t>
      </w:r>
      <w:r w:rsidR="00D93A0F" w:rsidRPr="001401D1">
        <w:rPr>
          <w:bCs/>
        </w:rPr>
        <w:t xml:space="preserve"> rated as more relevant to callousness than to disinhibition, and </w:t>
      </w:r>
      <w:r w:rsidR="0015761C" w:rsidRPr="001401D1">
        <w:rPr>
          <w:bCs/>
        </w:rPr>
        <w:t>(3)</w:t>
      </w:r>
      <w:r w:rsidR="00D93A0F" w:rsidRPr="001401D1">
        <w:rPr>
          <w:bCs/>
        </w:rPr>
        <w:t xml:space="preserve"> not included in the IMAGEN-Disinhibition scale were included in the pool</w:t>
      </w:r>
      <w:r w:rsidR="00CF7E36" w:rsidRPr="001401D1">
        <w:t xml:space="preserve">. </w:t>
      </w:r>
      <w:r w:rsidR="00D93A0F" w:rsidRPr="001401D1">
        <w:rPr>
          <w:bCs/>
        </w:rPr>
        <w:t xml:space="preserve">The candidate item pool was further restricted to those from questionnaires administered at each time point to facilitate </w:t>
      </w:r>
      <w:r w:rsidR="007963E8" w:rsidRPr="001401D1">
        <w:rPr>
          <w:bCs/>
        </w:rPr>
        <w:t xml:space="preserve">longitudinal </w:t>
      </w:r>
      <w:r w:rsidR="00D93A0F" w:rsidRPr="001401D1">
        <w:rPr>
          <w:bCs/>
        </w:rPr>
        <w:t>research using the IMAGEN-Callousness scale</w:t>
      </w:r>
      <w:r w:rsidR="00E0604A" w:rsidRPr="001401D1">
        <w:rPr>
          <w:bCs/>
        </w:rPr>
        <w:t>, resulting in a pool of 26 candidate items</w:t>
      </w:r>
      <w:r w:rsidR="00D93A0F" w:rsidRPr="001401D1">
        <w:rPr>
          <w:bCs/>
        </w:rPr>
        <w:t xml:space="preserve">. </w:t>
      </w:r>
      <w:r w:rsidR="00E0604A" w:rsidRPr="001401D1">
        <w:t xml:space="preserve">Items that were worded in the direction of higher empathy (e.g., “I try to be courteous to everyone I meet”) were reverse-coded. Each item was re-scaled to a 0 to 3 scale for </w:t>
      </w:r>
      <w:r w:rsidR="0015761C" w:rsidRPr="001401D1">
        <w:t xml:space="preserve">the purposes of </w:t>
      </w:r>
      <w:r w:rsidR="00E0604A" w:rsidRPr="001401D1">
        <w:t xml:space="preserve">computation of a total score, in line with </w:t>
      </w:r>
      <w:r w:rsidR="00C2642E" w:rsidRPr="001401D1">
        <w:rPr>
          <w:noProof/>
        </w:rPr>
        <w:t>Brislin et al. (2019)</w:t>
      </w:r>
      <w:r w:rsidR="00E0604A" w:rsidRPr="001401D1">
        <w:t>.</w:t>
      </w:r>
      <w:r w:rsidR="00426F4A" w:rsidRPr="001401D1">
        <w:t xml:space="preserve"> </w:t>
      </w:r>
      <w:r w:rsidR="00391E8C" w:rsidRPr="001401D1">
        <w:t>Specific information regarding recoding is provided in Supplemental Method A.</w:t>
      </w:r>
    </w:p>
    <w:p w14:paraId="69C7EE76" w14:textId="71FA32E8" w:rsidR="00E0604A" w:rsidRPr="001401D1" w:rsidRDefault="007B5C19" w:rsidP="00C06481">
      <w:pPr>
        <w:spacing w:line="480" w:lineRule="auto"/>
        <w:ind w:firstLine="720"/>
      </w:pPr>
      <w:r w:rsidRPr="001401D1">
        <w:rPr>
          <w:b/>
          <w:iCs/>
        </w:rPr>
        <w:lastRenderedPageBreak/>
        <w:t xml:space="preserve">Scale </w:t>
      </w:r>
      <w:r w:rsidR="00F556FC" w:rsidRPr="001401D1">
        <w:rPr>
          <w:b/>
          <w:iCs/>
        </w:rPr>
        <w:t>r</w:t>
      </w:r>
      <w:r w:rsidRPr="001401D1">
        <w:rPr>
          <w:b/>
          <w:iCs/>
        </w:rPr>
        <w:t>efinement.</w:t>
      </w:r>
      <w:r w:rsidRPr="001401D1">
        <w:rPr>
          <w:b/>
        </w:rPr>
        <w:t xml:space="preserve"> </w:t>
      </w:r>
      <w:r w:rsidR="00E0604A" w:rsidRPr="001401D1">
        <w:t xml:space="preserve">Next, the </w:t>
      </w:r>
      <w:r w:rsidR="00900C3C" w:rsidRPr="001401D1">
        <w:t>T1</w:t>
      </w:r>
      <w:r w:rsidR="00E0604A" w:rsidRPr="001401D1">
        <w:t xml:space="preserve"> sample was divided into two halves matched for site, </w:t>
      </w:r>
      <w:r w:rsidR="003C33CB" w:rsidRPr="001401D1">
        <w:t>sex</w:t>
      </w:r>
      <w:r w:rsidR="00E0604A" w:rsidRPr="001401D1">
        <w:t xml:space="preserve">, age, and disinhibition scores, allowing for a split-half cross-validation approach. Following prior work (e.g., </w:t>
      </w:r>
      <w:r w:rsidR="00C2642E" w:rsidRPr="001401D1">
        <w:rPr>
          <w:noProof/>
        </w:rPr>
        <w:t>Brislin et al., 2019)</w:t>
      </w:r>
      <w:r w:rsidR="00E0604A" w:rsidRPr="001401D1">
        <w:t xml:space="preserve">, the scale was </w:t>
      </w:r>
      <w:r w:rsidR="0015761C" w:rsidRPr="001401D1">
        <w:t>refined iteratively</w:t>
      </w:r>
      <w:r w:rsidR="00E0604A" w:rsidRPr="001401D1">
        <w:t xml:space="preserve"> in the first half of the sample</w:t>
      </w:r>
      <w:r w:rsidR="00DE729D" w:rsidRPr="001401D1">
        <w:t xml:space="preserve"> (</w:t>
      </w:r>
      <w:r w:rsidR="00DE729D" w:rsidRPr="001401D1">
        <w:rPr>
          <w:i/>
          <w:iCs/>
        </w:rPr>
        <w:t>n</w:t>
      </w:r>
      <w:r w:rsidR="008D0AB9" w:rsidRPr="001401D1">
        <w:rPr>
          <w:i/>
          <w:iCs/>
        </w:rPr>
        <w:t xml:space="preserve"> = </w:t>
      </w:r>
      <w:r w:rsidR="0031708A" w:rsidRPr="001401D1">
        <w:t>7</w:t>
      </w:r>
      <w:r w:rsidR="00871842" w:rsidRPr="001401D1">
        <w:t>35</w:t>
      </w:r>
      <w:r w:rsidR="00DE729D" w:rsidRPr="001401D1">
        <w:t>)</w:t>
      </w:r>
      <w:r w:rsidR="0015761C" w:rsidRPr="001401D1">
        <w:t xml:space="preserve"> using the 26 candidate items</w:t>
      </w:r>
      <w:r w:rsidR="00E0604A" w:rsidRPr="001401D1">
        <w:t xml:space="preserve">. Items operating to reduce internal consistency reliability (Cronbach’s alpha) as a function of low item-total correlations (i.e., less than </w:t>
      </w:r>
      <w:r w:rsidR="00E0604A" w:rsidRPr="001401D1">
        <w:rPr>
          <w:i/>
        </w:rPr>
        <w:t>r</w:t>
      </w:r>
      <w:r w:rsidR="008D0AB9" w:rsidRPr="001401D1">
        <w:rPr>
          <w:i/>
        </w:rPr>
        <w:t xml:space="preserve"> = </w:t>
      </w:r>
      <w:r w:rsidR="00E0604A" w:rsidRPr="001401D1">
        <w:t>.1</w:t>
      </w:r>
      <w:r w:rsidR="00CF3CCD" w:rsidRPr="001401D1">
        <w:t>0</w:t>
      </w:r>
      <w:r w:rsidR="00E0604A" w:rsidRPr="001401D1">
        <w:t xml:space="preserve">) were removed. To ensure adequate content coverage, items rated as strongly representing high or low callousness by only three or four of five raters </w:t>
      </w:r>
      <w:r w:rsidR="00DE729D" w:rsidRPr="001401D1">
        <w:t>(</w:t>
      </w:r>
      <w:r w:rsidR="00DE729D" w:rsidRPr="001401D1">
        <w:rPr>
          <w:i/>
          <w:iCs/>
        </w:rPr>
        <w:t>n</w:t>
      </w:r>
      <w:r w:rsidR="008D0AB9" w:rsidRPr="001401D1">
        <w:rPr>
          <w:i/>
          <w:iCs/>
        </w:rPr>
        <w:t xml:space="preserve"> = </w:t>
      </w:r>
      <w:r w:rsidR="00DE729D" w:rsidRPr="001401D1">
        <w:t xml:space="preserve">20) </w:t>
      </w:r>
      <w:r w:rsidR="00E0604A" w:rsidRPr="001401D1">
        <w:t xml:space="preserve">were </w:t>
      </w:r>
      <w:r w:rsidR="00007302" w:rsidRPr="001401D1">
        <w:t xml:space="preserve">also </w:t>
      </w:r>
      <w:r w:rsidR="00E0604A" w:rsidRPr="001401D1">
        <w:t>considered for inclusion based on strength of item-total correlations</w:t>
      </w:r>
      <w:r w:rsidR="00007302" w:rsidRPr="001401D1">
        <w:t xml:space="preserve">, </w:t>
      </w:r>
      <w:r w:rsidR="00E0604A" w:rsidRPr="001401D1">
        <w:t>benefit to internal consistency</w:t>
      </w:r>
      <w:r w:rsidR="00007302" w:rsidRPr="001401D1">
        <w:t>, and breadth of content coverage</w:t>
      </w:r>
      <w:r w:rsidR="00E0604A" w:rsidRPr="001401D1">
        <w:t>.</w:t>
      </w:r>
      <w:r w:rsidR="00DE729D" w:rsidRPr="001401D1">
        <w:t xml:space="preserve"> </w:t>
      </w:r>
      <w:r w:rsidR="00007302" w:rsidRPr="001401D1">
        <w:t xml:space="preserve">These procedures were applied iteratively to the 46 candidate items, with effects of adding or removing items evaluated step-by-step, and priority for retention given to items that improved content coverage and item-polarity balance (i.e., similar representation of positively and negatively worded items). </w:t>
      </w:r>
      <w:r w:rsidR="00DE729D" w:rsidRPr="001401D1">
        <w:t>The final scale consisted of 17 items with acceptable to good internal consistency reliability (</w:t>
      </w:r>
      <w:bookmarkStart w:id="12" w:name="OLE_LINK155"/>
      <w:bookmarkStart w:id="13" w:name="OLE_LINK156"/>
      <w:r w:rsidR="00DE729D" w:rsidRPr="001401D1">
        <w:rPr>
          <w:i/>
          <w:shd w:val="clear" w:color="auto" w:fill="FFFFFF"/>
        </w:rPr>
        <w:t>α</w:t>
      </w:r>
      <w:bookmarkEnd w:id="12"/>
      <w:bookmarkEnd w:id="13"/>
      <w:r w:rsidR="008D0AB9" w:rsidRPr="001401D1">
        <w:rPr>
          <w:shd w:val="clear" w:color="auto" w:fill="FFFFFF"/>
        </w:rPr>
        <w:t xml:space="preserve"> = </w:t>
      </w:r>
      <w:r w:rsidR="00DE729D" w:rsidRPr="001401D1">
        <w:rPr>
          <w:shd w:val="clear" w:color="auto" w:fill="FFFFFF"/>
        </w:rPr>
        <w:t>.7</w:t>
      </w:r>
      <w:r w:rsidR="0031708A" w:rsidRPr="001401D1">
        <w:rPr>
          <w:shd w:val="clear" w:color="auto" w:fill="FFFFFF"/>
        </w:rPr>
        <w:t>5</w:t>
      </w:r>
      <w:r w:rsidR="00DE729D" w:rsidRPr="001401D1">
        <w:rPr>
          <w:shd w:val="clear" w:color="auto" w:fill="FFFFFF"/>
        </w:rPr>
        <w:t xml:space="preserve">; </w:t>
      </w:r>
      <w:r w:rsidR="00C2642E" w:rsidRPr="001401D1">
        <w:rPr>
          <w:noProof/>
          <w:shd w:val="clear" w:color="auto" w:fill="FFFFFF"/>
        </w:rPr>
        <w:t>Nunnally &amp; Bernstein, 1994)</w:t>
      </w:r>
      <w:r w:rsidR="00DE729D" w:rsidRPr="001401D1">
        <w:rPr>
          <w:shd w:val="clear" w:color="auto" w:fill="FFFFFF"/>
        </w:rPr>
        <w:t xml:space="preserve"> and a mean inter-item correlation of </w:t>
      </w:r>
      <w:r w:rsidR="00DE729D" w:rsidRPr="001401D1">
        <w:rPr>
          <w:i/>
          <w:shd w:val="clear" w:color="auto" w:fill="FFFFFF"/>
        </w:rPr>
        <w:t>r</w:t>
      </w:r>
      <w:r w:rsidR="008D0AB9" w:rsidRPr="001401D1">
        <w:rPr>
          <w:shd w:val="clear" w:color="auto" w:fill="FFFFFF"/>
        </w:rPr>
        <w:t xml:space="preserve"> = </w:t>
      </w:r>
      <w:r w:rsidR="00DE729D" w:rsidRPr="001401D1">
        <w:rPr>
          <w:shd w:val="clear" w:color="auto" w:fill="FFFFFF"/>
        </w:rPr>
        <w:t>.1</w:t>
      </w:r>
      <w:r w:rsidR="00871842" w:rsidRPr="001401D1">
        <w:rPr>
          <w:shd w:val="clear" w:color="auto" w:fill="FFFFFF"/>
        </w:rPr>
        <w:t>5</w:t>
      </w:r>
      <w:r w:rsidR="00DE729D" w:rsidRPr="001401D1">
        <w:rPr>
          <w:shd w:val="clear" w:color="auto" w:fill="FFFFFF"/>
        </w:rPr>
        <w:t>, indicating coherence among items with representation of a broad range of content (</w:t>
      </w:r>
      <w:r w:rsidR="00CF3CCD" w:rsidRPr="001401D1">
        <w:rPr>
          <w:shd w:val="clear" w:color="auto" w:fill="FFFFFF"/>
        </w:rPr>
        <w:t>see</w:t>
      </w:r>
      <w:r w:rsidR="00DE729D" w:rsidRPr="001401D1">
        <w:rPr>
          <w:shd w:val="clear" w:color="auto" w:fill="FFFFFF"/>
        </w:rPr>
        <w:t xml:space="preserve"> </w:t>
      </w:r>
      <w:r w:rsidR="00943923" w:rsidRPr="001401D1">
        <w:rPr>
          <w:noProof/>
          <w:shd w:val="clear" w:color="auto" w:fill="FFFFFF"/>
        </w:rPr>
        <w:t>Brislin et al., 2019; Patrick</w:t>
      </w:r>
      <w:r w:rsidR="008A3B08" w:rsidRPr="001401D1">
        <w:rPr>
          <w:noProof/>
          <w:shd w:val="clear" w:color="auto" w:fill="FFFFFF"/>
        </w:rPr>
        <w:t>, Kramer, et al.</w:t>
      </w:r>
      <w:r w:rsidR="00943923" w:rsidRPr="001401D1">
        <w:rPr>
          <w:noProof/>
          <w:shd w:val="clear" w:color="auto" w:fill="FFFFFF"/>
        </w:rPr>
        <w:t>, 2013)</w:t>
      </w:r>
      <w:r w:rsidR="00DE729D" w:rsidRPr="001401D1">
        <w:rPr>
          <w:shd w:val="clear" w:color="auto" w:fill="FFFFFF"/>
        </w:rPr>
        <w:t>. The final scale included eight items worded in the direction of higher empathy, which had been reverse-coded. Item numbers, adjusted item-total correlations, and content area for the final 17-item scale are presented in Supplemental Table</w:t>
      </w:r>
      <w:r w:rsidR="0031708A" w:rsidRPr="001401D1">
        <w:rPr>
          <w:shd w:val="clear" w:color="auto" w:fill="FFFFFF"/>
        </w:rPr>
        <w:t xml:space="preserve"> </w:t>
      </w:r>
      <w:r w:rsidR="00647651" w:rsidRPr="001401D1">
        <w:rPr>
          <w:shd w:val="clear" w:color="auto" w:fill="FFFFFF"/>
        </w:rPr>
        <w:t>A</w:t>
      </w:r>
      <w:r w:rsidR="00DE729D" w:rsidRPr="001401D1">
        <w:rPr>
          <w:shd w:val="clear" w:color="auto" w:fill="FFFFFF"/>
        </w:rPr>
        <w:t>.</w:t>
      </w:r>
    </w:p>
    <w:p w14:paraId="195486F0" w14:textId="2DA615C9" w:rsidR="00016D42" w:rsidRPr="001401D1" w:rsidRDefault="00E0604A" w:rsidP="00C06481">
      <w:pPr>
        <w:spacing w:line="480" w:lineRule="auto"/>
        <w:ind w:firstLine="720"/>
        <w:rPr>
          <w:shd w:val="clear" w:color="auto" w:fill="FFFFFF"/>
        </w:rPr>
      </w:pPr>
      <w:r w:rsidRPr="001401D1">
        <w:t>The second half of the sample</w:t>
      </w:r>
      <w:r w:rsidR="00DE729D" w:rsidRPr="001401D1">
        <w:t xml:space="preserve"> (</w:t>
      </w:r>
      <w:r w:rsidR="00DE729D" w:rsidRPr="001401D1">
        <w:rPr>
          <w:i/>
          <w:iCs/>
        </w:rPr>
        <w:t>n</w:t>
      </w:r>
      <w:r w:rsidR="008D0AB9" w:rsidRPr="001401D1">
        <w:rPr>
          <w:i/>
          <w:iCs/>
        </w:rPr>
        <w:t xml:space="preserve"> = </w:t>
      </w:r>
      <w:r w:rsidR="0031708A" w:rsidRPr="001401D1">
        <w:t>7</w:t>
      </w:r>
      <w:r w:rsidR="00871842" w:rsidRPr="001401D1">
        <w:t>36</w:t>
      </w:r>
      <w:r w:rsidR="00DE729D" w:rsidRPr="001401D1">
        <w:t>)</w:t>
      </w:r>
      <w:r w:rsidRPr="001401D1">
        <w:t xml:space="preserve"> was used to </w:t>
      </w:r>
      <w:r w:rsidR="00007302" w:rsidRPr="001401D1">
        <w:t>confirm</w:t>
      </w:r>
      <w:r w:rsidRPr="001401D1">
        <w:t xml:space="preserve"> the psychometric properties of the finalized scale.</w:t>
      </w:r>
      <w:r w:rsidR="00DE729D" w:rsidRPr="001401D1">
        <w:t xml:space="preserve"> Cronbach’s alpha and the mean inter-item correlation for this sample half were comparable to those for the first sample half (</w:t>
      </w:r>
      <w:r w:rsidR="00DE729D" w:rsidRPr="001401D1">
        <w:rPr>
          <w:i/>
          <w:shd w:val="clear" w:color="auto" w:fill="FFFFFF"/>
        </w:rPr>
        <w:t>α</w:t>
      </w:r>
      <w:r w:rsidR="008D0AB9" w:rsidRPr="001401D1">
        <w:rPr>
          <w:shd w:val="clear" w:color="auto" w:fill="FFFFFF"/>
        </w:rPr>
        <w:t xml:space="preserve"> = </w:t>
      </w:r>
      <w:r w:rsidR="00DE729D" w:rsidRPr="001401D1">
        <w:rPr>
          <w:shd w:val="clear" w:color="auto" w:fill="FFFFFF"/>
        </w:rPr>
        <w:t>.7</w:t>
      </w:r>
      <w:r w:rsidR="00871842" w:rsidRPr="001401D1">
        <w:rPr>
          <w:shd w:val="clear" w:color="auto" w:fill="FFFFFF"/>
        </w:rPr>
        <w:t>7</w:t>
      </w:r>
      <w:r w:rsidR="00DE729D" w:rsidRPr="001401D1">
        <w:rPr>
          <w:shd w:val="clear" w:color="auto" w:fill="FFFFFF"/>
        </w:rPr>
        <w:t xml:space="preserve">, </w:t>
      </w:r>
      <w:r w:rsidR="00426F4A" w:rsidRPr="001401D1">
        <w:rPr>
          <w:shd w:val="clear" w:color="auto" w:fill="FFFFFF"/>
        </w:rPr>
        <w:t xml:space="preserve">mean inter-item </w:t>
      </w:r>
      <w:r w:rsidR="00DE729D" w:rsidRPr="001401D1">
        <w:rPr>
          <w:i/>
          <w:shd w:val="clear" w:color="auto" w:fill="FFFFFF"/>
        </w:rPr>
        <w:t>r</w:t>
      </w:r>
      <w:r w:rsidR="008D0AB9" w:rsidRPr="001401D1">
        <w:rPr>
          <w:shd w:val="clear" w:color="auto" w:fill="FFFFFF"/>
        </w:rPr>
        <w:t xml:space="preserve"> = </w:t>
      </w:r>
      <w:r w:rsidR="00DE729D" w:rsidRPr="001401D1">
        <w:rPr>
          <w:shd w:val="clear" w:color="auto" w:fill="FFFFFF"/>
        </w:rPr>
        <w:t>.1</w:t>
      </w:r>
      <w:r w:rsidR="00871842" w:rsidRPr="001401D1">
        <w:rPr>
          <w:shd w:val="clear" w:color="auto" w:fill="FFFFFF"/>
        </w:rPr>
        <w:t>7</w:t>
      </w:r>
      <w:r w:rsidR="00DE729D" w:rsidRPr="001401D1">
        <w:rPr>
          <w:shd w:val="clear" w:color="auto" w:fill="FFFFFF"/>
        </w:rPr>
        <w:t xml:space="preserve">; see </w:t>
      </w:r>
      <w:r w:rsidR="00007302" w:rsidRPr="001401D1">
        <w:rPr>
          <w:shd w:val="clear" w:color="auto" w:fill="FFFFFF"/>
        </w:rPr>
        <w:t>Supplementa</w:t>
      </w:r>
      <w:r w:rsidR="0031708A" w:rsidRPr="001401D1">
        <w:rPr>
          <w:shd w:val="clear" w:color="auto" w:fill="FFFFFF"/>
        </w:rPr>
        <w:t>l</w:t>
      </w:r>
      <w:r w:rsidR="00007302" w:rsidRPr="001401D1">
        <w:rPr>
          <w:shd w:val="clear" w:color="auto" w:fill="FFFFFF"/>
        </w:rPr>
        <w:t xml:space="preserve"> Table</w:t>
      </w:r>
      <w:r w:rsidR="0031708A" w:rsidRPr="001401D1">
        <w:rPr>
          <w:shd w:val="clear" w:color="auto" w:fill="FFFFFF"/>
        </w:rPr>
        <w:t xml:space="preserve"> </w:t>
      </w:r>
      <w:r w:rsidR="00647651" w:rsidRPr="001401D1">
        <w:rPr>
          <w:shd w:val="clear" w:color="auto" w:fill="FFFFFF"/>
        </w:rPr>
        <w:t>A</w:t>
      </w:r>
      <w:r w:rsidR="00DE729D" w:rsidRPr="001401D1">
        <w:rPr>
          <w:shd w:val="clear" w:color="auto" w:fill="FFFFFF"/>
        </w:rPr>
        <w:t>).</w:t>
      </w:r>
    </w:p>
    <w:p w14:paraId="6F711FD1" w14:textId="77777777" w:rsidR="00016D42" w:rsidRPr="001401D1" w:rsidRDefault="00016D42">
      <w:pPr>
        <w:rPr>
          <w:shd w:val="clear" w:color="auto" w:fill="FFFFFF"/>
        </w:rPr>
      </w:pPr>
      <w:r w:rsidRPr="001401D1">
        <w:rPr>
          <w:shd w:val="clear" w:color="auto" w:fill="FFFFFF"/>
        </w:rPr>
        <w:br w:type="page"/>
      </w:r>
    </w:p>
    <w:p w14:paraId="052AB7D4" w14:textId="77777777" w:rsidR="004611D4" w:rsidRPr="001401D1" w:rsidRDefault="004611D4" w:rsidP="004611D4">
      <w:pPr>
        <w:spacing w:line="480" w:lineRule="auto"/>
        <w:jc w:val="center"/>
        <w:rPr>
          <w:b/>
        </w:rPr>
      </w:pPr>
      <w:r w:rsidRPr="001401D1">
        <w:rPr>
          <w:b/>
        </w:rPr>
        <w:lastRenderedPageBreak/>
        <w:t xml:space="preserve">Supplemental Discussion: </w:t>
      </w:r>
    </w:p>
    <w:p w14:paraId="38E5681D" w14:textId="29A3ADA8" w:rsidR="004611D4" w:rsidRPr="001401D1" w:rsidRDefault="004611D4" w:rsidP="004611D4">
      <w:pPr>
        <w:spacing w:line="480" w:lineRule="auto"/>
        <w:jc w:val="center"/>
        <w:rPr>
          <w:rFonts w:eastAsia="Calibri"/>
          <w:b/>
          <w:bCs/>
          <w:iCs/>
        </w:rPr>
      </w:pPr>
      <w:r w:rsidRPr="001401D1">
        <w:rPr>
          <w:rFonts w:eastAsia="Calibri"/>
          <w:b/>
          <w:bCs/>
          <w:iCs/>
        </w:rPr>
        <w:t>Scale Development</w:t>
      </w:r>
      <w:r w:rsidR="000707D8" w:rsidRPr="001401D1">
        <w:rPr>
          <w:rFonts w:eastAsia="Calibri"/>
          <w:b/>
          <w:bCs/>
          <w:iCs/>
        </w:rPr>
        <w:t>,</w:t>
      </w:r>
      <w:r w:rsidRPr="001401D1">
        <w:rPr>
          <w:rFonts w:eastAsia="Calibri"/>
          <w:b/>
          <w:bCs/>
          <w:iCs/>
        </w:rPr>
        <w:t xml:space="preserve"> </w:t>
      </w:r>
      <w:r w:rsidR="000707D8" w:rsidRPr="001401D1">
        <w:rPr>
          <w:rFonts w:eastAsia="Calibri"/>
          <w:b/>
          <w:bCs/>
          <w:iCs/>
        </w:rPr>
        <w:t xml:space="preserve">Harmonization, and Neurobehavioral Traits: </w:t>
      </w:r>
      <w:r w:rsidRPr="001401D1">
        <w:rPr>
          <w:rFonts w:eastAsia="Calibri"/>
          <w:b/>
          <w:bCs/>
          <w:iCs/>
        </w:rPr>
        <w:t xml:space="preserve">Setting the Stage for </w:t>
      </w:r>
      <w:r w:rsidR="000707D8" w:rsidRPr="001401D1">
        <w:rPr>
          <w:rFonts w:eastAsia="Calibri"/>
          <w:b/>
          <w:bCs/>
          <w:iCs/>
        </w:rPr>
        <w:t>Research Using Consortium Studies</w:t>
      </w:r>
    </w:p>
    <w:p w14:paraId="32C31D60" w14:textId="77777777" w:rsidR="000707D8" w:rsidRPr="001401D1" w:rsidRDefault="000707D8" w:rsidP="000707D8">
      <w:pPr>
        <w:spacing w:line="480" w:lineRule="auto"/>
        <w:ind w:right="-216" w:firstLine="540"/>
      </w:pPr>
      <w:r w:rsidRPr="001401D1">
        <w:t>A noteworthy implication of the current study pertains to the possibility of applying similar scale development approaches in other large datasets. Pre-existing measures of disinhibition and callousness were not administered to IMAGEN participants. However, building on research explicating the psychological nature and correlates of these traits, we were able to effectively operationalize callousness and disinhibition using conceptually relevant items from the IMAGEN questionnaire battery. This approach allowed us to add to the literature showing that these traits longitudinally predict relevant forms of psychopathology (Elkins et al., 2006; Frick &amp; White, 2008; Krueger, 1999). Using a similar method, it should be possible to operationalize other traits of interest in large, longitudinal, and genetically informative samples to examine whether they also operate as liability factors for general or specific forms of psychopathology.</w:t>
      </w:r>
    </w:p>
    <w:p w14:paraId="024AA81F" w14:textId="5AC57055" w:rsidR="000707D8" w:rsidRPr="001401D1" w:rsidRDefault="000707D8" w:rsidP="000707D8">
      <w:pPr>
        <w:spacing w:line="480" w:lineRule="auto"/>
        <w:ind w:right="-216" w:firstLine="540"/>
      </w:pPr>
      <w:r w:rsidRPr="001401D1">
        <w:t xml:space="preserve">An important consideration in future work of this kind is that not all traits are equally likely to function as liability factors as defined by Perkins et al. (2020a) — that is, as prospective predictors of psychopathology that share heritable variance with the outcome of interest. A notable feature of disinhibition and callousness is their robust association with neurophysiological and task-behavioral indices, which supports their characterization as neurobehavioral traits </w:t>
      </w:r>
      <w:r w:rsidRPr="001401D1">
        <w:rPr>
          <w:noProof/>
        </w:rPr>
        <w:t>(Patrick et al., 2009, 2012)</w:t>
      </w:r>
      <w:r w:rsidRPr="001401D1">
        <w:t>. Although the current work did not include brain or task-behavioral measures, a previous paper by Brislin et al. (2019) evaluated the IMAGEN-Disinhibition scale in an American undergraduate sample and found that it covaried strongly (</w:t>
      </w:r>
      <w:r w:rsidRPr="001401D1">
        <w:rPr>
          <w:i/>
          <w:iCs/>
        </w:rPr>
        <w:t>r</w:t>
      </w:r>
      <w:r w:rsidRPr="001401D1">
        <w:t>~.8) with the Disinhibition factor scale (Patrick et al., 2013</w:t>
      </w:r>
      <w:r w:rsidR="00AE7C4F" w:rsidRPr="001401D1">
        <w:rPr>
          <w:highlight w:val="yellow"/>
        </w:rPr>
        <w:t>a</w:t>
      </w:r>
      <w:r w:rsidRPr="001401D1">
        <w:t xml:space="preserve">) of the Externalizing Spectrum Inventory (ESI; Krueger et al., 2007), which shows replicable associations with brain and behavioral variables </w:t>
      </w:r>
      <w:r w:rsidRPr="001401D1">
        <w:rPr>
          <w:noProof/>
        </w:rPr>
        <w:t>(e.g., Venables et al., 2018</w:t>
      </w:r>
      <w:r w:rsidR="00A7082F" w:rsidRPr="001401D1">
        <w:rPr>
          <w:noProof/>
        </w:rPr>
        <w:t>a</w:t>
      </w:r>
      <w:r w:rsidRPr="001401D1">
        <w:rPr>
          <w:noProof/>
        </w:rPr>
        <w:t>; Yancey et al., 2013)</w:t>
      </w:r>
      <w:r w:rsidRPr="001401D1">
        <w:t xml:space="preserve">. Brislin et al. (2019) also found that IMAGEN-Disinhibition, like ESI-Disinhibition, correlated significantly with reduced </w:t>
      </w:r>
      <w:r w:rsidRPr="001401D1">
        <w:lastRenderedPageBreak/>
        <w:t>cognitive-brain response. Our finding of a comparably high correlation for IMAGEN-Callousness with the ESI’s counterpart Callous-Aggression scale (</w:t>
      </w:r>
      <w:r w:rsidRPr="001401D1">
        <w:rPr>
          <w:i/>
          <w:iCs/>
        </w:rPr>
        <w:t>r</w:t>
      </w:r>
      <w:r w:rsidR="008D0AB9" w:rsidRPr="001401D1">
        <w:rPr>
          <w:i/>
          <w:iCs/>
        </w:rPr>
        <w:t xml:space="preserve"> </w:t>
      </w:r>
      <w:r w:rsidRPr="001401D1">
        <w:t>=</w:t>
      </w:r>
      <w:r w:rsidR="008D0AB9" w:rsidRPr="001401D1">
        <w:t xml:space="preserve"> </w:t>
      </w:r>
      <w:r w:rsidRPr="001401D1">
        <w:t xml:space="preserve">.73) suggests that it would likely share neurophysiological and behavioral correlates observed for this pre-existing callousness scale </w:t>
      </w:r>
      <w:r w:rsidRPr="001401D1">
        <w:rPr>
          <w:noProof/>
        </w:rPr>
        <w:t>(Brislin et al., 2018; Brislin &amp; Patrick, 2019; Palumbo et al., 2020)</w:t>
      </w:r>
      <w:r w:rsidRPr="001401D1">
        <w:t>. Therefore, although developed in the self-report modality, the IMAGEN-Callousness scale may serve as an effective operationalization of the underlying neurobehavioral trait of callousness.</w:t>
      </w:r>
    </w:p>
    <w:p w14:paraId="0520623D" w14:textId="77777777" w:rsidR="000707D8" w:rsidRPr="001401D1" w:rsidRDefault="000707D8" w:rsidP="000707D8">
      <w:pPr>
        <w:spacing w:line="480" w:lineRule="auto"/>
        <w:ind w:right="-216" w:firstLine="540"/>
      </w:pPr>
      <w:r w:rsidRPr="001401D1">
        <w:t xml:space="preserve">Neurobehavioral traits, including disinhibition and callousness, may hold distinct advantages for advancing etiological-developmental understanding of psychopathology. They are conceptualized as attributes that transcend particular assessment modalities and can be used to link together measures from brain and behavioral domains with report-based measures (e.g., questionnaire scores, clinician-generated ratings). Given their links to biological systems and measures, neurobehavioral traits — whether assessed via self-report, as in this case, or as a latent factor with indicators from multiple modalities — may prove more effective for indexing genetically based risk for psychopathology than conventional traits derived from experiential-report data alone (e.g., Five Factor Model traits; </w:t>
      </w:r>
      <w:r w:rsidRPr="001401D1">
        <w:rPr>
          <w:noProof/>
        </w:rPr>
        <w:t>Joyner et al., 2020; Venables et al., 2018b)</w:t>
      </w:r>
      <w:r w:rsidRPr="001401D1">
        <w:t xml:space="preserve">. If so, they would be more likely to meet definitional criteria as indices of liability. Continued research on neurobehavioral traits — including disinhibition and callousness — can also facilitate the discovery of neural systems and processes underlying dispositional risk for psychopathology </w:t>
      </w:r>
      <w:r w:rsidRPr="001401D1">
        <w:rPr>
          <w:noProof/>
        </w:rPr>
        <w:t>(Perkins et al., 2020b)</w:t>
      </w:r>
      <w:r w:rsidRPr="001401D1">
        <w:t>. Scale-development approaches similar to that employed in the current study will allow for this program of research to proceed in existing, large-scale datasets.</w:t>
      </w:r>
    </w:p>
    <w:p w14:paraId="466581BF" w14:textId="77777777" w:rsidR="000707D8" w:rsidRPr="001401D1" w:rsidRDefault="000707D8" w:rsidP="000707D8"/>
    <w:p w14:paraId="0749BC22" w14:textId="77777777" w:rsidR="000707D8" w:rsidRPr="001401D1" w:rsidRDefault="000707D8" w:rsidP="000707D8">
      <w:pPr>
        <w:spacing w:line="480" w:lineRule="auto"/>
        <w:rPr>
          <w:b/>
        </w:rPr>
      </w:pPr>
    </w:p>
    <w:p w14:paraId="41855214" w14:textId="77777777" w:rsidR="000707D8" w:rsidRPr="001401D1" w:rsidRDefault="000707D8">
      <w:pPr>
        <w:rPr>
          <w:rFonts w:eastAsia="Calibri"/>
          <w:iCs/>
        </w:rPr>
      </w:pPr>
      <w:r w:rsidRPr="001401D1">
        <w:rPr>
          <w:rFonts w:eastAsia="Calibri"/>
          <w:iCs/>
        </w:rPr>
        <w:br w:type="page"/>
      </w:r>
    </w:p>
    <w:p w14:paraId="7742FE9D" w14:textId="415DAB66" w:rsidR="0052361A" w:rsidRPr="001401D1" w:rsidRDefault="0052361A" w:rsidP="000515BB">
      <w:pPr>
        <w:spacing w:line="480" w:lineRule="auto"/>
        <w:jc w:val="center"/>
        <w:rPr>
          <w:b/>
        </w:rPr>
      </w:pPr>
      <w:r w:rsidRPr="001401D1">
        <w:rPr>
          <w:b/>
        </w:rPr>
        <w:lastRenderedPageBreak/>
        <w:t>Supplemental Method C:</w:t>
      </w:r>
    </w:p>
    <w:p w14:paraId="1F655743" w14:textId="618A32DB" w:rsidR="002C556E" w:rsidRPr="001401D1" w:rsidRDefault="0052361A" w:rsidP="000F0757">
      <w:pPr>
        <w:spacing w:line="480" w:lineRule="auto"/>
        <w:jc w:val="center"/>
        <w:rPr>
          <w:b/>
        </w:rPr>
      </w:pPr>
      <w:r w:rsidRPr="001401D1">
        <w:rPr>
          <w:b/>
        </w:rPr>
        <w:t>Characterization of Trait Scores and Externalizing Symptoms</w:t>
      </w:r>
      <w:r w:rsidR="002C556E" w:rsidRPr="001401D1">
        <w:rPr>
          <w:b/>
        </w:rPr>
        <w:t xml:space="preserve"> in the IMAGEN Sample</w:t>
      </w:r>
    </w:p>
    <w:p w14:paraId="6D997DF2" w14:textId="573968BC" w:rsidR="007C32CB" w:rsidRPr="001401D1" w:rsidRDefault="007C32CB" w:rsidP="000515BB">
      <w:pPr>
        <w:spacing w:line="480" w:lineRule="auto"/>
        <w:rPr>
          <w:b/>
          <w:bCs/>
          <w:shd w:val="clear" w:color="auto" w:fill="FFFFFF"/>
        </w:rPr>
      </w:pPr>
      <w:r w:rsidRPr="001401D1">
        <w:rPr>
          <w:b/>
          <w:bCs/>
          <w:shd w:val="clear" w:color="auto" w:fill="FFFFFF"/>
        </w:rPr>
        <w:t>Trait Scores</w:t>
      </w:r>
    </w:p>
    <w:p w14:paraId="6077396C" w14:textId="0F7DF129" w:rsidR="002C556E" w:rsidRPr="001401D1" w:rsidRDefault="002C556E" w:rsidP="000515BB">
      <w:pPr>
        <w:spacing w:line="480" w:lineRule="auto"/>
        <w:ind w:firstLine="720"/>
        <w:rPr>
          <w:shd w:val="clear" w:color="auto" w:fill="FFFFFF"/>
        </w:rPr>
      </w:pPr>
      <w:r w:rsidRPr="001401D1">
        <w:rPr>
          <w:shd w:val="clear" w:color="auto" w:fill="FFFFFF"/>
        </w:rPr>
        <w:t xml:space="preserve">The IMAGEN-Disinhibition and Callousness scales have not been administered as of yet to youth samples outside the IMAGEN project, limiting </w:t>
      </w:r>
      <w:r w:rsidR="007C32CB" w:rsidRPr="001401D1">
        <w:rPr>
          <w:shd w:val="clear" w:color="auto" w:fill="FFFFFF"/>
        </w:rPr>
        <w:t>the</w:t>
      </w:r>
      <w:r w:rsidRPr="001401D1">
        <w:rPr>
          <w:shd w:val="clear" w:color="auto" w:fill="FFFFFF"/>
        </w:rPr>
        <w:t xml:space="preserve"> ability to compare </w:t>
      </w:r>
      <w:r w:rsidR="007C32CB" w:rsidRPr="001401D1">
        <w:rPr>
          <w:shd w:val="clear" w:color="auto" w:fill="FFFFFF"/>
        </w:rPr>
        <w:t>IMAGEN participants’ levels of each trait</w:t>
      </w:r>
      <w:r w:rsidRPr="001401D1">
        <w:rPr>
          <w:shd w:val="clear" w:color="auto" w:fill="FFFFFF"/>
        </w:rPr>
        <w:t xml:space="preserve"> to other</w:t>
      </w:r>
      <w:r w:rsidR="007C32CB" w:rsidRPr="001401D1">
        <w:rPr>
          <w:shd w:val="clear" w:color="auto" w:fill="FFFFFF"/>
        </w:rPr>
        <w:t xml:space="preserve"> samples</w:t>
      </w:r>
      <w:r w:rsidRPr="001401D1">
        <w:rPr>
          <w:shd w:val="clear" w:color="auto" w:fill="FFFFFF"/>
        </w:rPr>
        <w:t xml:space="preserve">. </w:t>
      </w:r>
      <w:r w:rsidR="007C32CB" w:rsidRPr="001401D1">
        <w:rPr>
          <w:shd w:val="clear" w:color="auto" w:fill="FFFFFF"/>
        </w:rPr>
        <w:t>As an effort to characterize the distributions of these two traits in our sample, histograms for T1 and T2 scores are provided in Supplemental Figures B and C. Further, t</w:t>
      </w:r>
      <w:r w:rsidRPr="001401D1">
        <w:rPr>
          <w:shd w:val="clear" w:color="auto" w:fill="FFFFFF"/>
        </w:rPr>
        <w:t>o clarify the meaning of score elevations on each trait, we examined the percentage of items endorsed by high scorers. At T1, participants scoring at or above the 25th percentile on disinhibition endorsed (e.g., selected ‘somewhat true’ or higher on) an average of 59.0% of the items composing that scale, keyed in the direction of higher disinhibition. Similarly, at T2, participants scoring at or above the 25th percentile endorsed an average of 54.5% of disinhibition items. For callousness, those scoring at or above the 25th percentile endorsed an average of 47.1% of callousness items at T1 and 42.1% at T2. These statistics provide insight into the meaning of high disinhibition and callousness scores in this community adolescent sample (namely, endorsement of 50-60% of disinhibition items and 40-50% of callousness items, with all items keyed in the direction of higher trait scores).</w:t>
      </w:r>
    </w:p>
    <w:p w14:paraId="11B143AB" w14:textId="5815CC5B" w:rsidR="007C32CB" w:rsidRPr="001401D1" w:rsidRDefault="00A91DCA" w:rsidP="000515BB">
      <w:pPr>
        <w:spacing w:line="480" w:lineRule="auto"/>
        <w:rPr>
          <w:b/>
          <w:bCs/>
          <w:shd w:val="clear" w:color="auto" w:fill="FFFFFF"/>
        </w:rPr>
      </w:pPr>
      <w:r w:rsidRPr="001401D1">
        <w:rPr>
          <w:b/>
          <w:bCs/>
          <w:shd w:val="clear" w:color="auto" w:fill="FFFFFF"/>
        </w:rPr>
        <w:t>Externalizing Symptoms</w:t>
      </w:r>
    </w:p>
    <w:p w14:paraId="08076DE4" w14:textId="5397348C" w:rsidR="0052361A" w:rsidRPr="001401D1" w:rsidRDefault="0052361A" w:rsidP="000515BB">
      <w:pPr>
        <w:spacing w:line="480" w:lineRule="auto"/>
        <w:ind w:firstLine="720"/>
        <w:rPr>
          <w:shd w:val="clear" w:color="auto" w:fill="FFFFFF"/>
        </w:rPr>
      </w:pPr>
      <w:r w:rsidRPr="001401D1">
        <w:rPr>
          <w:shd w:val="clear" w:color="auto" w:fill="FFFFFF"/>
        </w:rPr>
        <w:t>About 3.4% of the T1 sample endorsed at least three of the 12 conduct disorder items included in our symptom count (i.e., full/threshold-level endorsement of at least three symptoms), and about 1.1% endorsed at least four. At T2, 5.6% endorsed at least three threshold symptoms and 2.3% endorsed four or more. Although the DAWBA items are not identical to those in DSM-IV</w:t>
      </w:r>
      <w:r w:rsidR="000515BB" w:rsidRPr="001401D1">
        <w:rPr>
          <w:shd w:val="clear" w:color="auto" w:fill="FFFFFF"/>
        </w:rPr>
        <w:t>/-5</w:t>
      </w:r>
      <w:r w:rsidRPr="001401D1">
        <w:rPr>
          <w:shd w:val="clear" w:color="auto" w:fill="FFFFFF"/>
        </w:rPr>
        <w:t xml:space="preserve">, and our symptom counts do not speak to impairment required for the categorical diagnosis, these statistics provide an estimate of the prevalence of diagnosable conduct disorder in our sample. Per prior epidemiological research in England (Maughan et al., 2004), the prevalence of conduct disorder </w:t>
      </w:r>
      <w:r w:rsidRPr="001401D1">
        <w:rPr>
          <w:shd w:val="clear" w:color="auto" w:fill="FFFFFF"/>
        </w:rPr>
        <w:lastRenderedPageBreak/>
        <w:t>is about 3.3% at age 14, suggesting that our sample endorsed symptoms at a level typical of community adolescents.</w:t>
      </w:r>
    </w:p>
    <w:p w14:paraId="200F6673" w14:textId="39AD976E" w:rsidR="0052361A" w:rsidRPr="001401D1" w:rsidRDefault="0052361A" w:rsidP="000515BB">
      <w:pPr>
        <w:spacing w:line="480" w:lineRule="auto"/>
        <w:ind w:firstLine="720"/>
        <w:rPr>
          <w:shd w:val="clear" w:color="auto" w:fill="FFFFFF"/>
        </w:rPr>
      </w:pPr>
      <w:r w:rsidRPr="001401D1">
        <w:rPr>
          <w:shd w:val="clear" w:color="auto" w:fill="FFFFFF"/>
        </w:rPr>
        <w:t>Regarding ADHD, given the limited coverage of relevant symptoms in the DAWBA, we considered adolescents to be diagnosable with ADHD if they reported that both their parents and their teachers had expressed concerned about their hyperactivity/inattention, with at least one expressing “a lot” of concern. This was an attempt to approximate the DSM-</w:t>
      </w:r>
      <w:r w:rsidR="00A91DCA" w:rsidRPr="001401D1">
        <w:rPr>
          <w:shd w:val="clear" w:color="auto" w:fill="FFFFFF"/>
        </w:rPr>
        <w:t>IV</w:t>
      </w:r>
      <w:r w:rsidR="000515BB" w:rsidRPr="001401D1">
        <w:rPr>
          <w:shd w:val="clear" w:color="auto" w:fill="FFFFFF"/>
        </w:rPr>
        <w:t>/-5</w:t>
      </w:r>
      <w:r w:rsidRPr="001401D1">
        <w:rPr>
          <w:shd w:val="clear" w:color="auto" w:fill="FFFFFF"/>
        </w:rPr>
        <w:t xml:space="preserve"> criterion of impairment in 2+ settings. Using this metric, 5.1% of the T1 sample and 4.0% of the T2 sample would be diagnosed with ADHD. Prevalence rates for ADHD in Germany and worldwide are about 5% (Huss et al., 2008; Polanczyk et al., 2007), suggesting that our sample showed approximately typical levels of this diagnosis. </w:t>
      </w:r>
    </w:p>
    <w:p w14:paraId="09D9FA1C" w14:textId="59E2EAED" w:rsidR="0052361A" w:rsidRPr="001401D1" w:rsidRDefault="0052361A" w:rsidP="000515BB">
      <w:pPr>
        <w:spacing w:line="480" w:lineRule="auto"/>
        <w:ind w:firstLine="720"/>
        <w:rPr>
          <w:shd w:val="clear" w:color="auto" w:fill="FFFFFF"/>
        </w:rPr>
      </w:pPr>
      <w:r w:rsidRPr="001401D1">
        <w:rPr>
          <w:shd w:val="clear" w:color="auto" w:fill="FFFFFF"/>
        </w:rPr>
        <w:t xml:space="preserve">Finally, the AUDIT provides established clinical cutoffs for hazardous/harmful consumption of alcohol and diagnosable alcohol use disorder. Using these cutoffs, 4.2% of participants reported hazardous/harmful consumption at T1, and 0.5% of the sample met criteria for moderate-to-severe alcohol use disorder. At T2, 16.7% reported hazardous/harmful consumption, and 2.1% met criteria for moderate-to-severe alcohol use disorder. The results are roughly comparable to previous epidemiological research with European adolescents, of whom 5.9% engaged in frequent drinking (5+ occasions in the last month) at age 15 and 12.1% at age 16 (Soellner et al., 2014), with “heavy episodic drinking” </w:t>
      </w:r>
      <w:r w:rsidR="003D7D31" w:rsidRPr="001401D1">
        <w:rPr>
          <w:shd w:val="clear" w:color="auto" w:fill="FFFFFF"/>
        </w:rPr>
        <w:t xml:space="preserve">(binge-drinking) </w:t>
      </w:r>
      <w:r w:rsidRPr="001401D1">
        <w:rPr>
          <w:shd w:val="clear" w:color="auto" w:fill="FFFFFF"/>
        </w:rPr>
        <w:t>occurring among 2.5% of all adolescents (ages 12 to 16; Bräker et al., 2015).</w:t>
      </w:r>
    </w:p>
    <w:p w14:paraId="0A5CBDB8" w14:textId="19BCF927" w:rsidR="0052361A" w:rsidRPr="001401D1" w:rsidRDefault="0052361A" w:rsidP="000515BB">
      <w:pPr>
        <w:tabs>
          <w:tab w:val="left" w:pos="360"/>
        </w:tabs>
        <w:spacing w:line="480" w:lineRule="auto"/>
        <w:rPr>
          <w:shd w:val="clear" w:color="auto" w:fill="FFFFFF"/>
        </w:rPr>
      </w:pPr>
      <w:r w:rsidRPr="001401D1">
        <w:rPr>
          <w:shd w:val="clear" w:color="auto" w:fill="FFFFFF"/>
        </w:rPr>
        <w:tab/>
        <w:t xml:space="preserve"> </w:t>
      </w:r>
    </w:p>
    <w:p w14:paraId="31D8B91C" w14:textId="77777777" w:rsidR="0052361A" w:rsidRPr="001401D1" w:rsidRDefault="0052361A" w:rsidP="000515BB">
      <w:pPr>
        <w:spacing w:line="480" w:lineRule="auto"/>
        <w:rPr>
          <w:bCs/>
        </w:rPr>
      </w:pPr>
    </w:p>
    <w:p w14:paraId="7ACD14C2" w14:textId="28A25927" w:rsidR="0052361A" w:rsidRPr="001401D1" w:rsidRDefault="0052361A">
      <w:pPr>
        <w:rPr>
          <w:b/>
        </w:rPr>
      </w:pPr>
      <w:r w:rsidRPr="001401D1">
        <w:rPr>
          <w:b/>
        </w:rPr>
        <w:br w:type="page"/>
      </w:r>
    </w:p>
    <w:p w14:paraId="22CB9399" w14:textId="6485C46A" w:rsidR="00016D42" w:rsidRPr="001401D1" w:rsidRDefault="00016D42" w:rsidP="00016D42">
      <w:pPr>
        <w:spacing w:line="480" w:lineRule="auto"/>
        <w:jc w:val="center"/>
        <w:rPr>
          <w:b/>
        </w:rPr>
      </w:pPr>
      <w:r w:rsidRPr="001401D1">
        <w:rPr>
          <w:b/>
        </w:rPr>
        <w:lastRenderedPageBreak/>
        <w:t>Supplemental Results:</w:t>
      </w:r>
    </w:p>
    <w:p w14:paraId="4A303F29" w14:textId="233CB942" w:rsidR="00016D42" w:rsidRPr="001401D1" w:rsidRDefault="00016D42" w:rsidP="00016D42">
      <w:pPr>
        <w:spacing w:line="480" w:lineRule="auto"/>
        <w:jc w:val="center"/>
        <w:rPr>
          <w:b/>
        </w:rPr>
      </w:pPr>
      <w:r w:rsidRPr="001401D1">
        <w:rPr>
          <w:b/>
        </w:rPr>
        <w:t>Analyses of Rule-Breaking and Aggressive Subfactors of Conduct Disorder</w:t>
      </w:r>
      <w:r w:rsidR="00F741E0" w:rsidRPr="001401D1">
        <w:rPr>
          <w:b/>
        </w:rPr>
        <w:t xml:space="preserve"> Symptoms</w:t>
      </w:r>
    </w:p>
    <w:p w14:paraId="6C20FCEC" w14:textId="0BC906E6" w:rsidR="00F31C1D" w:rsidRPr="001401D1" w:rsidRDefault="00016D42" w:rsidP="00016D42">
      <w:pPr>
        <w:spacing w:line="480" w:lineRule="auto"/>
        <w:rPr>
          <w:bCs/>
          <w:iCs/>
        </w:rPr>
      </w:pPr>
      <w:r w:rsidRPr="001401D1">
        <w:rPr>
          <w:b/>
        </w:rPr>
        <w:tab/>
      </w:r>
      <w:r w:rsidR="00F80DF2" w:rsidRPr="001401D1">
        <w:rPr>
          <w:bCs/>
        </w:rPr>
        <w:t>Conduct disorder symptoms are often</w:t>
      </w:r>
      <w:r w:rsidR="00705454" w:rsidRPr="001401D1">
        <w:rPr>
          <w:bCs/>
        </w:rPr>
        <w:t xml:space="preserve"> grouped into subdimensions of rule-breaking and aggressive behaviors</w:t>
      </w:r>
      <w:r w:rsidR="002B09AB" w:rsidRPr="001401D1">
        <w:rPr>
          <w:bCs/>
        </w:rPr>
        <w:t xml:space="preserve">, which show </w:t>
      </w:r>
      <w:r w:rsidR="000D745E" w:rsidRPr="001401D1">
        <w:rPr>
          <w:bCs/>
        </w:rPr>
        <w:t>distinct</w:t>
      </w:r>
      <w:r w:rsidR="002B09AB" w:rsidRPr="001401D1">
        <w:rPr>
          <w:bCs/>
        </w:rPr>
        <w:t xml:space="preserve"> etiologi</w:t>
      </w:r>
      <w:r w:rsidR="000D745E" w:rsidRPr="001401D1">
        <w:rPr>
          <w:bCs/>
        </w:rPr>
        <w:t>cal influences</w:t>
      </w:r>
      <w:r w:rsidR="002B09AB" w:rsidRPr="001401D1">
        <w:rPr>
          <w:bCs/>
        </w:rPr>
        <w:t xml:space="preserve"> and developmental courses</w:t>
      </w:r>
      <w:r w:rsidR="00705454" w:rsidRPr="001401D1">
        <w:rPr>
          <w:bCs/>
        </w:rPr>
        <w:t xml:space="preserve"> (for a review, see Burt, 2012).</w:t>
      </w:r>
      <w:r w:rsidR="002B09AB" w:rsidRPr="001401D1">
        <w:rPr>
          <w:bCs/>
        </w:rPr>
        <w:t xml:space="preserve"> Supplemental analyses were undertaken to better understand </w:t>
      </w:r>
      <w:r w:rsidR="00F31C1D" w:rsidRPr="001401D1">
        <w:rPr>
          <w:bCs/>
        </w:rPr>
        <w:t>these subdimensions in the context of this study</w:t>
      </w:r>
      <w:r w:rsidR="00D9596B" w:rsidRPr="001401D1">
        <w:rPr>
          <w:bCs/>
        </w:rPr>
        <w:t>. S</w:t>
      </w:r>
      <w:r w:rsidR="00F31C1D" w:rsidRPr="001401D1">
        <w:rPr>
          <w:bCs/>
        </w:rPr>
        <w:t xml:space="preserve">ee Supplemental Table </w:t>
      </w:r>
      <w:r w:rsidR="00647651" w:rsidRPr="001401D1">
        <w:rPr>
          <w:bCs/>
        </w:rPr>
        <w:t>B</w:t>
      </w:r>
      <w:r w:rsidR="00F31C1D" w:rsidRPr="001401D1">
        <w:rPr>
          <w:bCs/>
        </w:rPr>
        <w:t xml:space="preserve"> for specific items comprising each subdimension.</w:t>
      </w:r>
      <w:r w:rsidR="00D9596B" w:rsidRPr="001401D1">
        <w:rPr>
          <w:bCs/>
        </w:rPr>
        <w:t xml:space="preserve"> </w:t>
      </w:r>
      <w:r w:rsidR="00F3523C" w:rsidRPr="001401D1">
        <w:rPr>
          <w:bCs/>
        </w:rPr>
        <w:t>Both subdimensions were</w:t>
      </w:r>
      <w:r w:rsidR="00D5664E" w:rsidRPr="001401D1">
        <w:rPr>
          <w:bCs/>
        </w:rPr>
        <w:t xml:space="preserve"> moderately stable from ages 14 to 16, </w:t>
      </w:r>
      <w:r w:rsidR="00D5664E" w:rsidRPr="001401D1">
        <w:rPr>
          <w:i/>
          <w:shd w:val="clear" w:color="auto" w:fill="FFFFFF"/>
        </w:rPr>
        <w:t>ϱ</w:t>
      </w:r>
      <w:r w:rsidR="00D5664E" w:rsidRPr="001401D1">
        <w:rPr>
          <w:iCs/>
          <w:shd w:val="clear" w:color="auto" w:fill="FFFFFF"/>
        </w:rPr>
        <w:t>s</w:t>
      </w:r>
      <w:r w:rsidR="008D0AB9" w:rsidRPr="001401D1">
        <w:rPr>
          <w:iCs/>
          <w:shd w:val="clear" w:color="auto" w:fill="FFFFFF"/>
        </w:rPr>
        <w:t xml:space="preserve"> </w:t>
      </w:r>
      <w:r w:rsidR="00290A39" w:rsidRPr="001401D1">
        <w:rPr>
          <w:i/>
          <w:shd w:val="clear" w:color="auto" w:fill="FFFFFF"/>
        </w:rPr>
        <w:t>=</w:t>
      </w:r>
      <w:r w:rsidR="008D0AB9" w:rsidRPr="001401D1">
        <w:rPr>
          <w:i/>
          <w:shd w:val="clear" w:color="auto" w:fill="FFFFFF"/>
        </w:rPr>
        <w:t xml:space="preserve"> </w:t>
      </w:r>
      <w:r w:rsidR="00D5664E" w:rsidRPr="001401D1">
        <w:rPr>
          <w:iCs/>
          <w:shd w:val="clear" w:color="auto" w:fill="FFFFFF"/>
        </w:rPr>
        <w:t xml:space="preserve">.38 for rule-breaking and .25 for aggression, </w:t>
      </w:r>
      <w:r w:rsidR="00D5664E" w:rsidRPr="001401D1">
        <w:rPr>
          <w:i/>
          <w:shd w:val="clear" w:color="auto" w:fill="FFFFFF"/>
        </w:rPr>
        <w:t>p</w:t>
      </w:r>
      <w:r w:rsidR="00D5664E" w:rsidRPr="001401D1">
        <w:rPr>
          <w:iCs/>
          <w:shd w:val="clear" w:color="auto" w:fill="FFFFFF"/>
        </w:rPr>
        <w:t>s</w:t>
      </w:r>
      <w:r w:rsidR="008D0AB9" w:rsidRPr="001401D1">
        <w:rPr>
          <w:iCs/>
          <w:shd w:val="clear" w:color="auto" w:fill="FFFFFF"/>
        </w:rPr>
        <w:t xml:space="preserve"> &lt; </w:t>
      </w:r>
      <w:r w:rsidR="00D5664E" w:rsidRPr="001401D1">
        <w:rPr>
          <w:iCs/>
          <w:shd w:val="clear" w:color="auto" w:fill="FFFFFF"/>
        </w:rPr>
        <w:t>.001.</w:t>
      </w:r>
      <w:r w:rsidR="00F3523C" w:rsidRPr="001401D1">
        <w:rPr>
          <w:bCs/>
          <w:iCs/>
        </w:rPr>
        <w:t xml:space="preserve"> </w:t>
      </w:r>
      <w:r w:rsidR="00D9596B" w:rsidRPr="001401D1">
        <w:rPr>
          <w:bCs/>
        </w:rPr>
        <w:t xml:space="preserve">At each time point, the subdimensions were moderately intercorrelated, </w:t>
      </w:r>
      <w:r w:rsidR="00D9596B" w:rsidRPr="001401D1">
        <w:rPr>
          <w:i/>
          <w:shd w:val="clear" w:color="auto" w:fill="FFFFFF"/>
        </w:rPr>
        <w:t>ϱ</w:t>
      </w:r>
      <w:r w:rsidR="00D9596B" w:rsidRPr="001401D1">
        <w:rPr>
          <w:iCs/>
          <w:shd w:val="clear" w:color="auto" w:fill="FFFFFF"/>
        </w:rPr>
        <w:t>s</w:t>
      </w:r>
      <w:r w:rsidR="008D0AB9" w:rsidRPr="001401D1">
        <w:rPr>
          <w:i/>
          <w:shd w:val="clear" w:color="auto" w:fill="FFFFFF"/>
        </w:rPr>
        <w:t xml:space="preserve"> = </w:t>
      </w:r>
      <w:r w:rsidR="00D9596B" w:rsidRPr="001401D1">
        <w:rPr>
          <w:iCs/>
          <w:shd w:val="clear" w:color="auto" w:fill="FFFFFF"/>
        </w:rPr>
        <w:t xml:space="preserve">.34 at age 14 (T1) and .29 at age 16 (T2), </w:t>
      </w:r>
      <w:r w:rsidR="00D9596B" w:rsidRPr="001401D1">
        <w:rPr>
          <w:i/>
          <w:shd w:val="clear" w:color="auto" w:fill="FFFFFF"/>
        </w:rPr>
        <w:t>p</w:t>
      </w:r>
      <w:r w:rsidR="00D9596B" w:rsidRPr="001401D1">
        <w:rPr>
          <w:iCs/>
          <w:shd w:val="clear" w:color="auto" w:fill="FFFFFF"/>
        </w:rPr>
        <w:t>s</w:t>
      </w:r>
      <w:r w:rsidR="008D0AB9" w:rsidRPr="001401D1">
        <w:rPr>
          <w:iCs/>
          <w:shd w:val="clear" w:color="auto" w:fill="FFFFFF"/>
        </w:rPr>
        <w:t xml:space="preserve"> &lt; </w:t>
      </w:r>
      <w:r w:rsidR="00D9596B" w:rsidRPr="001401D1">
        <w:rPr>
          <w:iCs/>
          <w:shd w:val="clear" w:color="auto" w:fill="FFFFFF"/>
        </w:rPr>
        <w:t>.001</w:t>
      </w:r>
      <w:r w:rsidR="00F3523C" w:rsidRPr="001401D1">
        <w:rPr>
          <w:iCs/>
          <w:shd w:val="clear" w:color="auto" w:fill="FFFFFF"/>
        </w:rPr>
        <w:t xml:space="preserve">. Both stability </w:t>
      </w:r>
      <w:r w:rsidR="00676427" w:rsidRPr="001401D1">
        <w:rPr>
          <w:iCs/>
          <w:shd w:val="clear" w:color="auto" w:fill="FFFFFF"/>
        </w:rPr>
        <w:t xml:space="preserve">estimates </w:t>
      </w:r>
      <w:r w:rsidR="00F3523C" w:rsidRPr="001401D1">
        <w:rPr>
          <w:iCs/>
          <w:shd w:val="clear" w:color="auto" w:fill="FFFFFF"/>
        </w:rPr>
        <w:t>and intercorrelat</w:t>
      </w:r>
      <w:r w:rsidR="00676427" w:rsidRPr="001401D1">
        <w:rPr>
          <w:iCs/>
          <w:shd w:val="clear" w:color="auto" w:fill="FFFFFF"/>
        </w:rPr>
        <w:t>ions</w:t>
      </w:r>
      <w:r w:rsidR="00F3523C" w:rsidRPr="001401D1">
        <w:rPr>
          <w:iCs/>
          <w:shd w:val="clear" w:color="auto" w:fill="FFFFFF"/>
        </w:rPr>
        <w:t xml:space="preserve"> </w:t>
      </w:r>
      <w:r w:rsidR="00676427" w:rsidRPr="001401D1">
        <w:rPr>
          <w:iCs/>
          <w:shd w:val="clear" w:color="auto" w:fill="FFFFFF"/>
        </w:rPr>
        <w:t xml:space="preserve">were </w:t>
      </w:r>
      <w:r w:rsidR="008D3DD5" w:rsidRPr="001401D1">
        <w:rPr>
          <w:iCs/>
          <w:shd w:val="clear" w:color="auto" w:fill="FFFFFF"/>
        </w:rPr>
        <w:t xml:space="preserve">somewhat </w:t>
      </w:r>
      <w:r w:rsidR="00676427" w:rsidRPr="001401D1">
        <w:rPr>
          <w:iCs/>
          <w:shd w:val="clear" w:color="auto" w:fill="FFFFFF"/>
        </w:rPr>
        <w:t>lower than</w:t>
      </w:r>
      <w:r w:rsidR="00F3523C" w:rsidRPr="001401D1">
        <w:rPr>
          <w:iCs/>
          <w:shd w:val="clear" w:color="auto" w:fill="FFFFFF"/>
        </w:rPr>
        <w:t xml:space="preserve"> in </w:t>
      </w:r>
      <w:r w:rsidR="00676427" w:rsidRPr="001401D1">
        <w:rPr>
          <w:iCs/>
          <w:shd w:val="clear" w:color="auto" w:fill="FFFFFF"/>
        </w:rPr>
        <w:t xml:space="preserve">most </w:t>
      </w:r>
      <w:r w:rsidR="00F3523C" w:rsidRPr="001401D1">
        <w:rPr>
          <w:iCs/>
          <w:shd w:val="clear" w:color="auto" w:fill="FFFFFF"/>
        </w:rPr>
        <w:t>prior work (Burt, 2012)</w:t>
      </w:r>
      <w:r w:rsidR="00D9596B" w:rsidRPr="001401D1">
        <w:rPr>
          <w:iCs/>
          <w:shd w:val="clear" w:color="auto" w:fill="FFFFFF"/>
        </w:rPr>
        <w:t>.</w:t>
      </w:r>
    </w:p>
    <w:p w14:paraId="43DE344B" w14:textId="2FE25666" w:rsidR="00152EA8" w:rsidRPr="001401D1" w:rsidRDefault="002B09AB" w:rsidP="00676427">
      <w:pPr>
        <w:spacing w:line="480" w:lineRule="auto"/>
        <w:ind w:firstLine="720"/>
        <w:rPr>
          <w:bCs/>
        </w:rPr>
      </w:pPr>
      <w:r w:rsidRPr="001401D1">
        <w:rPr>
          <w:bCs/>
        </w:rPr>
        <w:t xml:space="preserve">All models paralleled those conducted for the main conduct disorder </w:t>
      </w:r>
      <w:r w:rsidR="00F741E0" w:rsidRPr="001401D1">
        <w:rPr>
          <w:bCs/>
        </w:rPr>
        <w:t xml:space="preserve">symptom count </w:t>
      </w:r>
      <w:r w:rsidRPr="001401D1">
        <w:rPr>
          <w:bCs/>
        </w:rPr>
        <w:t>analyses, with only rule-breaking or only aggressive symptoms included as outcomes</w:t>
      </w:r>
      <w:r w:rsidR="00F31C1D" w:rsidRPr="001401D1">
        <w:rPr>
          <w:bCs/>
        </w:rPr>
        <w:t>.</w:t>
      </w:r>
      <w:r w:rsidRPr="001401D1">
        <w:rPr>
          <w:bCs/>
        </w:rPr>
        <w:t xml:space="preserve"> </w:t>
      </w:r>
      <w:r w:rsidR="00F31C1D" w:rsidRPr="001401D1">
        <w:rPr>
          <w:bCs/>
        </w:rPr>
        <w:t xml:space="preserve">Spearman’s </w:t>
      </w:r>
      <w:r w:rsidR="00F31C1D" w:rsidRPr="001401D1">
        <w:rPr>
          <w:i/>
          <w:shd w:val="clear" w:color="auto" w:fill="FFFFFF"/>
        </w:rPr>
        <w:t xml:space="preserve">ϱ </w:t>
      </w:r>
      <w:r w:rsidR="00F31C1D" w:rsidRPr="001401D1">
        <w:rPr>
          <w:iCs/>
          <w:shd w:val="clear" w:color="auto" w:fill="FFFFFF"/>
        </w:rPr>
        <w:t xml:space="preserve">was used to quantify zero-order correlations among disinhibition, callousness, rule-breaking, and aggression. In the negative binomial regression models, </w:t>
      </w:r>
      <w:r w:rsidR="00F31C1D" w:rsidRPr="001401D1">
        <w:rPr>
          <w:bCs/>
        </w:rPr>
        <w:t>d</w:t>
      </w:r>
      <w:r w:rsidRPr="001401D1">
        <w:rPr>
          <w:bCs/>
        </w:rPr>
        <w:t>isinhibition, callousness, age, sex, and assessment site were entered as predictors of each outcome.</w:t>
      </w:r>
      <w:r w:rsidR="00A41D18" w:rsidRPr="001401D1">
        <w:rPr>
          <w:bCs/>
        </w:rPr>
        <w:t xml:space="preserve"> </w:t>
      </w:r>
      <w:r w:rsidR="0021039E" w:rsidRPr="001401D1">
        <w:t xml:space="preserve">The </w:t>
      </w:r>
      <w:r w:rsidR="0021039E" w:rsidRPr="001401D1">
        <w:rPr>
          <w:i/>
          <w:iCs/>
        </w:rPr>
        <w:t>p</w:t>
      </w:r>
      <w:r w:rsidR="0021039E" w:rsidRPr="001401D1">
        <w:t xml:space="preserve">-values from all regression models were adjusted using Holm’s step-down procedure (Holm, 1979), treating rule-breaking and aggressive models as the same family of tests; these adjusted values are denoted by </w:t>
      </w:r>
      <w:r w:rsidR="0021039E" w:rsidRPr="001401D1">
        <w:rPr>
          <w:i/>
          <w:iCs/>
        </w:rPr>
        <w:t>p</w:t>
      </w:r>
      <w:r w:rsidR="0021039E" w:rsidRPr="001401D1">
        <w:rPr>
          <w:vertAlign w:val="subscript"/>
        </w:rPr>
        <w:t>H</w:t>
      </w:r>
      <w:r w:rsidR="0021039E" w:rsidRPr="001401D1">
        <w:t xml:space="preserve">. </w:t>
      </w:r>
      <w:r w:rsidR="00A41D18" w:rsidRPr="001401D1">
        <w:rPr>
          <w:bCs/>
        </w:rPr>
        <w:t xml:space="preserve">See Supplemental Figures </w:t>
      </w:r>
      <w:r w:rsidR="00647651" w:rsidRPr="001401D1">
        <w:rPr>
          <w:bCs/>
        </w:rPr>
        <w:t>D</w:t>
      </w:r>
      <w:r w:rsidR="00A41D18" w:rsidRPr="001401D1">
        <w:rPr>
          <w:bCs/>
        </w:rPr>
        <w:t xml:space="preserve"> and </w:t>
      </w:r>
      <w:r w:rsidR="00647651" w:rsidRPr="001401D1">
        <w:rPr>
          <w:bCs/>
        </w:rPr>
        <w:t>E</w:t>
      </w:r>
      <w:r w:rsidR="00A41D18" w:rsidRPr="001401D1">
        <w:rPr>
          <w:bCs/>
        </w:rPr>
        <w:t xml:space="preserve"> for visual representations of regression results for rule-breaking and aggression, respectively.</w:t>
      </w:r>
    </w:p>
    <w:p w14:paraId="6634F20E" w14:textId="123A824F" w:rsidR="00016D42" w:rsidRPr="001401D1" w:rsidRDefault="00016D42" w:rsidP="000D745E">
      <w:pPr>
        <w:spacing w:line="480" w:lineRule="auto"/>
        <w:ind w:firstLine="720"/>
        <w:rPr>
          <w:iCs/>
        </w:rPr>
      </w:pPr>
      <w:r w:rsidRPr="001401D1">
        <w:rPr>
          <w:b/>
          <w:iCs/>
        </w:rPr>
        <w:t>Age 14 (T1).</w:t>
      </w:r>
      <w:r w:rsidRPr="001401D1">
        <w:rPr>
          <w:iCs/>
        </w:rPr>
        <w:t xml:space="preserve"> At the zero-order level, </w:t>
      </w:r>
      <w:r w:rsidR="00676427" w:rsidRPr="001401D1">
        <w:rPr>
          <w:iCs/>
        </w:rPr>
        <w:t>disinhibition was related to both rule-breaking (</w:t>
      </w:r>
      <w:r w:rsidR="00676427" w:rsidRPr="001401D1">
        <w:rPr>
          <w:i/>
          <w:shd w:val="clear" w:color="auto" w:fill="FFFFFF"/>
        </w:rPr>
        <w:t>ϱ</w:t>
      </w:r>
      <w:r w:rsidR="008D0AB9" w:rsidRPr="001401D1">
        <w:rPr>
          <w:i/>
          <w:shd w:val="clear" w:color="auto" w:fill="FFFFFF"/>
        </w:rPr>
        <w:t xml:space="preserve"> = </w:t>
      </w:r>
      <w:r w:rsidR="00676427" w:rsidRPr="001401D1">
        <w:rPr>
          <w:iCs/>
          <w:shd w:val="clear" w:color="auto" w:fill="FFFFFF"/>
        </w:rPr>
        <w:t>.40) and aggressive symptoms</w:t>
      </w:r>
      <w:r w:rsidR="00676427" w:rsidRPr="001401D1">
        <w:rPr>
          <w:iCs/>
        </w:rPr>
        <w:t xml:space="preserve"> (</w:t>
      </w:r>
      <w:r w:rsidR="00676427" w:rsidRPr="001401D1">
        <w:rPr>
          <w:i/>
          <w:shd w:val="clear" w:color="auto" w:fill="FFFFFF"/>
        </w:rPr>
        <w:t>ϱ</w:t>
      </w:r>
      <w:r w:rsidR="008D0AB9" w:rsidRPr="001401D1">
        <w:rPr>
          <w:i/>
          <w:shd w:val="clear" w:color="auto" w:fill="FFFFFF"/>
        </w:rPr>
        <w:t xml:space="preserve"> = </w:t>
      </w:r>
      <w:r w:rsidR="00676427" w:rsidRPr="001401D1">
        <w:rPr>
          <w:iCs/>
          <w:shd w:val="clear" w:color="auto" w:fill="FFFFFF"/>
        </w:rPr>
        <w:t xml:space="preserve">.31, both </w:t>
      </w:r>
      <w:r w:rsidR="00676427" w:rsidRPr="001401D1">
        <w:rPr>
          <w:i/>
          <w:shd w:val="clear" w:color="auto" w:fill="FFFFFF"/>
        </w:rPr>
        <w:t>p</w:t>
      </w:r>
      <w:r w:rsidR="008D0AB9" w:rsidRPr="001401D1">
        <w:rPr>
          <w:iCs/>
          <w:shd w:val="clear" w:color="auto" w:fill="FFFFFF"/>
        </w:rPr>
        <w:t xml:space="preserve"> &lt; </w:t>
      </w:r>
      <w:r w:rsidR="00676427" w:rsidRPr="001401D1">
        <w:rPr>
          <w:iCs/>
          <w:shd w:val="clear" w:color="auto" w:fill="FFFFFF"/>
        </w:rPr>
        <w:t xml:space="preserve">.001) at T1. Callousness was also correlated with each subdimension </w:t>
      </w:r>
      <w:r w:rsidR="00676427" w:rsidRPr="001401D1">
        <w:rPr>
          <w:iCs/>
        </w:rPr>
        <w:t>(</w:t>
      </w:r>
      <w:r w:rsidR="00676427" w:rsidRPr="001401D1">
        <w:rPr>
          <w:i/>
          <w:shd w:val="clear" w:color="auto" w:fill="FFFFFF"/>
        </w:rPr>
        <w:t>ϱ</w:t>
      </w:r>
      <w:r w:rsidR="00676427" w:rsidRPr="001401D1">
        <w:rPr>
          <w:iCs/>
          <w:shd w:val="clear" w:color="auto" w:fill="FFFFFF"/>
        </w:rPr>
        <w:t>s</w:t>
      </w:r>
      <w:r w:rsidR="008D0AB9" w:rsidRPr="001401D1">
        <w:rPr>
          <w:i/>
          <w:shd w:val="clear" w:color="auto" w:fill="FFFFFF"/>
        </w:rPr>
        <w:t xml:space="preserve"> = </w:t>
      </w:r>
      <w:r w:rsidR="00676427" w:rsidRPr="001401D1">
        <w:rPr>
          <w:iCs/>
          <w:shd w:val="clear" w:color="auto" w:fill="FFFFFF"/>
        </w:rPr>
        <w:t xml:space="preserve">.30 for rule-breaking and .19 for aggression, respectively, </w:t>
      </w:r>
      <w:r w:rsidR="00676427" w:rsidRPr="001401D1">
        <w:rPr>
          <w:i/>
          <w:shd w:val="clear" w:color="auto" w:fill="FFFFFF"/>
        </w:rPr>
        <w:t>p</w:t>
      </w:r>
      <w:r w:rsidR="00676427" w:rsidRPr="001401D1">
        <w:rPr>
          <w:iCs/>
          <w:shd w:val="clear" w:color="auto" w:fill="FFFFFF"/>
        </w:rPr>
        <w:t>s</w:t>
      </w:r>
      <w:r w:rsidR="008D0AB9" w:rsidRPr="001401D1">
        <w:rPr>
          <w:iCs/>
          <w:shd w:val="clear" w:color="auto" w:fill="FFFFFF"/>
        </w:rPr>
        <w:t xml:space="preserve"> &lt; </w:t>
      </w:r>
      <w:r w:rsidR="00676427" w:rsidRPr="001401D1">
        <w:rPr>
          <w:iCs/>
          <w:shd w:val="clear" w:color="auto" w:fill="FFFFFF"/>
        </w:rPr>
        <w:t>.001).</w:t>
      </w:r>
      <w:r w:rsidR="000D745E" w:rsidRPr="001401D1">
        <w:rPr>
          <w:iCs/>
        </w:rPr>
        <w:t xml:space="preserve"> </w:t>
      </w:r>
      <w:r w:rsidRPr="001401D1">
        <w:rPr>
          <w:shd w:val="clear" w:color="auto" w:fill="FFFFFF"/>
        </w:rPr>
        <w:t xml:space="preserve">In the negative binomial regression model, the two traits were independently related to </w:t>
      </w:r>
      <w:r w:rsidR="0085430D" w:rsidRPr="001401D1">
        <w:rPr>
          <w:shd w:val="clear" w:color="auto" w:fill="FFFFFF"/>
        </w:rPr>
        <w:t>both rule-breaking and aggressive</w:t>
      </w:r>
      <w:r w:rsidRPr="001401D1">
        <w:rPr>
          <w:shd w:val="clear" w:color="auto" w:fill="FFFFFF"/>
        </w:rPr>
        <w:t xml:space="preserve"> symptoms, over and above the effects of age, sex, and assessment site. The incidence rate ratios (IRRs) with 95% confidence intervals (CIs) for disinhibition and callousness</w:t>
      </w:r>
      <w:r w:rsidR="0085430D" w:rsidRPr="001401D1">
        <w:rPr>
          <w:shd w:val="clear" w:color="auto" w:fill="FFFFFF"/>
        </w:rPr>
        <w:t xml:space="preserve"> with rule-</w:t>
      </w:r>
      <w:r w:rsidR="0085430D" w:rsidRPr="001401D1">
        <w:rPr>
          <w:shd w:val="clear" w:color="auto" w:fill="FFFFFF"/>
        </w:rPr>
        <w:lastRenderedPageBreak/>
        <w:t>breaking</w:t>
      </w:r>
      <w:r w:rsidRPr="001401D1">
        <w:rPr>
          <w:shd w:val="clear" w:color="auto" w:fill="FFFFFF"/>
        </w:rPr>
        <w:t xml:space="preserve"> were 1.</w:t>
      </w:r>
      <w:r w:rsidR="0085430D" w:rsidRPr="001401D1">
        <w:rPr>
          <w:shd w:val="clear" w:color="auto" w:fill="FFFFFF"/>
        </w:rPr>
        <w:t>54</w:t>
      </w:r>
      <w:r w:rsidRPr="001401D1">
        <w:rPr>
          <w:shd w:val="clear" w:color="auto" w:fill="FFFFFF"/>
        </w:rPr>
        <w:t xml:space="preserve"> [1.</w:t>
      </w:r>
      <w:r w:rsidR="0085430D" w:rsidRPr="001401D1">
        <w:rPr>
          <w:shd w:val="clear" w:color="auto" w:fill="FFFFFF"/>
        </w:rPr>
        <w:t>45</w:t>
      </w:r>
      <w:r w:rsidRPr="001401D1">
        <w:rPr>
          <w:shd w:val="clear" w:color="auto" w:fill="FFFFFF"/>
        </w:rPr>
        <w:t>, 1.</w:t>
      </w:r>
      <w:r w:rsidR="0085430D" w:rsidRPr="001401D1">
        <w:rPr>
          <w:shd w:val="clear" w:color="auto" w:fill="FFFFFF"/>
        </w:rPr>
        <w:t>64</w:t>
      </w:r>
      <w:r w:rsidRPr="001401D1">
        <w:rPr>
          <w:shd w:val="clear" w:color="auto" w:fill="FFFFFF"/>
        </w:rPr>
        <w:t>] and 1.2</w:t>
      </w:r>
      <w:r w:rsidR="0085430D" w:rsidRPr="001401D1">
        <w:rPr>
          <w:shd w:val="clear" w:color="auto" w:fill="FFFFFF"/>
        </w:rPr>
        <w:t>4</w:t>
      </w:r>
      <w:r w:rsidRPr="001401D1">
        <w:rPr>
          <w:shd w:val="clear" w:color="auto" w:fill="FFFFFF"/>
        </w:rPr>
        <w:t xml:space="preserve"> [1.</w:t>
      </w:r>
      <w:r w:rsidR="0085430D" w:rsidRPr="001401D1">
        <w:rPr>
          <w:shd w:val="clear" w:color="auto" w:fill="FFFFFF"/>
        </w:rPr>
        <w:t>16</w:t>
      </w:r>
      <w:r w:rsidRPr="001401D1">
        <w:rPr>
          <w:shd w:val="clear" w:color="auto" w:fill="FFFFFF"/>
        </w:rPr>
        <w:t>, 1.3</w:t>
      </w:r>
      <w:r w:rsidR="0085430D" w:rsidRPr="001401D1">
        <w:rPr>
          <w:shd w:val="clear" w:color="auto" w:fill="FFFFFF"/>
        </w:rPr>
        <w:t>2</w:t>
      </w:r>
      <w:r w:rsidRPr="001401D1">
        <w:rPr>
          <w:shd w:val="clear" w:color="auto" w:fill="FFFFFF"/>
        </w:rPr>
        <w:t>], respectively (</w:t>
      </w:r>
      <w:r w:rsidRPr="001401D1">
        <w:rPr>
          <w:i/>
          <w:shd w:val="clear" w:color="auto" w:fill="FFFFFF"/>
        </w:rPr>
        <w:t>p</w:t>
      </w:r>
      <w:r w:rsidR="002966FA" w:rsidRPr="001401D1">
        <w:rPr>
          <w:vertAlign w:val="subscript"/>
        </w:rPr>
        <w:t>H</w:t>
      </w:r>
      <w:r w:rsidRPr="001401D1">
        <w:rPr>
          <w:shd w:val="clear" w:color="auto" w:fill="FFFFFF"/>
        </w:rPr>
        <w:t>s</w:t>
      </w:r>
      <w:r w:rsidR="008D0AB9" w:rsidRPr="001401D1">
        <w:rPr>
          <w:shd w:val="clear" w:color="auto" w:fill="FFFFFF"/>
        </w:rPr>
        <w:t xml:space="preserve"> &lt; </w:t>
      </w:r>
      <w:r w:rsidRPr="001401D1">
        <w:rPr>
          <w:shd w:val="clear" w:color="auto" w:fill="FFFFFF"/>
        </w:rPr>
        <w:t>.001</w:t>
      </w:r>
      <w:r w:rsidR="000E042E" w:rsidRPr="001401D1">
        <w:rPr>
          <w:shd w:val="clear" w:color="auto" w:fill="FFFFFF"/>
        </w:rPr>
        <w:t xml:space="preserve">; </w:t>
      </w:r>
      <w:r w:rsidR="000E042E" w:rsidRPr="001401D1">
        <w:rPr>
          <w:i/>
          <w:iCs/>
          <w:shd w:val="clear" w:color="auto" w:fill="FFFFFF"/>
        </w:rPr>
        <w:t>Z</w:t>
      </w:r>
      <w:r w:rsidR="000E042E" w:rsidRPr="001401D1">
        <w:rPr>
          <w:shd w:val="clear" w:color="auto" w:fill="FFFFFF"/>
          <w:vertAlign w:val="subscript"/>
        </w:rPr>
        <w:t>diff</w:t>
      </w:r>
      <w:r w:rsidR="008D0AB9" w:rsidRPr="001401D1">
        <w:rPr>
          <w:shd w:val="clear" w:color="auto" w:fill="FFFFFF"/>
        </w:rPr>
        <w:t xml:space="preserve"> = </w:t>
      </w:r>
      <w:r w:rsidR="000E042E" w:rsidRPr="001401D1">
        <w:rPr>
          <w:shd w:val="clear" w:color="auto" w:fill="FFFFFF"/>
        </w:rPr>
        <w:t xml:space="preserve">4.08, </w:t>
      </w:r>
      <w:r w:rsidR="000E042E" w:rsidRPr="001401D1">
        <w:rPr>
          <w:i/>
          <w:iCs/>
          <w:shd w:val="clear" w:color="auto" w:fill="FFFFFF"/>
        </w:rPr>
        <w:t>p</w:t>
      </w:r>
      <w:r w:rsidR="008D0AB9" w:rsidRPr="001401D1">
        <w:rPr>
          <w:shd w:val="clear" w:color="auto" w:fill="FFFFFF"/>
        </w:rPr>
        <w:t xml:space="preserve"> &lt; </w:t>
      </w:r>
      <w:r w:rsidR="000E042E" w:rsidRPr="001401D1">
        <w:rPr>
          <w:shd w:val="clear" w:color="auto" w:fill="FFFFFF"/>
        </w:rPr>
        <w:t>.001</w:t>
      </w:r>
      <w:r w:rsidRPr="001401D1">
        <w:rPr>
          <w:shd w:val="clear" w:color="auto" w:fill="FFFFFF"/>
        </w:rPr>
        <w:t>).</w:t>
      </w:r>
      <w:r w:rsidR="0085430D" w:rsidRPr="001401D1">
        <w:rPr>
          <w:shd w:val="clear" w:color="auto" w:fill="FFFFFF"/>
        </w:rPr>
        <w:t xml:space="preserve"> For aggression, the corresponding statistics were 1.87 [1.65, 2.12] and 1.33 [1.17, 1.51], respectively (</w:t>
      </w:r>
      <w:r w:rsidR="0085430D" w:rsidRPr="001401D1">
        <w:rPr>
          <w:i/>
          <w:iCs/>
          <w:shd w:val="clear" w:color="auto" w:fill="FFFFFF"/>
        </w:rPr>
        <w:t>p</w:t>
      </w:r>
      <w:r w:rsidR="002966FA" w:rsidRPr="001401D1">
        <w:rPr>
          <w:vertAlign w:val="subscript"/>
        </w:rPr>
        <w:t>H</w:t>
      </w:r>
      <w:r w:rsidR="0085430D" w:rsidRPr="001401D1">
        <w:rPr>
          <w:shd w:val="clear" w:color="auto" w:fill="FFFFFF"/>
        </w:rPr>
        <w:t>s</w:t>
      </w:r>
      <w:r w:rsidR="008D0AB9" w:rsidRPr="001401D1">
        <w:rPr>
          <w:shd w:val="clear" w:color="auto" w:fill="FFFFFF"/>
        </w:rPr>
        <w:t xml:space="preserve"> &lt; </w:t>
      </w:r>
      <w:r w:rsidR="0085430D" w:rsidRPr="001401D1">
        <w:rPr>
          <w:shd w:val="clear" w:color="auto" w:fill="FFFFFF"/>
        </w:rPr>
        <w:t>.001</w:t>
      </w:r>
      <w:r w:rsidR="000E042E" w:rsidRPr="001401D1">
        <w:rPr>
          <w:shd w:val="clear" w:color="auto" w:fill="FFFFFF"/>
        </w:rPr>
        <w:t xml:space="preserve">; </w:t>
      </w:r>
      <w:r w:rsidR="000E042E" w:rsidRPr="001401D1">
        <w:rPr>
          <w:i/>
          <w:iCs/>
          <w:shd w:val="clear" w:color="auto" w:fill="FFFFFF"/>
        </w:rPr>
        <w:t>Z</w:t>
      </w:r>
      <w:r w:rsidR="000E042E" w:rsidRPr="001401D1">
        <w:rPr>
          <w:shd w:val="clear" w:color="auto" w:fill="FFFFFF"/>
          <w:vertAlign w:val="subscript"/>
        </w:rPr>
        <w:t>diff</w:t>
      </w:r>
      <w:r w:rsidR="008D0AB9" w:rsidRPr="001401D1">
        <w:rPr>
          <w:shd w:val="clear" w:color="auto" w:fill="FFFFFF"/>
        </w:rPr>
        <w:t xml:space="preserve"> = </w:t>
      </w:r>
      <w:r w:rsidR="000E042E" w:rsidRPr="001401D1">
        <w:rPr>
          <w:shd w:val="clear" w:color="auto" w:fill="FFFFFF"/>
        </w:rPr>
        <w:t xml:space="preserve">3.20, </w:t>
      </w:r>
      <w:r w:rsidR="000E042E" w:rsidRPr="001401D1">
        <w:rPr>
          <w:i/>
          <w:iCs/>
          <w:shd w:val="clear" w:color="auto" w:fill="FFFFFF"/>
        </w:rPr>
        <w:t>p</w:t>
      </w:r>
      <w:r w:rsidR="008D0AB9" w:rsidRPr="001401D1">
        <w:rPr>
          <w:shd w:val="clear" w:color="auto" w:fill="FFFFFF"/>
        </w:rPr>
        <w:t xml:space="preserve"> = </w:t>
      </w:r>
      <w:r w:rsidR="000E042E" w:rsidRPr="001401D1">
        <w:rPr>
          <w:shd w:val="clear" w:color="auto" w:fill="FFFFFF"/>
        </w:rPr>
        <w:t>.001</w:t>
      </w:r>
      <w:r w:rsidR="0085430D" w:rsidRPr="001401D1">
        <w:rPr>
          <w:shd w:val="clear" w:color="auto" w:fill="FFFFFF"/>
        </w:rPr>
        <w:t>).</w:t>
      </w:r>
      <w:r w:rsidRPr="001401D1">
        <w:rPr>
          <w:shd w:val="clear" w:color="auto" w:fill="FFFFFF"/>
        </w:rPr>
        <w:t xml:space="preserve"> The adjusted pseudo-</w:t>
      </w:r>
      <w:r w:rsidRPr="001401D1">
        <w:rPr>
          <w:i/>
          <w:shd w:val="clear" w:color="auto" w:fill="FFFFFF"/>
        </w:rPr>
        <w:t>R</w:t>
      </w:r>
      <w:r w:rsidRPr="001401D1">
        <w:rPr>
          <w:shd w:val="clear" w:color="auto" w:fill="FFFFFF"/>
          <w:vertAlign w:val="superscript"/>
        </w:rPr>
        <w:t>2</w:t>
      </w:r>
      <w:r w:rsidRPr="001401D1">
        <w:rPr>
          <w:shd w:val="clear" w:color="auto" w:fill="FFFFFF"/>
        </w:rPr>
        <w:t xml:space="preserve"> </w:t>
      </w:r>
      <w:r w:rsidR="00A16645" w:rsidRPr="001401D1">
        <w:rPr>
          <w:shd w:val="clear" w:color="auto" w:fill="FFFFFF"/>
        </w:rPr>
        <w:t xml:space="preserve">values </w:t>
      </w:r>
      <w:r w:rsidRPr="001401D1">
        <w:rPr>
          <w:shd w:val="clear" w:color="auto" w:fill="FFFFFF"/>
        </w:rPr>
        <w:t xml:space="preserve">for </w:t>
      </w:r>
      <w:r w:rsidR="0085430D" w:rsidRPr="001401D1">
        <w:rPr>
          <w:shd w:val="clear" w:color="auto" w:fill="FFFFFF"/>
        </w:rPr>
        <w:t>these</w:t>
      </w:r>
      <w:r w:rsidRPr="001401D1">
        <w:rPr>
          <w:shd w:val="clear" w:color="auto" w:fill="FFFFFF"/>
        </w:rPr>
        <w:t xml:space="preserve"> model</w:t>
      </w:r>
      <w:r w:rsidR="0085430D" w:rsidRPr="001401D1">
        <w:rPr>
          <w:shd w:val="clear" w:color="auto" w:fill="FFFFFF"/>
        </w:rPr>
        <w:t>s</w:t>
      </w:r>
      <w:r w:rsidRPr="001401D1">
        <w:rPr>
          <w:shd w:val="clear" w:color="auto" w:fill="FFFFFF"/>
        </w:rPr>
        <w:t xml:space="preserve"> </w:t>
      </w:r>
      <w:r w:rsidR="0085430D" w:rsidRPr="001401D1">
        <w:rPr>
          <w:shd w:val="clear" w:color="auto" w:fill="FFFFFF"/>
        </w:rPr>
        <w:t>were</w:t>
      </w:r>
      <w:r w:rsidRPr="001401D1">
        <w:rPr>
          <w:shd w:val="clear" w:color="auto" w:fill="FFFFFF"/>
        </w:rPr>
        <w:t xml:space="preserve"> .2</w:t>
      </w:r>
      <w:r w:rsidR="0085430D" w:rsidRPr="001401D1">
        <w:rPr>
          <w:shd w:val="clear" w:color="auto" w:fill="FFFFFF"/>
        </w:rPr>
        <w:t>1 and .</w:t>
      </w:r>
      <w:r w:rsidR="004811C7" w:rsidRPr="001401D1">
        <w:rPr>
          <w:shd w:val="clear" w:color="auto" w:fill="FFFFFF"/>
        </w:rPr>
        <w:t>18</w:t>
      </w:r>
      <w:r w:rsidR="0085430D" w:rsidRPr="001401D1">
        <w:rPr>
          <w:shd w:val="clear" w:color="auto" w:fill="FFFFFF"/>
        </w:rPr>
        <w:t>, respectively.</w:t>
      </w:r>
    </w:p>
    <w:p w14:paraId="1836E685" w14:textId="527A327A" w:rsidR="00016D42" w:rsidRPr="001401D1" w:rsidRDefault="00016D42" w:rsidP="00016D42">
      <w:pPr>
        <w:spacing w:line="480" w:lineRule="auto"/>
        <w:rPr>
          <w:b/>
        </w:rPr>
      </w:pPr>
      <w:r w:rsidRPr="001401D1">
        <w:rPr>
          <w:iCs/>
        </w:rPr>
        <w:tab/>
      </w:r>
      <w:r w:rsidRPr="001401D1">
        <w:rPr>
          <w:b/>
          <w:iCs/>
        </w:rPr>
        <w:t xml:space="preserve">Age 16 (T2). </w:t>
      </w:r>
      <w:bookmarkStart w:id="14" w:name="OLE_LINK21"/>
      <w:r w:rsidRPr="001401D1">
        <w:rPr>
          <w:iCs/>
        </w:rPr>
        <w:t xml:space="preserve">Disinhibition and callousness were moderately correlated with </w:t>
      </w:r>
      <w:r w:rsidR="00275640" w:rsidRPr="001401D1">
        <w:rPr>
          <w:iCs/>
        </w:rPr>
        <w:t xml:space="preserve">each conduct disorder </w:t>
      </w:r>
      <w:r w:rsidR="00F741E0" w:rsidRPr="001401D1">
        <w:rPr>
          <w:iCs/>
        </w:rPr>
        <w:t xml:space="preserve">symptom </w:t>
      </w:r>
      <w:r w:rsidR="00275640" w:rsidRPr="001401D1">
        <w:rPr>
          <w:iCs/>
        </w:rPr>
        <w:t>subdimension</w:t>
      </w:r>
      <w:r w:rsidRPr="001401D1">
        <w:rPr>
          <w:iCs/>
        </w:rPr>
        <w:t xml:space="preserve"> at T2, </w:t>
      </w:r>
      <w:r w:rsidRPr="001401D1">
        <w:rPr>
          <w:i/>
          <w:shd w:val="clear" w:color="auto" w:fill="FFFFFF"/>
        </w:rPr>
        <w:t>ϱ</w:t>
      </w:r>
      <w:r w:rsidRPr="001401D1">
        <w:rPr>
          <w:shd w:val="clear" w:color="auto" w:fill="FFFFFF"/>
        </w:rPr>
        <w:t>s</w:t>
      </w:r>
      <w:r w:rsidR="008D0AB9" w:rsidRPr="001401D1">
        <w:rPr>
          <w:shd w:val="clear" w:color="auto" w:fill="FFFFFF"/>
        </w:rPr>
        <w:t xml:space="preserve"> = </w:t>
      </w:r>
      <w:r w:rsidRPr="001401D1">
        <w:rPr>
          <w:shd w:val="clear" w:color="auto" w:fill="FFFFFF"/>
        </w:rPr>
        <w:t>.</w:t>
      </w:r>
      <w:r w:rsidR="00275640" w:rsidRPr="001401D1">
        <w:rPr>
          <w:shd w:val="clear" w:color="auto" w:fill="FFFFFF"/>
        </w:rPr>
        <w:t>33 for rule-breaking</w:t>
      </w:r>
      <w:r w:rsidRPr="001401D1">
        <w:rPr>
          <w:shd w:val="clear" w:color="auto" w:fill="FFFFFF"/>
        </w:rPr>
        <w:t xml:space="preserve"> and .</w:t>
      </w:r>
      <w:r w:rsidR="00275640" w:rsidRPr="001401D1">
        <w:rPr>
          <w:shd w:val="clear" w:color="auto" w:fill="FFFFFF"/>
        </w:rPr>
        <w:t xml:space="preserve">19 for aggression with disinhibition, and </w:t>
      </w:r>
      <w:r w:rsidR="00275640" w:rsidRPr="001401D1">
        <w:rPr>
          <w:i/>
          <w:shd w:val="clear" w:color="auto" w:fill="FFFFFF"/>
        </w:rPr>
        <w:t>ϱ</w:t>
      </w:r>
      <w:r w:rsidR="00275640" w:rsidRPr="001401D1">
        <w:rPr>
          <w:iCs/>
          <w:shd w:val="clear" w:color="auto" w:fill="FFFFFF"/>
        </w:rPr>
        <w:t>s</w:t>
      </w:r>
      <w:r w:rsidR="008D0AB9" w:rsidRPr="001401D1">
        <w:rPr>
          <w:i/>
          <w:shd w:val="clear" w:color="auto" w:fill="FFFFFF"/>
        </w:rPr>
        <w:t xml:space="preserve"> = </w:t>
      </w:r>
      <w:r w:rsidR="00275640" w:rsidRPr="001401D1">
        <w:rPr>
          <w:iCs/>
          <w:shd w:val="clear" w:color="auto" w:fill="FFFFFF"/>
        </w:rPr>
        <w:t>.25 for rule-breaking and .12 for aggression with callousness</w:t>
      </w:r>
      <w:r w:rsidRPr="001401D1">
        <w:rPr>
          <w:shd w:val="clear" w:color="auto" w:fill="FFFFFF"/>
        </w:rPr>
        <w:t xml:space="preserve"> (</w:t>
      </w:r>
      <w:r w:rsidR="00275640" w:rsidRPr="001401D1">
        <w:rPr>
          <w:shd w:val="clear" w:color="auto" w:fill="FFFFFF"/>
        </w:rPr>
        <w:t xml:space="preserve">all </w:t>
      </w:r>
      <w:r w:rsidRPr="001401D1">
        <w:rPr>
          <w:i/>
          <w:shd w:val="clear" w:color="auto" w:fill="FFFFFF"/>
        </w:rPr>
        <w:t>p</w:t>
      </w:r>
      <w:r w:rsidRPr="001401D1">
        <w:rPr>
          <w:shd w:val="clear" w:color="auto" w:fill="FFFFFF"/>
        </w:rPr>
        <w:t>s</w:t>
      </w:r>
      <w:r w:rsidR="008D0AB9" w:rsidRPr="001401D1">
        <w:rPr>
          <w:shd w:val="clear" w:color="auto" w:fill="FFFFFF"/>
        </w:rPr>
        <w:t xml:space="preserve"> &lt; </w:t>
      </w:r>
      <w:r w:rsidRPr="001401D1">
        <w:rPr>
          <w:shd w:val="clear" w:color="auto" w:fill="FFFFFF"/>
        </w:rPr>
        <w:t>.001).</w:t>
      </w:r>
      <w:bookmarkEnd w:id="14"/>
      <w:r w:rsidRPr="001401D1">
        <w:rPr>
          <w:shd w:val="clear" w:color="auto" w:fill="FFFFFF"/>
        </w:rPr>
        <w:t xml:space="preserve"> In the negative binomial model</w:t>
      </w:r>
      <w:r w:rsidR="004811C7" w:rsidRPr="001401D1">
        <w:rPr>
          <w:shd w:val="clear" w:color="auto" w:fill="FFFFFF"/>
        </w:rPr>
        <w:t xml:space="preserve"> predicting rule-breaking</w:t>
      </w:r>
      <w:r w:rsidRPr="001401D1">
        <w:rPr>
          <w:shd w:val="clear" w:color="auto" w:fill="FFFFFF"/>
        </w:rPr>
        <w:t>, estimates were comparable to those at T1, with IRRs and 95% CIs of 1.</w:t>
      </w:r>
      <w:r w:rsidR="004811C7" w:rsidRPr="001401D1">
        <w:rPr>
          <w:shd w:val="clear" w:color="auto" w:fill="FFFFFF"/>
        </w:rPr>
        <w:t>73</w:t>
      </w:r>
      <w:r w:rsidRPr="001401D1">
        <w:rPr>
          <w:shd w:val="clear" w:color="auto" w:fill="FFFFFF"/>
        </w:rPr>
        <w:t xml:space="preserve"> [1.</w:t>
      </w:r>
      <w:r w:rsidR="004811C7" w:rsidRPr="001401D1">
        <w:rPr>
          <w:shd w:val="clear" w:color="auto" w:fill="FFFFFF"/>
        </w:rPr>
        <w:t>62</w:t>
      </w:r>
      <w:r w:rsidRPr="001401D1">
        <w:rPr>
          <w:shd w:val="clear" w:color="auto" w:fill="FFFFFF"/>
        </w:rPr>
        <w:t xml:space="preserve">, </w:t>
      </w:r>
      <w:r w:rsidR="004811C7" w:rsidRPr="001401D1">
        <w:rPr>
          <w:shd w:val="clear" w:color="auto" w:fill="FFFFFF"/>
        </w:rPr>
        <w:t>1.85</w:t>
      </w:r>
      <w:r w:rsidRPr="001401D1">
        <w:rPr>
          <w:shd w:val="clear" w:color="auto" w:fill="FFFFFF"/>
        </w:rPr>
        <w:t>]</w:t>
      </w:r>
      <w:r w:rsidR="002966FA" w:rsidRPr="001401D1">
        <w:rPr>
          <w:shd w:val="clear" w:color="auto" w:fill="FFFFFF"/>
        </w:rPr>
        <w:t xml:space="preserve"> (</w:t>
      </w:r>
      <w:r w:rsidR="002966FA" w:rsidRPr="001401D1">
        <w:rPr>
          <w:i/>
          <w:iCs/>
          <w:shd w:val="clear" w:color="auto" w:fill="FFFFFF"/>
        </w:rPr>
        <w:t>p</w:t>
      </w:r>
      <w:r w:rsidR="002966FA" w:rsidRPr="001401D1">
        <w:rPr>
          <w:vertAlign w:val="subscript"/>
        </w:rPr>
        <w:t>H</w:t>
      </w:r>
      <w:r w:rsidR="008D0AB9" w:rsidRPr="001401D1">
        <w:rPr>
          <w:shd w:val="clear" w:color="auto" w:fill="FFFFFF"/>
        </w:rPr>
        <w:t xml:space="preserve"> &lt; </w:t>
      </w:r>
      <w:r w:rsidR="002966FA" w:rsidRPr="001401D1">
        <w:rPr>
          <w:shd w:val="clear" w:color="auto" w:fill="FFFFFF"/>
        </w:rPr>
        <w:t>.001)</w:t>
      </w:r>
      <w:r w:rsidRPr="001401D1">
        <w:rPr>
          <w:shd w:val="clear" w:color="auto" w:fill="FFFFFF"/>
        </w:rPr>
        <w:t xml:space="preserve"> and 1.</w:t>
      </w:r>
      <w:r w:rsidR="004811C7" w:rsidRPr="001401D1">
        <w:rPr>
          <w:shd w:val="clear" w:color="auto" w:fill="FFFFFF"/>
        </w:rPr>
        <w:t>13</w:t>
      </w:r>
      <w:r w:rsidRPr="001401D1">
        <w:rPr>
          <w:shd w:val="clear" w:color="auto" w:fill="FFFFFF"/>
        </w:rPr>
        <w:t xml:space="preserve"> [1.</w:t>
      </w:r>
      <w:r w:rsidR="004811C7" w:rsidRPr="001401D1">
        <w:rPr>
          <w:shd w:val="clear" w:color="auto" w:fill="FFFFFF"/>
        </w:rPr>
        <w:t>06</w:t>
      </w:r>
      <w:r w:rsidRPr="001401D1">
        <w:rPr>
          <w:shd w:val="clear" w:color="auto" w:fill="FFFFFF"/>
        </w:rPr>
        <w:t>, 1.2</w:t>
      </w:r>
      <w:r w:rsidR="004811C7" w:rsidRPr="001401D1">
        <w:rPr>
          <w:shd w:val="clear" w:color="auto" w:fill="FFFFFF"/>
        </w:rPr>
        <w:t>1</w:t>
      </w:r>
      <w:r w:rsidRPr="001401D1">
        <w:rPr>
          <w:shd w:val="clear" w:color="auto" w:fill="FFFFFF"/>
        </w:rPr>
        <w:t>]</w:t>
      </w:r>
      <w:r w:rsidR="002966FA" w:rsidRPr="001401D1">
        <w:rPr>
          <w:shd w:val="clear" w:color="auto" w:fill="FFFFFF"/>
        </w:rPr>
        <w:t xml:space="preserve"> (</w:t>
      </w:r>
      <w:r w:rsidR="002966FA" w:rsidRPr="001401D1">
        <w:rPr>
          <w:i/>
          <w:iCs/>
          <w:shd w:val="clear" w:color="auto" w:fill="FFFFFF"/>
        </w:rPr>
        <w:t>p</w:t>
      </w:r>
      <w:r w:rsidR="002966FA" w:rsidRPr="001401D1">
        <w:rPr>
          <w:vertAlign w:val="subscript"/>
        </w:rPr>
        <w:t>H</w:t>
      </w:r>
      <w:r w:rsidR="008D0AB9" w:rsidRPr="001401D1">
        <w:rPr>
          <w:shd w:val="clear" w:color="auto" w:fill="FFFFFF"/>
        </w:rPr>
        <w:t xml:space="preserve"> = </w:t>
      </w:r>
      <w:r w:rsidR="002966FA" w:rsidRPr="001401D1">
        <w:rPr>
          <w:shd w:val="clear" w:color="auto" w:fill="FFFFFF"/>
        </w:rPr>
        <w:t>.001)</w:t>
      </w:r>
      <w:r w:rsidRPr="001401D1">
        <w:rPr>
          <w:shd w:val="clear" w:color="auto" w:fill="FFFFFF"/>
        </w:rPr>
        <w:t xml:space="preserve"> for disinhibition and callousness, respectively</w:t>
      </w:r>
      <w:r w:rsidR="00133250" w:rsidRPr="001401D1">
        <w:rPr>
          <w:shd w:val="clear" w:color="auto" w:fill="FFFFFF"/>
        </w:rPr>
        <w:t xml:space="preserve"> (</w:t>
      </w:r>
      <w:r w:rsidR="00133250" w:rsidRPr="001401D1">
        <w:rPr>
          <w:i/>
          <w:iCs/>
          <w:shd w:val="clear" w:color="auto" w:fill="FFFFFF"/>
        </w:rPr>
        <w:t>Z</w:t>
      </w:r>
      <w:r w:rsidR="00133250" w:rsidRPr="001401D1">
        <w:rPr>
          <w:shd w:val="clear" w:color="auto" w:fill="FFFFFF"/>
          <w:vertAlign w:val="subscript"/>
        </w:rPr>
        <w:t>diff</w:t>
      </w:r>
      <w:r w:rsidR="008D0AB9" w:rsidRPr="001401D1">
        <w:rPr>
          <w:shd w:val="clear" w:color="auto" w:fill="FFFFFF"/>
        </w:rPr>
        <w:t xml:space="preserve"> = </w:t>
      </w:r>
      <w:r w:rsidR="00133250" w:rsidRPr="001401D1">
        <w:rPr>
          <w:shd w:val="clear" w:color="auto" w:fill="FFFFFF"/>
        </w:rPr>
        <w:t xml:space="preserve">7.29, </w:t>
      </w:r>
      <w:r w:rsidR="00133250" w:rsidRPr="001401D1">
        <w:rPr>
          <w:i/>
          <w:iCs/>
          <w:shd w:val="clear" w:color="auto" w:fill="FFFFFF"/>
        </w:rPr>
        <w:t>p</w:t>
      </w:r>
      <w:r w:rsidR="008D0AB9" w:rsidRPr="001401D1">
        <w:rPr>
          <w:shd w:val="clear" w:color="auto" w:fill="FFFFFF"/>
        </w:rPr>
        <w:t xml:space="preserve"> &lt; </w:t>
      </w:r>
      <w:r w:rsidR="00133250" w:rsidRPr="001401D1">
        <w:rPr>
          <w:shd w:val="clear" w:color="auto" w:fill="FFFFFF"/>
        </w:rPr>
        <w:t>.001)</w:t>
      </w:r>
      <w:r w:rsidR="002966FA" w:rsidRPr="001401D1">
        <w:rPr>
          <w:shd w:val="clear" w:color="auto" w:fill="FFFFFF"/>
        </w:rPr>
        <w:t xml:space="preserve">. </w:t>
      </w:r>
      <w:r w:rsidRPr="001401D1">
        <w:rPr>
          <w:shd w:val="clear" w:color="auto" w:fill="FFFFFF"/>
        </w:rPr>
        <w:t>The adjusted pseudo-</w:t>
      </w:r>
      <w:r w:rsidRPr="001401D1">
        <w:rPr>
          <w:i/>
          <w:shd w:val="clear" w:color="auto" w:fill="FFFFFF"/>
        </w:rPr>
        <w:t>R</w:t>
      </w:r>
      <w:r w:rsidRPr="001401D1">
        <w:rPr>
          <w:shd w:val="clear" w:color="auto" w:fill="FFFFFF"/>
          <w:vertAlign w:val="superscript"/>
        </w:rPr>
        <w:t>2</w:t>
      </w:r>
      <w:r w:rsidRPr="001401D1">
        <w:rPr>
          <w:shd w:val="clear" w:color="auto" w:fill="FFFFFF"/>
        </w:rPr>
        <w:t xml:space="preserve"> was .</w:t>
      </w:r>
      <w:r w:rsidR="003A260B" w:rsidRPr="001401D1">
        <w:rPr>
          <w:shd w:val="clear" w:color="auto" w:fill="FFFFFF"/>
        </w:rPr>
        <w:t>24</w:t>
      </w:r>
      <w:r w:rsidRPr="001401D1">
        <w:rPr>
          <w:shd w:val="clear" w:color="auto" w:fill="FFFFFF"/>
        </w:rPr>
        <w:t>.</w:t>
      </w:r>
      <w:r w:rsidR="004811C7" w:rsidRPr="001401D1">
        <w:rPr>
          <w:shd w:val="clear" w:color="auto" w:fill="FFFFFF"/>
        </w:rPr>
        <w:t xml:space="preserve"> For aggressive symptoms, the IRRs and 95% CIs were</w:t>
      </w:r>
      <w:r w:rsidR="003A260B" w:rsidRPr="001401D1">
        <w:rPr>
          <w:shd w:val="clear" w:color="auto" w:fill="FFFFFF"/>
        </w:rPr>
        <w:t xml:space="preserve"> 1.88 [1.64, 2.17] for disinhibition and 1.34 [1.17, 1.53] for callousness, </w:t>
      </w:r>
      <w:r w:rsidR="003A260B" w:rsidRPr="001401D1">
        <w:rPr>
          <w:i/>
          <w:iCs/>
          <w:shd w:val="clear" w:color="auto" w:fill="FFFFFF"/>
        </w:rPr>
        <w:t>p</w:t>
      </w:r>
      <w:r w:rsidR="002966FA" w:rsidRPr="001401D1">
        <w:rPr>
          <w:vertAlign w:val="subscript"/>
        </w:rPr>
        <w:t>H</w:t>
      </w:r>
      <w:r w:rsidR="003A260B" w:rsidRPr="001401D1">
        <w:rPr>
          <w:shd w:val="clear" w:color="auto" w:fill="FFFFFF"/>
        </w:rPr>
        <w:t>s</w:t>
      </w:r>
      <w:r w:rsidR="008D0AB9" w:rsidRPr="001401D1">
        <w:rPr>
          <w:shd w:val="clear" w:color="auto" w:fill="FFFFFF"/>
        </w:rPr>
        <w:t xml:space="preserve"> &lt; </w:t>
      </w:r>
      <w:r w:rsidR="003A260B" w:rsidRPr="001401D1">
        <w:rPr>
          <w:shd w:val="clear" w:color="auto" w:fill="FFFFFF"/>
        </w:rPr>
        <w:t>.001,</w:t>
      </w:r>
      <w:r w:rsidR="00C2212E" w:rsidRPr="001401D1">
        <w:rPr>
          <w:shd w:val="clear" w:color="auto" w:fill="FFFFFF"/>
        </w:rPr>
        <w:t xml:space="preserve"> </w:t>
      </w:r>
      <w:r w:rsidR="00C2212E" w:rsidRPr="001401D1">
        <w:rPr>
          <w:i/>
          <w:iCs/>
          <w:shd w:val="clear" w:color="auto" w:fill="FFFFFF"/>
        </w:rPr>
        <w:t>Z</w:t>
      </w:r>
      <w:r w:rsidR="00C2212E" w:rsidRPr="001401D1">
        <w:rPr>
          <w:shd w:val="clear" w:color="auto" w:fill="FFFFFF"/>
          <w:vertAlign w:val="subscript"/>
        </w:rPr>
        <w:t>diff</w:t>
      </w:r>
      <w:r w:rsidR="008D0AB9" w:rsidRPr="001401D1">
        <w:rPr>
          <w:shd w:val="clear" w:color="auto" w:fill="FFFFFF"/>
        </w:rPr>
        <w:t xml:space="preserve"> = </w:t>
      </w:r>
      <w:r w:rsidR="00C2212E" w:rsidRPr="001401D1">
        <w:rPr>
          <w:shd w:val="clear" w:color="auto" w:fill="FFFFFF"/>
        </w:rPr>
        <w:t>2.83 (</w:t>
      </w:r>
      <w:r w:rsidR="00C2212E" w:rsidRPr="001401D1">
        <w:rPr>
          <w:i/>
          <w:iCs/>
          <w:shd w:val="clear" w:color="auto" w:fill="FFFFFF"/>
        </w:rPr>
        <w:t>p</w:t>
      </w:r>
      <w:r w:rsidR="008D0AB9" w:rsidRPr="001401D1">
        <w:rPr>
          <w:shd w:val="clear" w:color="auto" w:fill="FFFFFF"/>
        </w:rPr>
        <w:t xml:space="preserve"> = </w:t>
      </w:r>
      <w:r w:rsidR="00C2212E" w:rsidRPr="001401D1">
        <w:rPr>
          <w:shd w:val="clear" w:color="auto" w:fill="FFFFFF"/>
        </w:rPr>
        <w:t>.004),</w:t>
      </w:r>
      <w:r w:rsidR="003A260B" w:rsidRPr="001401D1">
        <w:rPr>
          <w:shd w:val="clear" w:color="auto" w:fill="FFFFFF"/>
        </w:rPr>
        <w:t xml:space="preserve"> with an adjusted pseudo-</w:t>
      </w:r>
      <w:r w:rsidR="003A260B" w:rsidRPr="001401D1">
        <w:rPr>
          <w:i/>
          <w:iCs/>
          <w:shd w:val="clear" w:color="auto" w:fill="FFFFFF"/>
        </w:rPr>
        <w:t>R</w:t>
      </w:r>
      <w:r w:rsidR="003A260B" w:rsidRPr="001401D1">
        <w:rPr>
          <w:shd w:val="clear" w:color="auto" w:fill="FFFFFF"/>
          <w:vertAlign w:val="superscript"/>
        </w:rPr>
        <w:t>2</w:t>
      </w:r>
      <w:r w:rsidR="003A260B" w:rsidRPr="001401D1">
        <w:rPr>
          <w:shd w:val="clear" w:color="auto" w:fill="FFFFFF"/>
        </w:rPr>
        <w:t xml:space="preserve"> of .20.</w:t>
      </w:r>
    </w:p>
    <w:p w14:paraId="3342825B" w14:textId="13D56501" w:rsidR="00016D42" w:rsidRPr="001401D1" w:rsidRDefault="00016D42" w:rsidP="00290A39">
      <w:pPr>
        <w:spacing w:line="480" w:lineRule="auto"/>
        <w:rPr>
          <w:shd w:val="clear" w:color="auto" w:fill="FFFFFF"/>
        </w:rPr>
      </w:pPr>
      <w:r w:rsidRPr="001401D1">
        <w:rPr>
          <w:iCs/>
        </w:rPr>
        <w:tab/>
      </w:r>
      <w:r w:rsidRPr="001401D1">
        <w:rPr>
          <w:b/>
          <w:iCs/>
        </w:rPr>
        <w:t>Prospective prediction (T1 to T2).</w:t>
      </w:r>
      <w:r w:rsidRPr="001401D1">
        <w:rPr>
          <w:iCs/>
        </w:rPr>
        <w:t xml:space="preserve"> T1 disinhibition </w:t>
      </w:r>
      <w:r w:rsidR="00275640" w:rsidRPr="001401D1">
        <w:rPr>
          <w:iCs/>
        </w:rPr>
        <w:t>was associated with T2</w:t>
      </w:r>
      <w:r w:rsidR="000D745E" w:rsidRPr="001401D1">
        <w:rPr>
          <w:iCs/>
        </w:rPr>
        <w:t xml:space="preserve"> conduct disorder </w:t>
      </w:r>
      <w:r w:rsidR="00F741E0" w:rsidRPr="001401D1">
        <w:rPr>
          <w:iCs/>
        </w:rPr>
        <w:t xml:space="preserve">symptom </w:t>
      </w:r>
      <w:r w:rsidR="000D745E" w:rsidRPr="001401D1">
        <w:rPr>
          <w:iCs/>
        </w:rPr>
        <w:t xml:space="preserve">subdimensions at the zero-order level, </w:t>
      </w:r>
      <w:r w:rsidR="000D745E" w:rsidRPr="001401D1">
        <w:rPr>
          <w:i/>
          <w:shd w:val="clear" w:color="auto" w:fill="FFFFFF"/>
        </w:rPr>
        <w:t>ϱ</w:t>
      </w:r>
      <w:r w:rsidR="000D745E" w:rsidRPr="001401D1">
        <w:rPr>
          <w:iCs/>
          <w:shd w:val="clear" w:color="auto" w:fill="FFFFFF"/>
        </w:rPr>
        <w:t>s</w:t>
      </w:r>
      <w:r w:rsidR="008D0AB9" w:rsidRPr="001401D1">
        <w:rPr>
          <w:i/>
          <w:shd w:val="clear" w:color="auto" w:fill="FFFFFF"/>
        </w:rPr>
        <w:t xml:space="preserve"> = </w:t>
      </w:r>
      <w:r w:rsidR="000D745E" w:rsidRPr="001401D1">
        <w:rPr>
          <w:iCs/>
          <w:shd w:val="clear" w:color="auto" w:fill="FFFFFF"/>
        </w:rPr>
        <w:t xml:space="preserve">.33 for rule-breaking and .19 for aggression, </w:t>
      </w:r>
      <w:r w:rsidR="000D745E" w:rsidRPr="001401D1">
        <w:rPr>
          <w:i/>
          <w:shd w:val="clear" w:color="auto" w:fill="FFFFFF"/>
        </w:rPr>
        <w:t>p</w:t>
      </w:r>
      <w:r w:rsidR="000D745E" w:rsidRPr="001401D1">
        <w:rPr>
          <w:iCs/>
          <w:shd w:val="clear" w:color="auto" w:fill="FFFFFF"/>
        </w:rPr>
        <w:t>s</w:t>
      </w:r>
      <w:r w:rsidR="008D0AB9" w:rsidRPr="001401D1">
        <w:rPr>
          <w:iCs/>
          <w:shd w:val="clear" w:color="auto" w:fill="FFFFFF"/>
        </w:rPr>
        <w:t xml:space="preserve"> &lt; </w:t>
      </w:r>
      <w:r w:rsidR="000D745E" w:rsidRPr="001401D1">
        <w:rPr>
          <w:iCs/>
          <w:shd w:val="clear" w:color="auto" w:fill="FFFFFF"/>
        </w:rPr>
        <w:t xml:space="preserve">.001. Similar patterns were observed for callousness, </w:t>
      </w:r>
      <w:r w:rsidR="000D745E" w:rsidRPr="001401D1">
        <w:rPr>
          <w:i/>
          <w:shd w:val="clear" w:color="auto" w:fill="FFFFFF"/>
        </w:rPr>
        <w:t>ϱ</w:t>
      </w:r>
      <w:r w:rsidR="000D745E" w:rsidRPr="001401D1">
        <w:rPr>
          <w:iCs/>
          <w:shd w:val="clear" w:color="auto" w:fill="FFFFFF"/>
        </w:rPr>
        <w:t>s</w:t>
      </w:r>
      <w:r w:rsidR="008D0AB9" w:rsidRPr="001401D1">
        <w:rPr>
          <w:i/>
          <w:shd w:val="clear" w:color="auto" w:fill="FFFFFF"/>
        </w:rPr>
        <w:t xml:space="preserve"> = </w:t>
      </w:r>
      <w:r w:rsidR="000D745E" w:rsidRPr="001401D1">
        <w:rPr>
          <w:iCs/>
          <w:shd w:val="clear" w:color="auto" w:fill="FFFFFF"/>
        </w:rPr>
        <w:t xml:space="preserve">.25 and .12, respectively, </w:t>
      </w:r>
      <w:r w:rsidR="000D745E" w:rsidRPr="001401D1">
        <w:rPr>
          <w:i/>
          <w:shd w:val="clear" w:color="auto" w:fill="FFFFFF"/>
        </w:rPr>
        <w:t>p</w:t>
      </w:r>
      <w:r w:rsidR="000D745E" w:rsidRPr="001401D1">
        <w:rPr>
          <w:iCs/>
          <w:shd w:val="clear" w:color="auto" w:fill="FFFFFF"/>
        </w:rPr>
        <w:t>s</w:t>
      </w:r>
      <w:r w:rsidR="008D0AB9" w:rsidRPr="001401D1">
        <w:rPr>
          <w:iCs/>
          <w:shd w:val="clear" w:color="auto" w:fill="FFFFFF"/>
        </w:rPr>
        <w:t xml:space="preserve"> &lt; </w:t>
      </w:r>
      <w:r w:rsidR="000D745E" w:rsidRPr="001401D1">
        <w:rPr>
          <w:iCs/>
          <w:shd w:val="clear" w:color="auto" w:fill="FFFFFF"/>
        </w:rPr>
        <w:t>.001.</w:t>
      </w:r>
      <w:r w:rsidR="000D745E" w:rsidRPr="001401D1">
        <w:rPr>
          <w:iCs/>
        </w:rPr>
        <w:t xml:space="preserve"> </w:t>
      </w:r>
      <w:r w:rsidRPr="001401D1">
        <w:rPr>
          <w:shd w:val="clear" w:color="auto" w:fill="FFFFFF"/>
        </w:rPr>
        <w:t xml:space="preserve">In the prospective negative binomial model that included T1 </w:t>
      </w:r>
      <w:r w:rsidR="00F3585B" w:rsidRPr="001401D1">
        <w:rPr>
          <w:shd w:val="clear" w:color="auto" w:fill="FFFFFF"/>
        </w:rPr>
        <w:t>rule-breaking</w:t>
      </w:r>
      <w:r w:rsidRPr="001401D1">
        <w:rPr>
          <w:shd w:val="clear" w:color="auto" w:fill="FFFFFF"/>
        </w:rPr>
        <w:t xml:space="preserve"> symptoms as a covariate, </w:t>
      </w:r>
      <w:r w:rsidR="001E1120" w:rsidRPr="001401D1">
        <w:rPr>
          <w:shd w:val="clear" w:color="auto" w:fill="FFFFFF"/>
        </w:rPr>
        <w:t xml:space="preserve">the </w:t>
      </w:r>
      <w:r w:rsidRPr="001401D1">
        <w:rPr>
          <w:shd w:val="clear" w:color="auto" w:fill="FFFFFF"/>
        </w:rPr>
        <w:t xml:space="preserve">IRR for T1 disinhibition </w:t>
      </w:r>
      <w:r w:rsidR="00F3585B" w:rsidRPr="001401D1">
        <w:rPr>
          <w:shd w:val="clear" w:color="auto" w:fill="FFFFFF"/>
        </w:rPr>
        <w:t xml:space="preserve">predicting rule-breaking </w:t>
      </w:r>
      <w:r w:rsidR="001E1120" w:rsidRPr="001401D1">
        <w:rPr>
          <w:shd w:val="clear" w:color="auto" w:fill="FFFFFF"/>
        </w:rPr>
        <w:t>was</w:t>
      </w:r>
      <w:r w:rsidRPr="001401D1">
        <w:rPr>
          <w:shd w:val="clear" w:color="auto" w:fill="FFFFFF"/>
        </w:rPr>
        <w:t xml:space="preserve"> 1.</w:t>
      </w:r>
      <w:r w:rsidR="00F3585B" w:rsidRPr="001401D1">
        <w:rPr>
          <w:shd w:val="clear" w:color="auto" w:fill="FFFFFF"/>
        </w:rPr>
        <w:t>26</w:t>
      </w:r>
      <w:r w:rsidRPr="001401D1">
        <w:rPr>
          <w:shd w:val="clear" w:color="auto" w:fill="FFFFFF"/>
        </w:rPr>
        <w:t xml:space="preserve"> [1.</w:t>
      </w:r>
      <w:r w:rsidR="00F3585B" w:rsidRPr="001401D1">
        <w:rPr>
          <w:shd w:val="clear" w:color="auto" w:fill="FFFFFF"/>
        </w:rPr>
        <w:t>17</w:t>
      </w:r>
      <w:r w:rsidRPr="001401D1">
        <w:rPr>
          <w:shd w:val="clear" w:color="auto" w:fill="FFFFFF"/>
        </w:rPr>
        <w:t>, 1.</w:t>
      </w:r>
      <w:r w:rsidR="00F3585B" w:rsidRPr="001401D1">
        <w:rPr>
          <w:shd w:val="clear" w:color="auto" w:fill="FFFFFF"/>
        </w:rPr>
        <w:t>35</w:t>
      </w:r>
      <w:r w:rsidRPr="001401D1">
        <w:rPr>
          <w:shd w:val="clear" w:color="auto" w:fill="FFFFFF"/>
        </w:rPr>
        <w:t>] (</w:t>
      </w:r>
      <w:r w:rsidRPr="001401D1">
        <w:rPr>
          <w:i/>
          <w:shd w:val="clear" w:color="auto" w:fill="FFFFFF"/>
        </w:rPr>
        <w:t>p</w:t>
      </w:r>
      <w:r w:rsidR="001E1120" w:rsidRPr="001401D1">
        <w:rPr>
          <w:vertAlign w:val="subscript"/>
        </w:rPr>
        <w:t>H</w:t>
      </w:r>
      <w:r w:rsidR="008D0AB9" w:rsidRPr="001401D1">
        <w:rPr>
          <w:shd w:val="clear" w:color="auto" w:fill="FFFFFF"/>
        </w:rPr>
        <w:t xml:space="preserve"> &lt; </w:t>
      </w:r>
      <w:r w:rsidRPr="001401D1">
        <w:rPr>
          <w:shd w:val="clear" w:color="auto" w:fill="FFFFFF"/>
        </w:rPr>
        <w:t>.001)</w:t>
      </w:r>
      <w:r w:rsidR="001E1120" w:rsidRPr="001401D1">
        <w:rPr>
          <w:shd w:val="clear" w:color="auto" w:fill="FFFFFF"/>
        </w:rPr>
        <w:t>, whereas callousness was not a significant predictor (IRR</w:t>
      </w:r>
      <w:r w:rsidR="008D0AB9" w:rsidRPr="001401D1">
        <w:rPr>
          <w:shd w:val="clear" w:color="auto" w:fill="FFFFFF"/>
        </w:rPr>
        <w:t xml:space="preserve"> = </w:t>
      </w:r>
      <w:r w:rsidRPr="001401D1">
        <w:rPr>
          <w:shd w:val="clear" w:color="auto" w:fill="FFFFFF"/>
        </w:rPr>
        <w:t>1.0</w:t>
      </w:r>
      <w:r w:rsidR="00F3585B" w:rsidRPr="001401D1">
        <w:rPr>
          <w:shd w:val="clear" w:color="auto" w:fill="FFFFFF"/>
        </w:rPr>
        <w:t>7</w:t>
      </w:r>
      <w:r w:rsidRPr="001401D1">
        <w:rPr>
          <w:shd w:val="clear" w:color="auto" w:fill="FFFFFF"/>
        </w:rPr>
        <w:t xml:space="preserve"> [1.01, 1.1</w:t>
      </w:r>
      <w:r w:rsidR="00F3585B" w:rsidRPr="001401D1">
        <w:rPr>
          <w:shd w:val="clear" w:color="auto" w:fill="FFFFFF"/>
        </w:rPr>
        <w:t>5</w:t>
      </w:r>
      <w:r w:rsidRPr="001401D1">
        <w:rPr>
          <w:shd w:val="clear" w:color="auto" w:fill="FFFFFF"/>
        </w:rPr>
        <w:t>]</w:t>
      </w:r>
      <w:r w:rsidR="001E1120" w:rsidRPr="001401D1">
        <w:rPr>
          <w:shd w:val="clear" w:color="auto" w:fill="FFFFFF"/>
        </w:rPr>
        <w:t xml:space="preserve">, </w:t>
      </w:r>
      <w:r w:rsidRPr="001401D1">
        <w:rPr>
          <w:i/>
          <w:shd w:val="clear" w:color="auto" w:fill="FFFFFF"/>
        </w:rPr>
        <w:t>p</w:t>
      </w:r>
      <w:r w:rsidR="001E1120" w:rsidRPr="001401D1">
        <w:rPr>
          <w:vertAlign w:val="subscript"/>
        </w:rPr>
        <w:t>H</w:t>
      </w:r>
      <w:r w:rsidR="008D0AB9" w:rsidRPr="001401D1">
        <w:rPr>
          <w:shd w:val="clear" w:color="auto" w:fill="FFFFFF"/>
        </w:rPr>
        <w:t xml:space="preserve"> = </w:t>
      </w:r>
      <w:r w:rsidRPr="001401D1">
        <w:rPr>
          <w:shd w:val="clear" w:color="auto" w:fill="FFFFFF"/>
        </w:rPr>
        <w:t>.0</w:t>
      </w:r>
      <w:r w:rsidR="001E1120" w:rsidRPr="001401D1">
        <w:rPr>
          <w:shd w:val="clear" w:color="auto" w:fill="FFFFFF"/>
        </w:rPr>
        <w:t>7</w:t>
      </w:r>
      <w:r w:rsidR="00C2212E" w:rsidRPr="001401D1">
        <w:rPr>
          <w:shd w:val="clear" w:color="auto" w:fill="FFFFFF"/>
        </w:rPr>
        <w:t xml:space="preserve">; </w:t>
      </w:r>
      <w:r w:rsidR="00C2212E" w:rsidRPr="001401D1">
        <w:rPr>
          <w:i/>
          <w:iCs/>
          <w:shd w:val="clear" w:color="auto" w:fill="FFFFFF"/>
        </w:rPr>
        <w:t>Z</w:t>
      </w:r>
      <w:r w:rsidR="00C2212E" w:rsidRPr="001401D1">
        <w:rPr>
          <w:shd w:val="clear" w:color="auto" w:fill="FFFFFF"/>
          <w:vertAlign w:val="subscript"/>
        </w:rPr>
        <w:t>diff</w:t>
      </w:r>
      <w:r w:rsidR="008D0AB9" w:rsidRPr="001401D1">
        <w:rPr>
          <w:shd w:val="clear" w:color="auto" w:fill="FFFFFF"/>
        </w:rPr>
        <w:t xml:space="preserve"> = </w:t>
      </w:r>
      <w:r w:rsidR="00C2212E" w:rsidRPr="001401D1">
        <w:rPr>
          <w:shd w:val="clear" w:color="auto" w:fill="FFFFFF"/>
        </w:rPr>
        <w:t xml:space="preserve">2.76, </w:t>
      </w:r>
      <w:r w:rsidR="00C2212E" w:rsidRPr="001401D1">
        <w:rPr>
          <w:i/>
          <w:iCs/>
          <w:shd w:val="clear" w:color="auto" w:fill="FFFFFF"/>
        </w:rPr>
        <w:t>p</w:t>
      </w:r>
      <w:r w:rsidR="008D0AB9" w:rsidRPr="001401D1">
        <w:rPr>
          <w:shd w:val="clear" w:color="auto" w:fill="FFFFFF"/>
        </w:rPr>
        <w:t xml:space="preserve"> = </w:t>
      </w:r>
      <w:r w:rsidR="00C2212E" w:rsidRPr="001401D1">
        <w:rPr>
          <w:shd w:val="clear" w:color="auto" w:fill="FFFFFF"/>
        </w:rPr>
        <w:t>.006</w:t>
      </w:r>
      <w:r w:rsidRPr="001401D1">
        <w:rPr>
          <w:shd w:val="clear" w:color="auto" w:fill="FFFFFF"/>
        </w:rPr>
        <w:t>)</w:t>
      </w:r>
      <w:r w:rsidR="001E1120" w:rsidRPr="001401D1">
        <w:rPr>
          <w:shd w:val="clear" w:color="auto" w:fill="FFFFFF"/>
        </w:rPr>
        <w:t>.</w:t>
      </w:r>
      <w:r w:rsidRPr="001401D1">
        <w:rPr>
          <w:shd w:val="clear" w:color="auto" w:fill="FFFFFF"/>
        </w:rPr>
        <w:t xml:space="preserve"> </w:t>
      </w:r>
      <w:r w:rsidR="001E1120" w:rsidRPr="001401D1">
        <w:rPr>
          <w:shd w:val="clear" w:color="auto" w:fill="FFFFFF"/>
        </w:rPr>
        <w:t>The</w:t>
      </w:r>
      <w:r w:rsidRPr="001401D1">
        <w:rPr>
          <w:shd w:val="clear" w:color="auto" w:fill="FFFFFF"/>
        </w:rPr>
        <w:t xml:space="preserve"> adjusted pseudo-</w:t>
      </w:r>
      <w:r w:rsidRPr="001401D1">
        <w:rPr>
          <w:i/>
          <w:shd w:val="clear" w:color="auto" w:fill="FFFFFF"/>
        </w:rPr>
        <w:t>R</w:t>
      </w:r>
      <w:r w:rsidRPr="001401D1">
        <w:rPr>
          <w:shd w:val="clear" w:color="auto" w:fill="FFFFFF"/>
          <w:vertAlign w:val="superscript"/>
        </w:rPr>
        <w:t>2</w:t>
      </w:r>
      <w:r w:rsidRPr="001401D1">
        <w:rPr>
          <w:shd w:val="clear" w:color="auto" w:fill="FFFFFF"/>
        </w:rPr>
        <w:t xml:space="preserve"> </w:t>
      </w:r>
      <w:r w:rsidR="001E1120" w:rsidRPr="001401D1">
        <w:rPr>
          <w:shd w:val="clear" w:color="auto" w:fill="FFFFFF"/>
        </w:rPr>
        <w:t>was</w:t>
      </w:r>
      <w:r w:rsidRPr="001401D1">
        <w:rPr>
          <w:shd w:val="clear" w:color="auto" w:fill="FFFFFF"/>
        </w:rPr>
        <w:t xml:space="preserve"> .</w:t>
      </w:r>
      <w:r w:rsidR="00F3585B" w:rsidRPr="001401D1">
        <w:rPr>
          <w:shd w:val="clear" w:color="auto" w:fill="FFFFFF"/>
        </w:rPr>
        <w:t>18</w:t>
      </w:r>
      <w:r w:rsidRPr="001401D1">
        <w:rPr>
          <w:shd w:val="clear" w:color="auto" w:fill="FFFFFF"/>
        </w:rPr>
        <w:t xml:space="preserve">. When the residualized T1 </w:t>
      </w:r>
      <w:r w:rsidR="00F3585B" w:rsidRPr="001401D1">
        <w:rPr>
          <w:shd w:val="clear" w:color="auto" w:fill="FFFFFF"/>
        </w:rPr>
        <w:t>rule-breaking</w:t>
      </w:r>
      <w:r w:rsidRPr="001401D1">
        <w:rPr>
          <w:shd w:val="clear" w:color="auto" w:fill="FFFFFF"/>
        </w:rPr>
        <w:t xml:space="preserve"> variable was used instead, prospective IRRs </w:t>
      </w:r>
      <w:r w:rsidR="00290A39" w:rsidRPr="001401D1">
        <w:rPr>
          <w:shd w:val="clear" w:color="auto" w:fill="FFFFFF"/>
        </w:rPr>
        <w:t>were</w:t>
      </w:r>
      <w:r w:rsidRPr="001401D1">
        <w:rPr>
          <w:shd w:val="clear" w:color="auto" w:fill="FFFFFF"/>
        </w:rPr>
        <w:t xml:space="preserve"> 1.4</w:t>
      </w:r>
      <w:r w:rsidR="00F3585B" w:rsidRPr="001401D1">
        <w:rPr>
          <w:shd w:val="clear" w:color="auto" w:fill="FFFFFF"/>
        </w:rPr>
        <w:t>2</w:t>
      </w:r>
      <w:r w:rsidRPr="001401D1">
        <w:rPr>
          <w:shd w:val="clear" w:color="auto" w:fill="FFFFFF"/>
        </w:rPr>
        <w:t xml:space="preserve"> [1.3</w:t>
      </w:r>
      <w:r w:rsidR="00F3585B" w:rsidRPr="001401D1">
        <w:rPr>
          <w:shd w:val="clear" w:color="auto" w:fill="FFFFFF"/>
        </w:rPr>
        <w:t>3</w:t>
      </w:r>
      <w:r w:rsidRPr="001401D1">
        <w:rPr>
          <w:shd w:val="clear" w:color="auto" w:fill="FFFFFF"/>
        </w:rPr>
        <w:t>, 1.5</w:t>
      </w:r>
      <w:r w:rsidR="00F3585B" w:rsidRPr="001401D1">
        <w:rPr>
          <w:shd w:val="clear" w:color="auto" w:fill="FFFFFF"/>
        </w:rPr>
        <w:t>2</w:t>
      </w:r>
      <w:r w:rsidRPr="001401D1">
        <w:rPr>
          <w:shd w:val="clear" w:color="auto" w:fill="FFFFFF"/>
        </w:rPr>
        <w:t>]</w:t>
      </w:r>
      <w:r w:rsidR="001E1120" w:rsidRPr="001401D1">
        <w:rPr>
          <w:shd w:val="clear" w:color="auto" w:fill="FFFFFF"/>
        </w:rPr>
        <w:t xml:space="preserve"> (</w:t>
      </w:r>
      <w:r w:rsidR="001E1120" w:rsidRPr="001401D1">
        <w:rPr>
          <w:i/>
          <w:iCs/>
          <w:shd w:val="clear" w:color="auto" w:fill="FFFFFF"/>
        </w:rPr>
        <w:t>p</w:t>
      </w:r>
      <w:r w:rsidR="001E1120" w:rsidRPr="001401D1">
        <w:rPr>
          <w:vertAlign w:val="subscript"/>
        </w:rPr>
        <w:t>H</w:t>
      </w:r>
      <w:r w:rsidR="008D0AB9" w:rsidRPr="001401D1">
        <w:t xml:space="preserve"> &lt; </w:t>
      </w:r>
      <w:r w:rsidR="001E1120" w:rsidRPr="001401D1">
        <w:t>.001)</w:t>
      </w:r>
      <w:r w:rsidRPr="001401D1">
        <w:rPr>
          <w:shd w:val="clear" w:color="auto" w:fill="FFFFFF"/>
        </w:rPr>
        <w:t xml:space="preserve"> and 1.1</w:t>
      </w:r>
      <w:r w:rsidR="00F3585B" w:rsidRPr="001401D1">
        <w:rPr>
          <w:shd w:val="clear" w:color="auto" w:fill="FFFFFF"/>
        </w:rPr>
        <w:t>3</w:t>
      </w:r>
      <w:r w:rsidRPr="001401D1">
        <w:rPr>
          <w:shd w:val="clear" w:color="auto" w:fill="FFFFFF"/>
        </w:rPr>
        <w:t xml:space="preserve"> [1.0</w:t>
      </w:r>
      <w:r w:rsidR="00F3585B" w:rsidRPr="001401D1">
        <w:rPr>
          <w:shd w:val="clear" w:color="auto" w:fill="FFFFFF"/>
        </w:rPr>
        <w:t>5</w:t>
      </w:r>
      <w:r w:rsidRPr="001401D1">
        <w:rPr>
          <w:shd w:val="clear" w:color="auto" w:fill="FFFFFF"/>
        </w:rPr>
        <w:t>, 1.2</w:t>
      </w:r>
      <w:r w:rsidR="00F3585B" w:rsidRPr="001401D1">
        <w:rPr>
          <w:shd w:val="clear" w:color="auto" w:fill="FFFFFF"/>
        </w:rPr>
        <w:t>0</w:t>
      </w:r>
      <w:r w:rsidRPr="001401D1">
        <w:rPr>
          <w:shd w:val="clear" w:color="auto" w:fill="FFFFFF"/>
        </w:rPr>
        <w:t>]</w:t>
      </w:r>
      <w:r w:rsidR="001E1120" w:rsidRPr="001401D1">
        <w:rPr>
          <w:shd w:val="clear" w:color="auto" w:fill="FFFFFF"/>
        </w:rPr>
        <w:t xml:space="preserve"> (</w:t>
      </w:r>
      <w:r w:rsidR="001E1120" w:rsidRPr="001401D1">
        <w:rPr>
          <w:i/>
          <w:iCs/>
          <w:shd w:val="clear" w:color="auto" w:fill="FFFFFF"/>
        </w:rPr>
        <w:t>p</w:t>
      </w:r>
      <w:r w:rsidR="001E1120" w:rsidRPr="001401D1">
        <w:rPr>
          <w:vertAlign w:val="subscript"/>
        </w:rPr>
        <w:t>H</w:t>
      </w:r>
      <w:r w:rsidR="008D0AB9" w:rsidRPr="001401D1">
        <w:t xml:space="preserve"> = </w:t>
      </w:r>
      <w:r w:rsidR="001E1120" w:rsidRPr="001401D1">
        <w:t>.002</w:t>
      </w:r>
      <w:r w:rsidR="00C2212E" w:rsidRPr="001401D1">
        <w:rPr>
          <w:shd w:val="clear" w:color="auto" w:fill="FFFFFF"/>
        </w:rPr>
        <w:t xml:space="preserve">; </w:t>
      </w:r>
      <w:r w:rsidR="00C2212E" w:rsidRPr="001401D1">
        <w:rPr>
          <w:i/>
          <w:iCs/>
          <w:shd w:val="clear" w:color="auto" w:fill="FFFFFF"/>
        </w:rPr>
        <w:t>Z</w:t>
      </w:r>
      <w:r w:rsidR="00C2212E" w:rsidRPr="001401D1">
        <w:rPr>
          <w:shd w:val="clear" w:color="auto" w:fill="FFFFFF"/>
          <w:vertAlign w:val="subscript"/>
        </w:rPr>
        <w:t>diff</w:t>
      </w:r>
      <w:r w:rsidR="008D0AB9" w:rsidRPr="001401D1">
        <w:rPr>
          <w:shd w:val="clear" w:color="auto" w:fill="FFFFFF"/>
        </w:rPr>
        <w:t xml:space="preserve"> = </w:t>
      </w:r>
      <w:r w:rsidR="00C2212E" w:rsidRPr="001401D1">
        <w:rPr>
          <w:shd w:val="clear" w:color="auto" w:fill="FFFFFF"/>
        </w:rPr>
        <w:t xml:space="preserve">4.09, </w:t>
      </w:r>
      <w:r w:rsidR="00C2212E" w:rsidRPr="001401D1">
        <w:rPr>
          <w:i/>
          <w:iCs/>
          <w:shd w:val="clear" w:color="auto" w:fill="FFFFFF"/>
        </w:rPr>
        <w:t>p</w:t>
      </w:r>
      <w:r w:rsidR="008D0AB9" w:rsidRPr="001401D1">
        <w:rPr>
          <w:shd w:val="clear" w:color="auto" w:fill="FFFFFF"/>
        </w:rPr>
        <w:t xml:space="preserve"> &lt; </w:t>
      </w:r>
      <w:r w:rsidR="00C2212E" w:rsidRPr="001401D1">
        <w:rPr>
          <w:shd w:val="clear" w:color="auto" w:fill="FFFFFF"/>
        </w:rPr>
        <w:t>.001</w:t>
      </w:r>
      <w:r w:rsidR="001E1120" w:rsidRPr="001401D1">
        <w:t>)</w:t>
      </w:r>
      <w:r w:rsidRPr="001401D1">
        <w:rPr>
          <w:shd w:val="clear" w:color="auto" w:fill="FFFFFF"/>
        </w:rPr>
        <w:t>, respectively</w:t>
      </w:r>
      <w:r w:rsidR="001E1120" w:rsidRPr="001401D1">
        <w:rPr>
          <w:shd w:val="clear" w:color="auto" w:fill="FFFFFF"/>
        </w:rPr>
        <w:t xml:space="preserve">, </w:t>
      </w:r>
      <w:r w:rsidRPr="001401D1">
        <w:rPr>
          <w:shd w:val="clear" w:color="auto" w:fill="FFFFFF"/>
        </w:rPr>
        <w:t>with an adjusted pseudo-</w:t>
      </w:r>
      <w:r w:rsidRPr="001401D1">
        <w:rPr>
          <w:i/>
          <w:shd w:val="clear" w:color="auto" w:fill="FFFFFF"/>
        </w:rPr>
        <w:t>R</w:t>
      </w:r>
      <w:r w:rsidRPr="001401D1">
        <w:rPr>
          <w:shd w:val="clear" w:color="auto" w:fill="FFFFFF"/>
          <w:vertAlign w:val="superscript"/>
        </w:rPr>
        <w:t>2</w:t>
      </w:r>
      <w:r w:rsidRPr="001401D1">
        <w:rPr>
          <w:shd w:val="clear" w:color="auto" w:fill="FFFFFF"/>
        </w:rPr>
        <w:t xml:space="preserve"> of .</w:t>
      </w:r>
      <w:r w:rsidR="00F3585B" w:rsidRPr="001401D1">
        <w:rPr>
          <w:shd w:val="clear" w:color="auto" w:fill="FFFFFF"/>
        </w:rPr>
        <w:t>19</w:t>
      </w:r>
      <w:r w:rsidRPr="001401D1">
        <w:rPr>
          <w:shd w:val="clear" w:color="auto" w:fill="FFFFFF"/>
        </w:rPr>
        <w:t>.</w:t>
      </w:r>
      <w:r w:rsidR="00F3585B" w:rsidRPr="001401D1">
        <w:rPr>
          <w:shd w:val="clear" w:color="auto" w:fill="FFFFFF"/>
        </w:rPr>
        <w:t xml:space="preserve"> For the prospective model with T1 aggressive symptoms as a covariate,</w:t>
      </w:r>
      <w:r w:rsidR="003847D3" w:rsidRPr="001401D1">
        <w:rPr>
          <w:shd w:val="clear" w:color="auto" w:fill="FFFFFF"/>
        </w:rPr>
        <w:t xml:space="preserve"> disinhibition predicted T2 aggressive symptoms with an IRR of 1.36 [1.19, 1.57], </w:t>
      </w:r>
      <w:r w:rsidR="003847D3" w:rsidRPr="001401D1">
        <w:rPr>
          <w:i/>
          <w:iCs/>
          <w:shd w:val="clear" w:color="auto" w:fill="FFFFFF"/>
        </w:rPr>
        <w:t>p</w:t>
      </w:r>
      <w:r w:rsidR="00290A39" w:rsidRPr="001401D1">
        <w:rPr>
          <w:vertAlign w:val="subscript"/>
        </w:rPr>
        <w:t>H</w:t>
      </w:r>
      <w:r w:rsidR="008D0AB9" w:rsidRPr="001401D1">
        <w:rPr>
          <w:shd w:val="clear" w:color="auto" w:fill="FFFFFF"/>
        </w:rPr>
        <w:t xml:space="preserve"> &lt; </w:t>
      </w:r>
      <w:r w:rsidR="003847D3" w:rsidRPr="001401D1">
        <w:rPr>
          <w:shd w:val="clear" w:color="auto" w:fill="FFFFFF"/>
        </w:rPr>
        <w:t xml:space="preserve">.001, </w:t>
      </w:r>
      <w:r w:rsidR="00092B52" w:rsidRPr="001401D1">
        <w:rPr>
          <w:shd w:val="clear" w:color="auto" w:fill="FFFFFF"/>
        </w:rPr>
        <w:t xml:space="preserve">whereas </w:t>
      </w:r>
      <w:r w:rsidR="003847D3" w:rsidRPr="001401D1">
        <w:rPr>
          <w:shd w:val="clear" w:color="auto" w:fill="FFFFFF"/>
        </w:rPr>
        <w:t>callousness showed a</w:t>
      </w:r>
      <w:r w:rsidR="001E1120" w:rsidRPr="001401D1">
        <w:rPr>
          <w:shd w:val="clear" w:color="auto" w:fill="FFFFFF"/>
        </w:rPr>
        <w:t xml:space="preserve"> nonsignificant</w:t>
      </w:r>
      <w:r w:rsidR="003847D3" w:rsidRPr="001401D1">
        <w:rPr>
          <w:shd w:val="clear" w:color="auto" w:fill="FFFFFF"/>
        </w:rPr>
        <w:t xml:space="preserve"> IRR of 1.15 [1.01, 1.31], </w:t>
      </w:r>
      <w:r w:rsidR="003847D3" w:rsidRPr="001401D1">
        <w:rPr>
          <w:i/>
          <w:iCs/>
          <w:shd w:val="clear" w:color="auto" w:fill="FFFFFF"/>
        </w:rPr>
        <w:t>p</w:t>
      </w:r>
      <w:r w:rsidR="00290A39" w:rsidRPr="001401D1">
        <w:rPr>
          <w:vertAlign w:val="subscript"/>
        </w:rPr>
        <w:t>H</w:t>
      </w:r>
      <w:r w:rsidR="008D0AB9" w:rsidRPr="001401D1">
        <w:rPr>
          <w:shd w:val="clear" w:color="auto" w:fill="FFFFFF"/>
        </w:rPr>
        <w:t xml:space="preserve"> = </w:t>
      </w:r>
      <w:r w:rsidR="003847D3" w:rsidRPr="001401D1">
        <w:rPr>
          <w:shd w:val="clear" w:color="auto" w:fill="FFFFFF"/>
        </w:rPr>
        <w:t>.0</w:t>
      </w:r>
      <w:r w:rsidR="001E1120" w:rsidRPr="001401D1">
        <w:rPr>
          <w:shd w:val="clear" w:color="auto" w:fill="FFFFFF"/>
        </w:rPr>
        <w:t>7</w:t>
      </w:r>
      <w:r w:rsidR="00092B52" w:rsidRPr="001401D1">
        <w:rPr>
          <w:shd w:val="clear" w:color="auto" w:fill="FFFFFF"/>
        </w:rPr>
        <w:t>; however, the difference between these IRRs was nonsignificant (</w:t>
      </w:r>
      <w:r w:rsidR="00092B52" w:rsidRPr="001401D1">
        <w:rPr>
          <w:i/>
          <w:iCs/>
          <w:shd w:val="clear" w:color="auto" w:fill="FFFFFF"/>
        </w:rPr>
        <w:t>Z</w:t>
      </w:r>
      <w:r w:rsidR="00092B52" w:rsidRPr="001401D1">
        <w:rPr>
          <w:shd w:val="clear" w:color="auto" w:fill="FFFFFF"/>
          <w:vertAlign w:val="subscript"/>
        </w:rPr>
        <w:t>diff</w:t>
      </w:r>
      <w:r w:rsidR="008D0AB9" w:rsidRPr="001401D1">
        <w:rPr>
          <w:shd w:val="clear" w:color="auto" w:fill="FFFFFF"/>
        </w:rPr>
        <w:t xml:space="preserve"> = </w:t>
      </w:r>
      <w:r w:rsidR="00092B52" w:rsidRPr="001401D1">
        <w:rPr>
          <w:shd w:val="clear" w:color="auto" w:fill="FFFFFF"/>
        </w:rPr>
        <w:t xml:space="preserve">1.43, </w:t>
      </w:r>
      <w:r w:rsidR="00092B52" w:rsidRPr="001401D1">
        <w:rPr>
          <w:i/>
          <w:iCs/>
          <w:shd w:val="clear" w:color="auto" w:fill="FFFFFF"/>
        </w:rPr>
        <w:t>p</w:t>
      </w:r>
      <w:r w:rsidR="008D0AB9" w:rsidRPr="001401D1">
        <w:rPr>
          <w:shd w:val="clear" w:color="auto" w:fill="FFFFFF"/>
        </w:rPr>
        <w:t xml:space="preserve"> = </w:t>
      </w:r>
      <w:r w:rsidR="00092B52" w:rsidRPr="001401D1">
        <w:rPr>
          <w:shd w:val="clear" w:color="auto" w:fill="FFFFFF"/>
        </w:rPr>
        <w:t>.15).</w:t>
      </w:r>
      <w:r w:rsidR="003847D3" w:rsidRPr="001401D1">
        <w:rPr>
          <w:shd w:val="clear" w:color="auto" w:fill="FFFFFF"/>
        </w:rPr>
        <w:t xml:space="preserve"> </w:t>
      </w:r>
      <w:r w:rsidR="00092B52" w:rsidRPr="001401D1">
        <w:rPr>
          <w:shd w:val="clear" w:color="auto" w:fill="FFFFFF"/>
        </w:rPr>
        <w:t>The</w:t>
      </w:r>
      <w:r w:rsidR="003847D3" w:rsidRPr="001401D1">
        <w:rPr>
          <w:shd w:val="clear" w:color="auto" w:fill="FFFFFF"/>
        </w:rPr>
        <w:t xml:space="preserve"> adjusted </w:t>
      </w:r>
      <w:r w:rsidR="003847D3" w:rsidRPr="001401D1">
        <w:rPr>
          <w:shd w:val="clear" w:color="auto" w:fill="FFFFFF"/>
        </w:rPr>
        <w:lastRenderedPageBreak/>
        <w:t>pseudo-</w:t>
      </w:r>
      <w:r w:rsidR="003847D3" w:rsidRPr="001401D1">
        <w:rPr>
          <w:i/>
          <w:iCs/>
          <w:shd w:val="clear" w:color="auto" w:fill="FFFFFF"/>
        </w:rPr>
        <w:t>R</w:t>
      </w:r>
      <w:r w:rsidR="003847D3" w:rsidRPr="001401D1">
        <w:rPr>
          <w:shd w:val="clear" w:color="auto" w:fill="FFFFFF"/>
          <w:vertAlign w:val="superscript"/>
        </w:rPr>
        <w:t>2</w:t>
      </w:r>
      <w:r w:rsidR="003847D3" w:rsidRPr="001401D1">
        <w:rPr>
          <w:shd w:val="clear" w:color="auto" w:fill="FFFFFF"/>
        </w:rPr>
        <w:t xml:space="preserve"> </w:t>
      </w:r>
      <w:r w:rsidR="00092B52" w:rsidRPr="001401D1">
        <w:rPr>
          <w:shd w:val="clear" w:color="auto" w:fill="FFFFFF"/>
        </w:rPr>
        <w:t xml:space="preserve">was </w:t>
      </w:r>
      <w:r w:rsidR="003847D3" w:rsidRPr="001401D1">
        <w:rPr>
          <w:shd w:val="clear" w:color="auto" w:fill="FFFFFF"/>
        </w:rPr>
        <w:t xml:space="preserve">.14. In the residualized model, IRRs were 1.52 [1.33, 1.73], </w:t>
      </w:r>
      <w:r w:rsidR="003847D3" w:rsidRPr="001401D1">
        <w:rPr>
          <w:i/>
          <w:iCs/>
          <w:shd w:val="clear" w:color="auto" w:fill="FFFFFF"/>
        </w:rPr>
        <w:t>p</w:t>
      </w:r>
      <w:r w:rsidR="00290A39" w:rsidRPr="001401D1">
        <w:rPr>
          <w:vertAlign w:val="subscript"/>
        </w:rPr>
        <w:t>H</w:t>
      </w:r>
      <w:r w:rsidR="008D0AB9" w:rsidRPr="001401D1">
        <w:rPr>
          <w:shd w:val="clear" w:color="auto" w:fill="FFFFFF"/>
        </w:rPr>
        <w:t xml:space="preserve"> &lt; </w:t>
      </w:r>
      <w:r w:rsidR="003847D3" w:rsidRPr="001401D1">
        <w:rPr>
          <w:shd w:val="clear" w:color="auto" w:fill="FFFFFF"/>
        </w:rPr>
        <w:t xml:space="preserve">.001 for disinhibition and 1.22 [1.07, 1.39], </w:t>
      </w:r>
      <w:r w:rsidR="003847D3" w:rsidRPr="001401D1">
        <w:rPr>
          <w:i/>
          <w:iCs/>
          <w:shd w:val="clear" w:color="auto" w:fill="FFFFFF"/>
        </w:rPr>
        <w:t>p</w:t>
      </w:r>
      <w:r w:rsidR="00290A39" w:rsidRPr="001401D1">
        <w:rPr>
          <w:vertAlign w:val="subscript"/>
        </w:rPr>
        <w:t>H</w:t>
      </w:r>
      <w:r w:rsidR="008D0AB9" w:rsidRPr="001401D1">
        <w:rPr>
          <w:shd w:val="clear" w:color="auto" w:fill="FFFFFF"/>
        </w:rPr>
        <w:t xml:space="preserve"> = </w:t>
      </w:r>
      <w:r w:rsidR="003847D3" w:rsidRPr="001401D1">
        <w:rPr>
          <w:shd w:val="clear" w:color="auto" w:fill="FFFFFF"/>
        </w:rPr>
        <w:t>.01 for callousness predicting aggression</w:t>
      </w:r>
      <w:r w:rsidR="00092B52" w:rsidRPr="001401D1">
        <w:rPr>
          <w:shd w:val="clear" w:color="auto" w:fill="FFFFFF"/>
        </w:rPr>
        <w:t xml:space="preserve"> (</w:t>
      </w:r>
      <w:r w:rsidR="00092B52" w:rsidRPr="001401D1">
        <w:rPr>
          <w:i/>
          <w:iCs/>
          <w:shd w:val="clear" w:color="auto" w:fill="FFFFFF"/>
        </w:rPr>
        <w:t>Z</w:t>
      </w:r>
      <w:r w:rsidR="00092B52" w:rsidRPr="001401D1">
        <w:rPr>
          <w:shd w:val="clear" w:color="auto" w:fill="FFFFFF"/>
          <w:vertAlign w:val="subscript"/>
        </w:rPr>
        <w:t>diff</w:t>
      </w:r>
      <w:r w:rsidR="008D0AB9" w:rsidRPr="001401D1">
        <w:rPr>
          <w:shd w:val="clear" w:color="auto" w:fill="FFFFFF"/>
        </w:rPr>
        <w:t xml:space="preserve"> = </w:t>
      </w:r>
      <w:r w:rsidR="00092B52" w:rsidRPr="001401D1">
        <w:rPr>
          <w:shd w:val="clear" w:color="auto" w:fill="FFFFFF"/>
        </w:rPr>
        <w:t xml:space="preserve">1.88, </w:t>
      </w:r>
      <w:r w:rsidR="00092B52" w:rsidRPr="001401D1">
        <w:rPr>
          <w:i/>
          <w:iCs/>
          <w:shd w:val="clear" w:color="auto" w:fill="FFFFFF"/>
        </w:rPr>
        <w:t>p</w:t>
      </w:r>
      <w:r w:rsidR="008D0AB9" w:rsidRPr="001401D1">
        <w:rPr>
          <w:shd w:val="clear" w:color="auto" w:fill="FFFFFF"/>
        </w:rPr>
        <w:t xml:space="preserve"> = </w:t>
      </w:r>
      <w:r w:rsidR="00092B52" w:rsidRPr="001401D1">
        <w:rPr>
          <w:shd w:val="clear" w:color="auto" w:fill="FFFFFF"/>
        </w:rPr>
        <w:t>.06)</w:t>
      </w:r>
      <w:r w:rsidR="003847D3" w:rsidRPr="001401D1">
        <w:rPr>
          <w:shd w:val="clear" w:color="auto" w:fill="FFFFFF"/>
        </w:rPr>
        <w:t>, with an adjusted pseudo-</w:t>
      </w:r>
      <w:r w:rsidR="003847D3" w:rsidRPr="001401D1">
        <w:rPr>
          <w:i/>
          <w:iCs/>
          <w:shd w:val="clear" w:color="auto" w:fill="FFFFFF"/>
        </w:rPr>
        <w:t>R</w:t>
      </w:r>
      <w:r w:rsidR="003847D3" w:rsidRPr="001401D1">
        <w:rPr>
          <w:shd w:val="clear" w:color="auto" w:fill="FFFFFF"/>
          <w:vertAlign w:val="superscript"/>
        </w:rPr>
        <w:t>2</w:t>
      </w:r>
      <w:r w:rsidR="003847D3" w:rsidRPr="001401D1">
        <w:rPr>
          <w:shd w:val="clear" w:color="auto" w:fill="FFFFFF"/>
        </w:rPr>
        <w:t xml:space="preserve"> of </w:t>
      </w:r>
      <w:r w:rsidR="00A41D18" w:rsidRPr="001401D1">
        <w:rPr>
          <w:shd w:val="clear" w:color="auto" w:fill="FFFFFF"/>
        </w:rPr>
        <w:t>.14.</w:t>
      </w:r>
    </w:p>
    <w:p w14:paraId="4295CAA7" w14:textId="77777777" w:rsidR="00780B62" w:rsidRPr="001401D1" w:rsidRDefault="00780B62">
      <w:r w:rsidRPr="001401D1">
        <w:br w:type="page"/>
      </w:r>
    </w:p>
    <w:tbl>
      <w:tblPr>
        <w:tblW w:w="9270" w:type="dxa"/>
        <w:tblLayout w:type="fixed"/>
        <w:tblLook w:val="04A0" w:firstRow="1" w:lastRow="0" w:firstColumn="1" w:lastColumn="0" w:noHBand="0" w:noVBand="1"/>
      </w:tblPr>
      <w:tblGrid>
        <w:gridCol w:w="1620"/>
        <w:gridCol w:w="270"/>
        <w:gridCol w:w="1800"/>
        <w:gridCol w:w="270"/>
        <w:gridCol w:w="1800"/>
        <w:gridCol w:w="270"/>
        <w:gridCol w:w="3240"/>
      </w:tblGrid>
      <w:tr w:rsidR="004611D4" w:rsidRPr="004611D4" w14:paraId="52800C7E" w14:textId="77777777" w:rsidTr="006E41E6">
        <w:trPr>
          <w:trHeight w:val="378"/>
        </w:trPr>
        <w:tc>
          <w:tcPr>
            <w:tcW w:w="9270" w:type="dxa"/>
            <w:gridSpan w:val="7"/>
            <w:tcBorders>
              <w:top w:val="nil"/>
              <w:left w:val="nil"/>
              <w:bottom w:val="single" w:sz="4" w:space="0" w:color="auto"/>
              <w:right w:val="nil"/>
            </w:tcBorders>
            <w:shd w:val="clear" w:color="auto" w:fill="auto"/>
            <w:noWrap/>
            <w:vAlign w:val="center"/>
            <w:hideMark/>
          </w:tcPr>
          <w:p w14:paraId="5E8FECE6" w14:textId="5E3F6F18" w:rsidR="00D2648E" w:rsidRPr="004611D4" w:rsidRDefault="00D2648E" w:rsidP="005F1781">
            <w:r w:rsidRPr="004611D4">
              <w:rPr>
                <w:b/>
                <w:bCs/>
              </w:rPr>
              <w:lastRenderedPageBreak/>
              <w:t>Supplemental Table</w:t>
            </w:r>
            <w:r w:rsidR="001E3653" w:rsidRPr="004611D4">
              <w:rPr>
                <w:b/>
                <w:bCs/>
              </w:rPr>
              <w:t xml:space="preserve"> </w:t>
            </w:r>
            <w:r w:rsidR="006E7A21" w:rsidRPr="004611D4">
              <w:rPr>
                <w:b/>
                <w:bCs/>
              </w:rPr>
              <w:t>A</w:t>
            </w:r>
            <w:r w:rsidR="004E1C56" w:rsidRPr="004611D4">
              <w:rPr>
                <w:b/>
                <w:bCs/>
              </w:rPr>
              <w:t>.</w:t>
            </w:r>
            <w:r w:rsidRPr="004611D4">
              <w:t xml:space="preserve"> </w:t>
            </w:r>
            <w:r w:rsidRPr="004611D4">
              <w:rPr>
                <w:iCs/>
              </w:rPr>
              <w:t>I</w:t>
            </w:r>
            <w:r w:rsidR="004E1C56" w:rsidRPr="004611D4">
              <w:rPr>
                <w:iCs/>
              </w:rPr>
              <w:t>tems and Psychometric Properties of Final IMAGEN-Callousness Scale</w:t>
            </w:r>
          </w:p>
        </w:tc>
      </w:tr>
      <w:tr w:rsidR="004611D4" w:rsidRPr="004611D4" w14:paraId="1BCFA424" w14:textId="77777777" w:rsidTr="006E41E6">
        <w:trPr>
          <w:trHeight w:val="288"/>
        </w:trPr>
        <w:tc>
          <w:tcPr>
            <w:tcW w:w="1620" w:type="dxa"/>
            <w:tcBorders>
              <w:top w:val="single" w:sz="4" w:space="0" w:color="auto"/>
              <w:left w:val="nil"/>
              <w:right w:val="nil"/>
            </w:tcBorders>
            <w:shd w:val="clear" w:color="auto" w:fill="auto"/>
            <w:noWrap/>
            <w:vAlign w:val="center"/>
          </w:tcPr>
          <w:p w14:paraId="7F3EDB80" w14:textId="65D76D03" w:rsidR="001E608B" w:rsidRPr="004611D4" w:rsidRDefault="001E608B" w:rsidP="005F1781">
            <w:pPr>
              <w:jc w:val="center"/>
            </w:pPr>
            <w:r w:rsidRPr="004611D4">
              <w:t>Source &amp;</w:t>
            </w:r>
          </w:p>
        </w:tc>
        <w:tc>
          <w:tcPr>
            <w:tcW w:w="270" w:type="dxa"/>
            <w:tcBorders>
              <w:top w:val="single" w:sz="4" w:space="0" w:color="auto"/>
              <w:left w:val="nil"/>
              <w:right w:val="nil"/>
            </w:tcBorders>
            <w:shd w:val="clear" w:color="auto" w:fill="auto"/>
            <w:vAlign w:val="center"/>
          </w:tcPr>
          <w:p w14:paraId="2C120230" w14:textId="293ED8F1" w:rsidR="001E608B" w:rsidRPr="004611D4" w:rsidRDefault="001E608B" w:rsidP="005F1781">
            <w:pPr>
              <w:jc w:val="center"/>
            </w:pPr>
          </w:p>
        </w:tc>
        <w:tc>
          <w:tcPr>
            <w:tcW w:w="3870" w:type="dxa"/>
            <w:gridSpan w:val="3"/>
            <w:tcBorders>
              <w:top w:val="single" w:sz="4" w:space="0" w:color="auto"/>
              <w:left w:val="nil"/>
              <w:bottom w:val="single" w:sz="4" w:space="0" w:color="auto"/>
              <w:right w:val="nil"/>
            </w:tcBorders>
            <w:shd w:val="clear" w:color="auto" w:fill="auto"/>
            <w:vAlign w:val="center"/>
          </w:tcPr>
          <w:p w14:paraId="51F8AD59" w14:textId="592123C3" w:rsidR="001E608B" w:rsidRPr="004611D4" w:rsidRDefault="001E608B" w:rsidP="005F1781">
            <w:pPr>
              <w:jc w:val="center"/>
              <w:rPr>
                <w:i/>
                <w:iCs/>
              </w:rPr>
            </w:pPr>
            <w:r w:rsidRPr="004611D4">
              <w:t xml:space="preserve">Corrected Item-Total </w:t>
            </w:r>
            <w:r w:rsidRPr="004611D4">
              <w:rPr>
                <w:i/>
                <w:iCs/>
              </w:rPr>
              <w:t>r</w:t>
            </w:r>
          </w:p>
        </w:tc>
        <w:tc>
          <w:tcPr>
            <w:tcW w:w="270" w:type="dxa"/>
            <w:tcBorders>
              <w:top w:val="single" w:sz="4" w:space="0" w:color="auto"/>
              <w:left w:val="nil"/>
            </w:tcBorders>
            <w:shd w:val="clear" w:color="auto" w:fill="auto"/>
            <w:vAlign w:val="center"/>
          </w:tcPr>
          <w:p w14:paraId="49EAB6F7" w14:textId="302D3937" w:rsidR="001E608B" w:rsidRPr="004611D4" w:rsidRDefault="001E608B" w:rsidP="005F1781">
            <w:pPr>
              <w:jc w:val="center"/>
            </w:pPr>
          </w:p>
        </w:tc>
        <w:tc>
          <w:tcPr>
            <w:tcW w:w="3240" w:type="dxa"/>
            <w:tcBorders>
              <w:top w:val="single" w:sz="4" w:space="0" w:color="auto"/>
              <w:right w:val="nil"/>
            </w:tcBorders>
            <w:shd w:val="clear" w:color="auto" w:fill="auto"/>
            <w:vAlign w:val="center"/>
          </w:tcPr>
          <w:p w14:paraId="7250AB7C" w14:textId="4B8E45A1" w:rsidR="001E608B" w:rsidRPr="004611D4" w:rsidRDefault="001E608B" w:rsidP="005F1781">
            <w:pPr>
              <w:jc w:val="center"/>
            </w:pPr>
          </w:p>
        </w:tc>
      </w:tr>
      <w:tr w:rsidR="004611D4" w:rsidRPr="004611D4" w14:paraId="0E428C2F" w14:textId="77777777" w:rsidTr="006E41E6">
        <w:trPr>
          <w:trHeight w:val="288"/>
        </w:trPr>
        <w:tc>
          <w:tcPr>
            <w:tcW w:w="1620" w:type="dxa"/>
            <w:tcBorders>
              <w:top w:val="nil"/>
              <w:left w:val="nil"/>
              <w:bottom w:val="single" w:sz="4" w:space="0" w:color="auto"/>
              <w:right w:val="nil"/>
            </w:tcBorders>
            <w:shd w:val="clear" w:color="auto" w:fill="auto"/>
            <w:noWrap/>
            <w:vAlign w:val="center"/>
            <w:hideMark/>
          </w:tcPr>
          <w:p w14:paraId="07D8C8BB" w14:textId="4A103354" w:rsidR="00D2648E" w:rsidRPr="004611D4" w:rsidRDefault="004E1C56" w:rsidP="005F1781">
            <w:pPr>
              <w:jc w:val="center"/>
            </w:pPr>
            <w:r w:rsidRPr="004611D4">
              <w:t>Item Number</w:t>
            </w:r>
          </w:p>
        </w:tc>
        <w:tc>
          <w:tcPr>
            <w:tcW w:w="270" w:type="dxa"/>
            <w:tcBorders>
              <w:top w:val="nil"/>
              <w:left w:val="nil"/>
              <w:bottom w:val="nil"/>
              <w:right w:val="nil"/>
            </w:tcBorders>
            <w:vAlign w:val="center"/>
          </w:tcPr>
          <w:p w14:paraId="229964A2" w14:textId="77777777" w:rsidR="00D2648E" w:rsidRPr="004611D4" w:rsidRDefault="00D2648E" w:rsidP="005F1781">
            <w:pPr>
              <w:jc w:val="center"/>
            </w:pPr>
          </w:p>
        </w:tc>
        <w:tc>
          <w:tcPr>
            <w:tcW w:w="1800" w:type="dxa"/>
            <w:tcBorders>
              <w:top w:val="nil"/>
              <w:left w:val="nil"/>
              <w:bottom w:val="single" w:sz="4" w:space="0" w:color="auto"/>
              <w:right w:val="nil"/>
            </w:tcBorders>
            <w:shd w:val="clear" w:color="auto" w:fill="auto"/>
            <w:noWrap/>
            <w:vAlign w:val="center"/>
            <w:hideMark/>
          </w:tcPr>
          <w:p w14:paraId="71B66541" w14:textId="7350AF19" w:rsidR="00D2648E" w:rsidRPr="004611D4" w:rsidRDefault="001E608B" w:rsidP="005F1781">
            <w:pPr>
              <w:jc w:val="center"/>
            </w:pPr>
            <w:r w:rsidRPr="004611D4">
              <w:t>Sample Half 1</w:t>
            </w:r>
          </w:p>
        </w:tc>
        <w:tc>
          <w:tcPr>
            <w:tcW w:w="270" w:type="dxa"/>
            <w:tcBorders>
              <w:top w:val="nil"/>
              <w:left w:val="nil"/>
              <w:bottom w:val="nil"/>
              <w:right w:val="nil"/>
            </w:tcBorders>
            <w:vAlign w:val="center"/>
          </w:tcPr>
          <w:p w14:paraId="7D57569C" w14:textId="77777777" w:rsidR="00D2648E" w:rsidRPr="004611D4" w:rsidRDefault="00D2648E" w:rsidP="005F1781">
            <w:pPr>
              <w:jc w:val="center"/>
            </w:pPr>
          </w:p>
        </w:tc>
        <w:tc>
          <w:tcPr>
            <w:tcW w:w="1800" w:type="dxa"/>
            <w:tcBorders>
              <w:top w:val="nil"/>
              <w:left w:val="nil"/>
              <w:bottom w:val="single" w:sz="4" w:space="0" w:color="auto"/>
              <w:right w:val="nil"/>
            </w:tcBorders>
            <w:shd w:val="clear" w:color="auto" w:fill="auto"/>
            <w:vAlign w:val="center"/>
            <w:hideMark/>
          </w:tcPr>
          <w:p w14:paraId="1AA2A35F" w14:textId="61BDEF0D" w:rsidR="00D2648E" w:rsidRPr="004611D4" w:rsidRDefault="001E608B" w:rsidP="005F1781">
            <w:pPr>
              <w:jc w:val="center"/>
            </w:pPr>
            <w:r w:rsidRPr="004611D4">
              <w:t>Sample Half 2</w:t>
            </w:r>
          </w:p>
        </w:tc>
        <w:tc>
          <w:tcPr>
            <w:tcW w:w="270" w:type="dxa"/>
            <w:tcBorders>
              <w:top w:val="nil"/>
              <w:left w:val="nil"/>
            </w:tcBorders>
            <w:vAlign w:val="center"/>
          </w:tcPr>
          <w:p w14:paraId="6C62415C" w14:textId="77777777" w:rsidR="00D2648E" w:rsidRPr="004611D4" w:rsidRDefault="00D2648E" w:rsidP="005F1781">
            <w:pPr>
              <w:jc w:val="center"/>
            </w:pPr>
          </w:p>
        </w:tc>
        <w:tc>
          <w:tcPr>
            <w:tcW w:w="3240" w:type="dxa"/>
            <w:tcBorders>
              <w:top w:val="nil"/>
              <w:bottom w:val="single" w:sz="4" w:space="0" w:color="auto"/>
              <w:right w:val="nil"/>
            </w:tcBorders>
            <w:shd w:val="clear" w:color="auto" w:fill="auto"/>
            <w:noWrap/>
            <w:vAlign w:val="center"/>
            <w:hideMark/>
          </w:tcPr>
          <w:p w14:paraId="10725C10" w14:textId="77777777" w:rsidR="00D2648E" w:rsidRPr="004611D4" w:rsidRDefault="00D2648E" w:rsidP="005F1781">
            <w:pPr>
              <w:jc w:val="center"/>
            </w:pPr>
            <w:r w:rsidRPr="004611D4">
              <w:t>Item Content</w:t>
            </w:r>
          </w:p>
        </w:tc>
      </w:tr>
      <w:tr w:rsidR="004611D4" w:rsidRPr="004611D4" w14:paraId="14739D5E" w14:textId="77777777" w:rsidTr="006E41E6">
        <w:trPr>
          <w:trHeight w:val="288"/>
        </w:trPr>
        <w:tc>
          <w:tcPr>
            <w:tcW w:w="1620" w:type="dxa"/>
            <w:tcBorders>
              <w:top w:val="nil"/>
              <w:left w:val="nil"/>
              <w:bottom w:val="nil"/>
              <w:right w:val="nil"/>
            </w:tcBorders>
            <w:shd w:val="clear" w:color="auto" w:fill="auto"/>
            <w:noWrap/>
            <w:vAlign w:val="center"/>
            <w:hideMark/>
          </w:tcPr>
          <w:p w14:paraId="2A08ADA9" w14:textId="466831E9" w:rsidR="00785890" w:rsidRPr="004611D4" w:rsidRDefault="00A24E1E" w:rsidP="005F1781">
            <w:pPr>
              <w:tabs>
                <w:tab w:val="left" w:pos="342"/>
              </w:tabs>
            </w:pPr>
            <w:r w:rsidRPr="004611D4">
              <w:t>NEO-FFI</w:t>
            </w:r>
          </w:p>
        </w:tc>
        <w:tc>
          <w:tcPr>
            <w:tcW w:w="270" w:type="dxa"/>
            <w:tcBorders>
              <w:top w:val="nil"/>
              <w:left w:val="nil"/>
              <w:bottom w:val="nil"/>
              <w:right w:val="nil"/>
            </w:tcBorders>
            <w:vAlign w:val="center"/>
          </w:tcPr>
          <w:p w14:paraId="29FAE3EB" w14:textId="77777777" w:rsidR="00785890" w:rsidRPr="004611D4" w:rsidRDefault="00785890" w:rsidP="005F1781">
            <w:pPr>
              <w:jc w:val="center"/>
            </w:pPr>
          </w:p>
        </w:tc>
        <w:tc>
          <w:tcPr>
            <w:tcW w:w="1800" w:type="dxa"/>
            <w:tcBorders>
              <w:top w:val="nil"/>
              <w:left w:val="nil"/>
              <w:bottom w:val="nil"/>
              <w:right w:val="nil"/>
            </w:tcBorders>
            <w:shd w:val="clear" w:color="auto" w:fill="auto"/>
            <w:noWrap/>
            <w:vAlign w:val="center"/>
          </w:tcPr>
          <w:p w14:paraId="190678B4" w14:textId="64DA70ED" w:rsidR="00785890" w:rsidRPr="004611D4" w:rsidRDefault="00785890" w:rsidP="005F1781">
            <w:pPr>
              <w:jc w:val="center"/>
            </w:pPr>
          </w:p>
        </w:tc>
        <w:tc>
          <w:tcPr>
            <w:tcW w:w="270" w:type="dxa"/>
            <w:tcBorders>
              <w:top w:val="nil"/>
              <w:left w:val="nil"/>
              <w:bottom w:val="nil"/>
              <w:right w:val="nil"/>
            </w:tcBorders>
            <w:vAlign w:val="center"/>
          </w:tcPr>
          <w:p w14:paraId="28514C10" w14:textId="77777777" w:rsidR="00785890" w:rsidRPr="004611D4" w:rsidRDefault="00785890" w:rsidP="005F1781">
            <w:pPr>
              <w:jc w:val="center"/>
            </w:pPr>
          </w:p>
        </w:tc>
        <w:tc>
          <w:tcPr>
            <w:tcW w:w="1800" w:type="dxa"/>
            <w:tcBorders>
              <w:top w:val="nil"/>
              <w:left w:val="nil"/>
              <w:bottom w:val="nil"/>
              <w:right w:val="nil"/>
            </w:tcBorders>
            <w:shd w:val="clear" w:color="auto" w:fill="auto"/>
            <w:noWrap/>
            <w:vAlign w:val="center"/>
          </w:tcPr>
          <w:p w14:paraId="51DFBDE7" w14:textId="79F45D3B" w:rsidR="00785890" w:rsidRPr="004611D4" w:rsidRDefault="00785890" w:rsidP="005F1781">
            <w:pPr>
              <w:jc w:val="center"/>
            </w:pPr>
          </w:p>
        </w:tc>
        <w:tc>
          <w:tcPr>
            <w:tcW w:w="270" w:type="dxa"/>
            <w:tcBorders>
              <w:left w:val="nil"/>
              <w:bottom w:val="nil"/>
              <w:right w:val="nil"/>
            </w:tcBorders>
            <w:vAlign w:val="center"/>
          </w:tcPr>
          <w:p w14:paraId="0F853AAF" w14:textId="77777777" w:rsidR="00785890" w:rsidRPr="004611D4" w:rsidRDefault="00785890" w:rsidP="005F1781">
            <w:pPr>
              <w:jc w:val="center"/>
            </w:pPr>
          </w:p>
        </w:tc>
        <w:tc>
          <w:tcPr>
            <w:tcW w:w="3240" w:type="dxa"/>
            <w:tcBorders>
              <w:top w:val="single" w:sz="4" w:space="0" w:color="auto"/>
              <w:left w:val="nil"/>
              <w:bottom w:val="nil"/>
              <w:right w:val="nil"/>
            </w:tcBorders>
            <w:shd w:val="clear" w:color="auto" w:fill="auto"/>
            <w:noWrap/>
            <w:vAlign w:val="center"/>
          </w:tcPr>
          <w:p w14:paraId="05291768" w14:textId="228095A1" w:rsidR="00785890" w:rsidRPr="004611D4" w:rsidRDefault="00785890" w:rsidP="005F1781">
            <w:pPr>
              <w:jc w:val="center"/>
            </w:pPr>
          </w:p>
        </w:tc>
      </w:tr>
      <w:tr w:rsidR="004611D4" w:rsidRPr="004611D4" w14:paraId="34EC2C88" w14:textId="77777777" w:rsidTr="006E41E6">
        <w:trPr>
          <w:trHeight w:val="288"/>
        </w:trPr>
        <w:tc>
          <w:tcPr>
            <w:tcW w:w="1620" w:type="dxa"/>
            <w:tcBorders>
              <w:top w:val="nil"/>
              <w:left w:val="nil"/>
              <w:bottom w:val="nil"/>
              <w:right w:val="nil"/>
            </w:tcBorders>
            <w:shd w:val="clear" w:color="auto" w:fill="auto"/>
            <w:noWrap/>
            <w:vAlign w:val="center"/>
            <w:hideMark/>
          </w:tcPr>
          <w:p w14:paraId="3268D58C" w14:textId="43CC779D" w:rsidR="003B65FC" w:rsidRPr="004611D4" w:rsidRDefault="003B65FC" w:rsidP="006E41E6">
            <w:pPr>
              <w:tabs>
                <w:tab w:val="left" w:pos="342"/>
              </w:tabs>
              <w:ind w:left="434"/>
            </w:pPr>
            <w:r w:rsidRPr="004611D4">
              <w:t>4 (–)</w:t>
            </w:r>
          </w:p>
        </w:tc>
        <w:tc>
          <w:tcPr>
            <w:tcW w:w="270" w:type="dxa"/>
            <w:tcBorders>
              <w:top w:val="nil"/>
              <w:left w:val="nil"/>
              <w:bottom w:val="nil"/>
              <w:right w:val="nil"/>
            </w:tcBorders>
            <w:vAlign w:val="center"/>
          </w:tcPr>
          <w:p w14:paraId="7AD530C0"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5FBC2E3C" w14:textId="4A8CB5DC" w:rsidR="003B65FC" w:rsidRPr="004611D4" w:rsidRDefault="003B65FC" w:rsidP="003B65FC">
            <w:pPr>
              <w:jc w:val="center"/>
            </w:pPr>
            <w:r w:rsidRPr="004611D4">
              <w:t>.3</w:t>
            </w:r>
            <w:r w:rsidR="00871842" w:rsidRPr="004611D4">
              <w:t>6</w:t>
            </w:r>
          </w:p>
        </w:tc>
        <w:tc>
          <w:tcPr>
            <w:tcW w:w="270" w:type="dxa"/>
            <w:tcBorders>
              <w:top w:val="nil"/>
              <w:left w:val="nil"/>
              <w:bottom w:val="nil"/>
              <w:right w:val="nil"/>
            </w:tcBorders>
            <w:vAlign w:val="center"/>
          </w:tcPr>
          <w:p w14:paraId="514690A2" w14:textId="2ACFCC5E"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1B2772B7" w14:textId="04EF5B08" w:rsidR="003B65FC" w:rsidRPr="004611D4" w:rsidRDefault="003B65FC" w:rsidP="003B65FC">
            <w:pPr>
              <w:jc w:val="center"/>
            </w:pPr>
            <w:r w:rsidRPr="004611D4">
              <w:t>.</w:t>
            </w:r>
            <w:r w:rsidR="0031708A" w:rsidRPr="004611D4">
              <w:t>43</w:t>
            </w:r>
          </w:p>
        </w:tc>
        <w:tc>
          <w:tcPr>
            <w:tcW w:w="270" w:type="dxa"/>
            <w:tcBorders>
              <w:top w:val="nil"/>
              <w:left w:val="nil"/>
              <w:bottom w:val="nil"/>
              <w:right w:val="nil"/>
            </w:tcBorders>
            <w:vAlign w:val="center"/>
          </w:tcPr>
          <w:p w14:paraId="5368A47B" w14:textId="77777777" w:rsidR="003B65FC" w:rsidRPr="004611D4" w:rsidRDefault="003B65FC" w:rsidP="003B65FC">
            <w:pPr>
              <w:jc w:val="center"/>
            </w:pPr>
          </w:p>
        </w:tc>
        <w:tc>
          <w:tcPr>
            <w:tcW w:w="3240" w:type="dxa"/>
            <w:tcBorders>
              <w:top w:val="nil"/>
              <w:left w:val="nil"/>
              <w:bottom w:val="nil"/>
              <w:right w:val="nil"/>
            </w:tcBorders>
            <w:shd w:val="clear" w:color="auto" w:fill="auto"/>
            <w:noWrap/>
            <w:vAlign w:val="center"/>
          </w:tcPr>
          <w:p w14:paraId="707ADFE4" w14:textId="1C75A955" w:rsidR="003B65FC" w:rsidRPr="004611D4" w:rsidRDefault="00B0358F" w:rsidP="003B65FC">
            <w:pPr>
              <w:jc w:val="center"/>
            </w:pPr>
            <w:r w:rsidRPr="004611D4">
              <w:t>Courteous (–)</w:t>
            </w:r>
          </w:p>
        </w:tc>
      </w:tr>
      <w:tr w:rsidR="004611D4" w:rsidRPr="004611D4" w14:paraId="5A05F02A" w14:textId="77777777" w:rsidTr="006E41E6">
        <w:trPr>
          <w:trHeight w:val="288"/>
        </w:trPr>
        <w:tc>
          <w:tcPr>
            <w:tcW w:w="1620" w:type="dxa"/>
            <w:tcBorders>
              <w:top w:val="nil"/>
              <w:left w:val="nil"/>
              <w:bottom w:val="nil"/>
              <w:right w:val="nil"/>
            </w:tcBorders>
            <w:shd w:val="clear" w:color="auto" w:fill="auto"/>
            <w:noWrap/>
            <w:vAlign w:val="center"/>
          </w:tcPr>
          <w:p w14:paraId="63753D3D" w14:textId="561A718F" w:rsidR="003B65FC" w:rsidRPr="004611D4" w:rsidRDefault="003B65FC" w:rsidP="006E41E6">
            <w:pPr>
              <w:tabs>
                <w:tab w:val="left" w:pos="342"/>
              </w:tabs>
              <w:ind w:left="434"/>
            </w:pPr>
            <w:r w:rsidRPr="004611D4">
              <w:t>14</w:t>
            </w:r>
          </w:p>
        </w:tc>
        <w:tc>
          <w:tcPr>
            <w:tcW w:w="270" w:type="dxa"/>
            <w:tcBorders>
              <w:top w:val="nil"/>
              <w:left w:val="nil"/>
              <w:bottom w:val="nil"/>
              <w:right w:val="nil"/>
            </w:tcBorders>
            <w:vAlign w:val="center"/>
          </w:tcPr>
          <w:p w14:paraId="23BB3337"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5FA88797" w14:textId="1FE59CBD" w:rsidR="003B65FC" w:rsidRPr="004611D4" w:rsidRDefault="003B65FC" w:rsidP="003B65FC">
            <w:pPr>
              <w:jc w:val="center"/>
            </w:pPr>
            <w:r w:rsidRPr="004611D4">
              <w:t>.4</w:t>
            </w:r>
            <w:r w:rsidR="00871842" w:rsidRPr="004611D4">
              <w:t>3</w:t>
            </w:r>
          </w:p>
        </w:tc>
        <w:tc>
          <w:tcPr>
            <w:tcW w:w="270" w:type="dxa"/>
            <w:tcBorders>
              <w:top w:val="nil"/>
              <w:left w:val="nil"/>
              <w:bottom w:val="nil"/>
              <w:right w:val="nil"/>
            </w:tcBorders>
            <w:vAlign w:val="center"/>
          </w:tcPr>
          <w:p w14:paraId="5F66980D"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7DE40FA6" w14:textId="3C871781" w:rsidR="003B65FC" w:rsidRPr="004611D4" w:rsidRDefault="003B65FC" w:rsidP="003B65FC">
            <w:pPr>
              <w:jc w:val="center"/>
            </w:pPr>
            <w:r w:rsidRPr="004611D4">
              <w:t>.</w:t>
            </w:r>
            <w:r w:rsidR="0031708A" w:rsidRPr="004611D4">
              <w:t>4</w:t>
            </w:r>
            <w:r w:rsidR="00871842" w:rsidRPr="004611D4">
              <w:t>0</w:t>
            </w:r>
          </w:p>
        </w:tc>
        <w:tc>
          <w:tcPr>
            <w:tcW w:w="270" w:type="dxa"/>
            <w:tcBorders>
              <w:top w:val="nil"/>
              <w:left w:val="nil"/>
              <w:bottom w:val="nil"/>
              <w:right w:val="nil"/>
            </w:tcBorders>
            <w:vAlign w:val="center"/>
          </w:tcPr>
          <w:p w14:paraId="313946D8" w14:textId="77777777" w:rsidR="003B65FC" w:rsidRPr="004611D4" w:rsidRDefault="003B65FC" w:rsidP="003B65FC">
            <w:pPr>
              <w:jc w:val="center"/>
            </w:pPr>
          </w:p>
        </w:tc>
        <w:tc>
          <w:tcPr>
            <w:tcW w:w="3240" w:type="dxa"/>
            <w:tcBorders>
              <w:top w:val="nil"/>
              <w:left w:val="nil"/>
              <w:bottom w:val="nil"/>
              <w:right w:val="nil"/>
            </w:tcBorders>
            <w:shd w:val="clear" w:color="auto" w:fill="auto"/>
            <w:noWrap/>
            <w:vAlign w:val="center"/>
          </w:tcPr>
          <w:p w14:paraId="7D5FA9E7" w14:textId="507FE1A5" w:rsidR="003B65FC" w:rsidRPr="004611D4" w:rsidRDefault="003B65FC" w:rsidP="003B65FC">
            <w:pPr>
              <w:jc w:val="center"/>
            </w:pPr>
            <w:r w:rsidRPr="004611D4">
              <w:t>Selfish</w:t>
            </w:r>
            <w:r w:rsidR="00B0358F" w:rsidRPr="004611D4">
              <w:t>, Egotistical</w:t>
            </w:r>
          </w:p>
        </w:tc>
      </w:tr>
      <w:tr w:rsidR="004611D4" w:rsidRPr="004611D4" w14:paraId="778C21EA" w14:textId="77777777" w:rsidTr="006E41E6">
        <w:trPr>
          <w:trHeight w:val="288"/>
        </w:trPr>
        <w:tc>
          <w:tcPr>
            <w:tcW w:w="1620" w:type="dxa"/>
            <w:tcBorders>
              <w:top w:val="nil"/>
              <w:left w:val="nil"/>
              <w:bottom w:val="nil"/>
              <w:right w:val="nil"/>
            </w:tcBorders>
            <w:shd w:val="clear" w:color="auto" w:fill="auto"/>
            <w:noWrap/>
            <w:vAlign w:val="center"/>
          </w:tcPr>
          <w:p w14:paraId="30DB4ECE" w14:textId="2C661737" w:rsidR="003B65FC" w:rsidRPr="004611D4" w:rsidRDefault="003B65FC" w:rsidP="006E41E6">
            <w:pPr>
              <w:tabs>
                <w:tab w:val="left" w:pos="342"/>
              </w:tabs>
              <w:ind w:left="434"/>
            </w:pPr>
            <w:r w:rsidRPr="004611D4">
              <w:t xml:space="preserve">19 </w:t>
            </w:r>
            <w:bookmarkStart w:id="15" w:name="OLE_LINK151"/>
            <w:bookmarkStart w:id="16" w:name="OLE_LINK152"/>
            <w:r w:rsidRPr="004611D4">
              <w:t>(–)</w:t>
            </w:r>
            <w:bookmarkEnd w:id="15"/>
            <w:bookmarkEnd w:id="16"/>
          </w:p>
        </w:tc>
        <w:tc>
          <w:tcPr>
            <w:tcW w:w="270" w:type="dxa"/>
            <w:tcBorders>
              <w:top w:val="nil"/>
              <w:left w:val="nil"/>
              <w:bottom w:val="nil"/>
              <w:right w:val="nil"/>
            </w:tcBorders>
            <w:vAlign w:val="center"/>
          </w:tcPr>
          <w:p w14:paraId="686AFC9D"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6B6A13AF" w14:textId="082A8286" w:rsidR="003B65FC" w:rsidRPr="004611D4" w:rsidRDefault="003B65FC" w:rsidP="003B65FC">
            <w:pPr>
              <w:jc w:val="center"/>
            </w:pPr>
            <w:r w:rsidRPr="004611D4">
              <w:t>.</w:t>
            </w:r>
            <w:r w:rsidR="00871842" w:rsidRPr="004611D4">
              <w:t>17</w:t>
            </w:r>
          </w:p>
        </w:tc>
        <w:tc>
          <w:tcPr>
            <w:tcW w:w="270" w:type="dxa"/>
            <w:tcBorders>
              <w:top w:val="nil"/>
              <w:left w:val="nil"/>
              <w:bottom w:val="nil"/>
              <w:right w:val="nil"/>
            </w:tcBorders>
            <w:vAlign w:val="center"/>
          </w:tcPr>
          <w:p w14:paraId="5F821C0E"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1D7B2C1D" w14:textId="25686AB5" w:rsidR="003B65FC" w:rsidRPr="004611D4" w:rsidRDefault="003B65FC" w:rsidP="003B65FC">
            <w:pPr>
              <w:jc w:val="center"/>
            </w:pPr>
            <w:r w:rsidRPr="004611D4">
              <w:t>.</w:t>
            </w:r>
            <w:r w:rsidR="0031708A" w:rsidRPr="004611D4">
              <w:t>2</w:t>
            </w:r>
            <w:r w:rsidR="00871842" w:rsidRPr="004611D4">
              <w:t>8</w:t>
            </w:r>
          </w:p>
        </w:tc>
        <w:tc>
          <w:tcPr>
            <w:tcW w:w="270" w:type="dxa"/>
            <w:tcBorders>
              <w:top w:val="nil"/>
              <w:left w:val="nil"/>
              <w:bottom w:val="nil"/>
              <w:right w:val="nil"/>
            </w:tcBorders>
            <w:vAlign w:val="center"/>
          </w:tcPr>
          <w:p w14:paraId="19582503" w14:textId="77777777" w:rsidR="003B65FC" w:rsidRPr="004611D4" w:rsidRDefault="003B65FC" w:rsidP="003B65FC">
            <w:pPr>
              <w:jc w:val="center"/>
            </w:pPr>
          </w:p>
        </w:tc>
        <w:tc>
          <w:tcPr>
            <w:tcW w:w="3240" w:type="dxa"/>
            <w:tcBorders>
              <w:top w:val="nil"/>
              <w:left w:val="nil"/>
              <w:bottom w:val="nil"/>
              <w:right w:val="nil"/>
            </w:tcBorders>
            <w:shd w:val="clear" w:color="auto" w:fill="auto"/>
            <w:noWrap/>
            <w:vAlign w:val="center"/>
          </w:tcPr>
          <w:p w14:paraId="65909AB6" w14:textId="09A2B8C4" w:rsidR="003B65FC" w:rsidRPr="004611D4" w:rsidRDefault="00B0358F" w:rsidP="003B65FC">
            <w:pPr>
              <w:jc w:val="center"/>
            </w:pPr>
            <w:r w:rsidRPr="004611D4">
              <w:t>Cooperative (–)</w:t>
            </w:r>
          </w:p>
        </w:tc>
      </w:tr>
      <w:tr w:rsidR="004611D4" w:rsidRPr="004611D4" w14:paraId="75D5BA98" w14:textId="77777777" w:rsidTr="006E41E6">
        <w:trPr>
          <w:trHeight w:val="288"/>
        </w:trPr>
        <w:tc>
          <w:tcPr>
            <w:tcW w:w="1620" w:type="dxa"/>
            <w:tcBorders>
              <w:top w:val="nil"/>
              <w:left w:val="nil"/>
              <w:bottom w:val="nil"/>
              <w:right w:val="nil"/>
            </w:tcBorders>
            <w:shd w:val="clear" w:color="auto" w:fill="auto"/>
            <w:noWrap/>
            <w:vAlign w:val="center"/>
          </w:tcPr>
          <w:p w14:paraId="55FDFA21" w14:textId="438C7D8E" w:rsidR="003B65FC" w:rsidRPr="004611D4" w:rsidRDefault="003B65FC" w:rsidP="006E41E6">
            <w:pPr>
              <w:tabs>
                <w:tab w:val="left" w:pos="342"/>
              </w:tabs>
              <w:ind w:left="434"/>
            </w:pPr>
            <w:r w:rsidRPr="004611D4">
              <w:t>39</w:t>
            </w:r>
          </w:p>
        </w:tc>
        <w:tc>
          <w:tcPr>
            <w:tcW w:w="270" w:type="dxa"/>
            <w:tcBorders>
              <w:top w:val="nil"/>
              <w:left w:val="nil"/>
              <w:bottom w:val="nil"/>
              <w:right w:val="nil"/>
            </w:tcBorders>
            <w:vAlign w:val="center"/>
          </w:tcPr>
          <w:p w14:paraId="0B71A207"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21619873" w14:textId="165F7AFE" w:rsidR="003B65FC" w:rsidRPr="004611D4" w:rsidRDefault="003B65FC" w:rsidP="003B65FC">
            <w:pPr>
              <w:jc w:val="center"/>
            </w:pPr>
            <w:r w:rsidRPr="004611D4">
              <w:t>.</w:t>
            </w:r>
            <w:r w:rsidR="00871842" w:rsidRPr="004611D4">
              <w:t>35</w:t>
            </w:r>
          </w:p>
        </w:tc>
        <w:tc>
          <w:tcPr>
            <w:tcW w:w="270" w:type="dxa"/>
            <w:tcBorders>
              <w:top w:val="nil"/>
              <w:left w:val="nil"/>
              <w:bottom w:val="nil"/>
              <w:right w:val="nil"/>
            </w:tcBorders>
            <w:vAlign w:val="center"/>
          </w:tcPr>
          <w:p w14:paraId="38222634"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11207C19" w14:textId="6B62C9FE" w:rsidR="003B65FC" w:rsidRPr="004611D4" w:rsidRDefault="003B65FC" w:rsidP="003B65FC">
            <w:pPr>
              <w:jc w:val="center"/>
            </w:pPr>
            <w:r w:rsidRPr="004611D4">
              <w:t>.</w:t>
            </w:r>
            <w:r w:rsidR="00871842" w:rsidRPr="004611D4">
              <w:t>34</w:t>
            </w:r>
          </w:p>
        </w:tc>
        <w:tc>
          <w:tcPr>
            <w:tcW w:w="270" w:type="dxa"/>
            <w:tcBorders>
              <w:top w:val="nil"/>
              <w:left w:val="nil"/>
              <w:bottom w:val="nil"/>
              <w:right w:val="nil"/>
            </w:tcBorders>
            <w:vAlign w:val="center"/>
          </w:tcPr>
          <w:p w14:paraId="26459171" w14:textId="77777777" w:rsidR="003B65FC" w:rsidRPr="004611D4" w:rsidRDefault="003B65FC" w:rsidP="003B65FC">
            <w:pPr>
              <w:jc w:val="center"/>
            </w:pPr>
          </w:p>
        </w:tc>
        <w:tc>
          <w:tcPr>
            <w:tcW w:w="3240" w:type="dxa"/>
            <w:tcBorders>
              <w:top w:val="nil"/>
              <w:left w:val="nil"/>
              <w:bottom w:val="nil"/>
              <w:right w:val="nil"/>
            </w:tcBorders>
            <w:shd w:val="clear" w:color="auto" w:fill="auto"/>
            <w:noWrap/>
            <w:vAlign w:val="center"/>
          </w:tcPr>
          <w:p w14:paraId="55E96508" w14:textId="2DE4C747" w:rsidR="003B65FC" w:rsidRPr="004611D4" w:rsidRDefault="00B0358F" w:rsidP="003B65FC">
            <w:pPr>
              <w:jc w:val="center"/>
            </w:pPr>
            <w:r w:rsidRPr="004611D4">
              <w:t>Cold, Calculating</w:t>
            </w:r>
          </w:p>
        </w:tc>
      </w:tr>
      <w:tr w:rsidR="004611D4" w:rsidRPr="004611D4" w14:paraId="0FB4D4DE" w14:textId="77777777" w:rsidTr="006E41E6">
        <w:trPr>
          <w:trHeight w:val="288"/>
        </w:trPr>
        <w:tc>
          <w:tcPr>
            <w:tcW w:w="1620" w:type="dxa"/>
            <w:tcBorders>
              <w:top w:val="nil"/>
              <w:left w:val="nil"/>
              <w:bottom w:val="nil"/>
              <w:right w:val="nil"/>
            </w:tcBorders>
            <w:shd w:val="clear" w:color="auto" w:fill="auto"/>
            <w:noWrap/>
            <w:vAlign w:val="center"/>
          </w:tcPr>
          <w:p w14:paraId="03E6946D" w14:textId="3C399E35" w:rsidR="003B65FC" w:rsidRPr="004611D4" w:rsidRDefault="003B65FC" w:rsidP="006E41E6">
            <w:pPr>
              <w:tabs>
                <w:tab w:val="left" w:pos="342"/>
              </w:tabs>
              <w:ind w:left="434"/>
            </w:pPr>
            <w:r w:rsidRPr="004611D4">
              <w:t xml:space="preserve">49 </w:t>
            </w:r>
            <w:bookmarkStart w:id="17" w:name="OLE_LINK153"/>
            <w:bookmarkStart w:id="18" w:name="OLE_LINK154"/>
            <w:r w:rsidRPr="004611D4">
              <w:t>(–)</w:t>
            </w:r>
            <w:bookmarkEnd w:id="17"/>
            <w:bookmarkEnd w:id="18"/>
          </w:p>
        </w:tc>
        <w:tc>
          <w:tcPr>
            <w:tcW w:w="270" w:type="dxa"/>
            <w:tcBorders>
              <w:top w:val="nil"/>
              <w:left w:val="nil"/>
              <w:bottom w:val="nil"/>
              <w:right w:val="nil"/>
            </w:tcBorders>
            <w:vAlign w:val="center"/>
          </w:tcPr>
          <w:p w14:paraId="3FD8CFC5"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7BA79EEA" w14:textId="1B2D660F" w:rsidR="003B65FC" w:rsidRPr="004611D4" w:rsidRDefault="003B65FC" w:rsidP="003B65FC">
            <w:pPr>
              <w:jc w:val="center"/>
            </w:pPr>
            <w:r w:rsidRPr="004611D4">
              <w:t>.3</w:t>
            </w:r>
            <w:r w:rsidR="00871842" w:rsidRPr="004611D4">
              <w:t>5</w:t>
            </w:r>
          </w:p>
        </w:tc>
        <w:tc>
          <w:tcPr>
            <w:tcW w:w="270" w:type="dxa"/>
            <w:tcBorders>
              <w:top w:val="nil"/>
              <w:left w:val="nil"/>
              <w:bottom w:val="nil"/>
              <w:right w:val="nil"/>
            </w:tcBorders>
            <w:vAlign w:val="center"/>
          </w:tcPr>
          <w:p w14:paraId="68887BDB"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57045C58" w14:textId="074BBF01" w:rsidR="003B65FC" w:rsidRPr="004611D4" w:rsidRDefault="003B65FC" w:rsidP="003B65FC">
            <w:pPr>
              <w:jc w:val="center"/>
            </w:pPr>
            <w:r w:rsidRPr="004611D4">
              <w:t>.</w:t>
            </w:r>
            <w:r w:rsidR="00871842" w:rsidRPr="004611D4">
              <w:t>40</w:t>
            </w:r>
          </w:p>
        </w:tc>
        <w:tc>
          <w:tcPr>
            <w:tcW w:w="270" w:type="dxa"/>
            <w:tcBorders>
              <w:top w:val="nil"/>
              <w:left w:val="nil"/>
              <w:bottom w:val="nil"/>
              <w:right w:val="nil"/>
            </w:tcBorders>
            <w:vAlign w:val="center"/>
          </w:tcPr>
          <w:p w14:paraId="5D57895D" w14:textId="77777777" w:rsidR="003B65FC" w:rsidRPr="004611D4" w:rsidRDefault="003B65FC" w:rsidP="003B65FC">
            <w:pPr>
              <w:jc w:val="center"/>
            </w:pPr>
          </w:p>
        </w:tc>
        <w:tc>
          <w:tcPr>
            <w:tcW w:w="3240" w:type="dxa"/>
            <w:tcBorders>
              <w:top w:val="nil"/>
              <w:left w:val="nil"/>
              <w:bottom w:val="nil"/>
              <w:right w:val="nil"/>
            </w:tcBorders>
            <w:shd w:val="clear" w:color="auto" w:fill="auto"/>
            <w:noWrap/>
            <w:vAlign w:val="center"/>
          </w:tcPr>
          <w:p w14:paraId="023D961F" w14:textId="0B5E7DC5" w:rsidR="003B65FC" w:rsidRPr="004611D4" w:rsidRDefault="00B0358F" w:rsidP="003B65FC">
            <w:pPr>
              <w:jc w:val="center"/>
            </w:pPr>
            <w:r w:rsidRPr="004611D4">
              <w:t>Thoughtful, Considerate (–)</w:t>
            </w:r>
          </w:p>
        </w:tc>
      </w:tr>
      <w:tr w:rsidR="004611D4" w:rsidRPr="004611D4" w14:paraId="5D3CCAFF" w14:textId="77777777" w:rsidTr="006E41E6">
        <w:trPr>
          <w:trHeight w:val="288"/>
        </w:trPr>
        <w:tc>
          <w:tcPr>
            <w:tcW w:w="1620" w:type="dxa"/>
            <w:tcBorders>
              <w:top w:val="nil"/>
              <w:left w:val="nil"/>
              <w:bottom w:val="nil"/>
              <w:right w:val="nil"/>
            </w:tcBorders>
            <w:shd w:val="clear" w:color="auto" w:fill="auto"/>
            <w:noWrap/>
            <w:vAlign w:val="center"/>
          </w:tcPr>
          <w:p w14:paraId="5348EDA3" w14:textId="1FC0A5D8" w:rsidR="003B65FC" w:rsidRPr="004611D4" w:rsidRDefault="003B65FC" w:rsidP="006E41E6">
            <w:pPr>
              <w:tabs>
                <w:tab w:val="left" w:pos="342"/>
              </w:tabs>
              <w:ind w:left="434"/>
            </w:pPr>
            <w:r w:rsidRPr="004611D4">
              <w:t>54</w:t>
            </w:r>
          </w:p>
        </w:tc>
        <w:tc>
          <w:tcPr>
            <w:tcW w:w="270" w:type="dxa"/>
            <w:tcBorders>
              <w:top w:val="nil"/>
              <w:left w:val="nil"/>
              <w:bottom w:val="nil"/>
              <w:right w:val="nil"/>
            </w:tcBorders>
            <w:vAlign w:val="center"/>
          </w:tcPr>
          <w:p w14:paraId="2FD160A8"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0E75C9BA" w14:textId="20B62525" w:rsidR="003B65FC" w:rsidRPr="004611D4" w:rsidRDefault="003B65FC" w:rsidP="003B65FC">
            <w:pPr>
              <w:jc w:val="center"/>
            </w:pPr>
            <w:r w:rsidRPr="004611D4">
              <w:t>.2</w:t>
            </w:r>
            <w:r w:rsidR="00871842" w:rsidRPr="004611D4">
              <w:t>1</w:t>
            </w:r>
          </w:p>
        </w:tc>
        <w:tc>
          <w:tcPr>
            <w:tcW w:w="270" w:type="dxa"/>
            <w:tcBorders>
              <w:top w:val="nil"/>
              <w:left w:val="nil"/>
              <w:bottom w:val="nil"/>
              <w:right w:val="nil"/>
            </w:tcBorders>
            <w:vAlign w:val="center"/>
          </w:tcPr>
          <w:p w14:paraId="57C89CFD" w14:textId="77777777" w:rsidR="003B65FC" w:rsidRPr="004611D4" w:rsidRDefault="003B65FC" w:rsidP="003B65FC">
            <w:pPr>
              <w:jc w:val="center"/>
            </w:pPr>
          </w:p>
        </w:tc>
        <w:tc>
          <w:tcPr>
            <w:tcW w:w="1800" w:type="dxa"/>
            <w:tcBorders>
              <w:top w:val="nil"/>
              <w:left w:val="nil"/>
              <w:bottom w:val="nil"/>
              <w:right w:val="nil"/>
            </w:tcBorders>
            <w:shd w:val="clear" w:color="auto" w:fill="auto"/>
            <w:noWrap/>
            <w:vAlign w:val="center"/>
          </w:tcPr>
          <w:p w14:paraId="463B8D7F" w14:textId="4B34AAA8" w:rsidR="003B65FC" w:rsidRPr="004611D4" w:rsidRDefault="003B65FC" w:rsidP="003B65FC">
            <w:pPr>
              <w:jc w:val="center"/>
            </w:pPr>
            <w:r w:rsidRPr="004611D4">
              <w:t>.</w:t>
            </w:r>
            <w:r w:rsidR="00871842" w:rsidRPr="004611D4">
              <w:t>34</w:t>
            </w:r>
          </w:p>
        </w:tc>
        <w:tc>
          <w:tcPr>
            <w:tcW w:w="270" w:type="dxa"/>
            <w:tcBorders>
              <w:top w:val="nil"/>
              <w:left w:val="nil"/>
              <w:bottom w:val="nil"/>
              <w:right w:val="nil"/>
            </w:tcBorders>
            <w:vAlign w:val="center"/>
          </w:tcPr>
          <w:p w14:paraId="75B01714" w14:textId="77777777" w:rsidR="003B65FC" w:rsidRPr="004611D4" w:rsidRDefault="003B65FC" w:rsidP="003B65FC">
            <w:pPr>
              <w:jc w:val="center"/>
            </w:pPr>
          </w:p>
        </w:tc>
        <w:tc>
          <w:tcPr>
            <w:tcW w:w="3240" w:type="dxa"/>
            <w:tcBorders>
              <w:top w:val="nil"/>
              <w:left w:val="nil"/>
              <w:bottom w:val="nil"/>
              <w:right w:val="nil"/>
            </w:tcBorders>
            <w:shd w:val="clear" w:color="auto" w:fill="auto"/>
            <w:noWrap/>
            <w:vAlign w:val="center"/>
          </w:tcPr>
          <w:p w14:paraId="7F724137" w14:textId="10BF4AD6" w:rsidR="003B65FC" w:rsidRPr="004611D4" w:rsidRDefault="00B0358F" w:rsidP="003B65FC">
            <w:pPr>
              <w:jc w:val="center"/>
            </w:pPr>
            <w:r w:rsidRPr="004611D4">
              <w:t>Impolite</w:t>
            </w:r>
          </w:p>
        </w:tc>
      </w:tr>
      <w:tr w:rsidR="004611D4" w:rsidRPr="004611D4" w14:paraId="7E05E9DA" w14:textId="77777777" w:rsidTr="006E41E6">
        <w:trPr>
          <w:trHeight w:val="288"/>
        </w:trPr>
        <w:tc>
          <w:tcPr>
            <w:tcW w:w="1620" w:type="dxa"/>
            <w:tcBorders>
              <w:top w:val="nil"/>
              <w:left w:val="nil"/>
              <w:right w:val="nil"/>
            </w:tcBorders>
            <w:shd w:val="clear" w:color="auto" w:fill="auto"/>
            <w:noWrap/>
            <w:vAlign w:val="center"/>
          </w:tcPr>
          <w:p w14:paraId="23645F7E" w14:textId="1D9F97F9" w:rsidR="003B65FC" w:rsidRPr="004611D4" w:rsidRDefault="003B65FC" w:rsidP="006E41E6">
            <w:pPr>
              <w:tabs>
                <w:tab w:val="left" w:pos="342"/>
              </w:tabs>
              <w:ind w:left="434"/>
            </w:pPr>
            <w:r w:rsidRPr="004611D4">
              <w:t>59</w:t>
            </w:r>
          </w:p>
        </w:tc>
        <w:tc>
          <w:tcPr>
            <w:tcW w:w="270" w:type="dxa"/>
            <w:tcBorders>
              <w:top w:val="nil"/>
              <w:left w:val="nil"/>
              <w:right w:val="nil"/>
            </w:tcBorders>
            <w:vAlign w:val="center"/>
          </w:tcPr>
          <w:p w14:paraId="5CB02B6E"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6D7EFFD0" w14:textId="0D302151" w:rsidR="003B65FC" w:rsidRPr="004611D4" w:rsidRDefault="003B65FC" w:rsidP="003B65FC">
            <w:pPr>
              <w:jc w:val="center"/>
            </w:pPr>
            <w:r w:rsidRPr="004611D4">
              <w:t>.</w:t>
            </w:r>
            <w:r w:rsidR="00871842" w:rsidRPr="004611D4">
              <w:t>50</w:t>
            </w:r>
          </w:p>
        </w:tc>
        <w:tc>
          <w:tcPr>
            <w:tcW w:w="270" w:type="dxa"/>
            <w:tcBorders>
              <w:top w:val="nil"/>
              <w:left w:val="nil"/>
              <w:right w:val="nil"/>
            </w:tcBorders>
            <w:vAlign w:val="center"/>
          </w:tcPr>
          <w:p w14:paraId="3C28BB22" w14:textId="77777777" w:rsidR="003B65FC" w:rsidRPr="004611D4" w:rsidRDefault="003B65FC" w:rsidP="003B65FC">
            <w:pPr>
              <w:jc w:val="center"/>
            </w:pPr>
          </w:p>
        </w:tc>
        <w:tc>
          <w:tcPr>
            <w:tcW w:w="1800" w:type="dxa"/>
            <w:tcBorders>
              <w:top w:val="nil"/>
              <w:left w:val="nil"/>
              <w:right w:val="nil"/>
            </w:tcBorders>
            <w:shd w:val="clear" w:color="auto" w:fill="auto"/>
            <w:noWrap/>
            <w:vAlign w:val="center"/>
            <w:hideMark/>
          </w:tcPr>
          <w:p w14:paraId="019FE8D6" w14:textId="3B74F2A1" w:rsidR="003B65FC" w:rsidRPr="004611D4" w:rsidRDefault="003B65FC" w:rsidP="003B65FC">
            <w:pPr>
              <w:jc w:val="center"/>
            </w:pPr>
            <w:r w:rsidRPr="004611D4">
              <w:t>.</w:t>
            </w:r>
            <w:r w:rsidR="00871842" w:rsidRPr="004611D4">
              <w:t>54</w:t>
            </w:r>
          </w:p>
        </w:tc>
        <w:tc>
          <w:tcPr>
            <w:tcW w:w="270" w:type="dxa"/>
            <w:tcBorders>
              <w:top w:val="nil"/>
              <w:left w:val="nil"/>
              <w:right w:val="nil"/>
            </w:tcBorders>
            <w:vAlign w:val="center"/>
          </w:tcPr>
          <w:p w14:paraId="6EB41947" w14:textId="77777777" w:rsidR="003B65FC" w:rsidRPr="004611D4" w:rsidRDefault="003B65FC" w:rsidP="003B65FC">
            <w:pPr>
              <w:jc w:val="center"/>
            </w:pPr>
          </w:p>
        </w:tc>
        <w:tc>
          <w:tcPr>
            <w:tcW w:w="3240" w:type="dxa"/>
            <w:tcBorders>
              <w:top w:val="nil"/>
              <w:left w:val="nil"/>
              <w:right w:val="nil"/>
            </w:tcBorders>
            <w:shd w:val="clear" w:color="auto" w:fill="auto"/>
            <w:noWrap/>
            <w:vAlign w:val="center"/>
            <w:hideMark/>
          </w:tcPr>
          <w:p w14:paraId="0E3ABA33" w14:textId="30C92428" w:rsidR="003B65FC" w:rsidRPr="004611D4" w:rsidRDefault="003B65FC" w:rsidP="003B65FC">
            <w:pPr>
              <w:jc w:val="center"/>
            </w:pPr>
            <w:r w:rsidRPr="004611D4">
              <w:t>Manipulative</w:t>
            </w:r>
          </w:p>
        </w:tc>
      </w:tr>
      <w:tr w:rsidR="004611D4" w:rsidRPr="004611D4" w14:paraId="75893A04" w14:textId="77777777" w:rsidTr="006E41E6">
        <w:trPr>
          <w:trHeight w:val="288"/>
        </w:trPr>
        <w:tc>
          <w:tcPr>
            <w:tcW w:w="1620" w:type="dxa"/>
            <w:tcBorders>
              <w:top w:val="nil"/>
              <w:left w:val="nil"/>
              <w:right w:val="nil"/>
            </w:tcBorders>
            <w:shd w:val="clear" w:color="auto" w:fill="auto"/>
            <w:noWrap/>
            <w:vAlign w:val="center"/>
          </w:tcPr>
          <w:p w14:paraId="7BD88E24" w14:textId="3A070EC0" w:rsidR="003B65FC" w:rsidRPr="004611D4" w:rsidRDefault="003B65FC" w:rsidP="003B65FC">
            <w:pPr>
              <w:tabs>
                <w:tab w:val="left" w:pos="342"/>
              </w:tabs>
            </w:pPr>
            <w:r w:rsidRPr="004611D4">
              <w:t>SDQ</w:t>
            </w:r>
          </w:p>
        </w:tc>
        <w:tc>
          <w:tcPr>
            <w:tcW w:w="270" w:type="dxa"/>
            <w:tcBorders>
              <w:top w:val="nil"/>
              <w:left w:val="nil"/>
              <w:right w:val="nil"/>
            </w:tcBorders>
            <w:vAlign w:val="center"/>
          </w:tcPr>
          <w:p w14:paraId="3DD1F1D7"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3A379B33" w14:textId="77777777" w:rsidR="003B65FC" w:rsidRPr="004611D4" w:rsidRDefault="003B65FC" w:rsidP="003B65FC">
            <w:pPr>
              <w:jc w:val="center"/>
            </w:pPr>
          </w:p>
        </w:tc>
        <w:tc>
          <w:tcPr>
            <w:tcW w:w="270" w:type="dxa"/>
            <w:tcBorders>
              <w:top w:val="nil"/>
              <w:left w:val="nil"/>
              <w:right w:val="nil"/>
            </w:tcBorders>
            <w:vAlign w:val="center"/>
          </w:tcPr>
          <w:p w14:paraId="0249C20E"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62A65459" w14:textId="77777777" w:rsidR="003B65FC" w:rsidRPr="004611D4" w:rsidRDefault="003B65FC" w:rsidP="003B65FC">
            <w:pPr>
              <w:jc w:val="center"/>
            </w:pPr>
          </w:p>
        </w:tc>
        <w:tc>
          <w:tcPr>
            <w:tcW w:w="270" w:type="dxa"/>
            <w:tcBorders>
              <w:top w:val="nil"/>
              <w:left w:val="nil"/>
              <w:right w:val="nil"/>
            </w:tcBorders>
            <w:vAlign w:val="center"/>
          </w:tcPr>
          <w:p w14:paraId="21FEBC31" w14:textId="77777777" w:rsidR="003B65FC" w:rsidRPr="004611D4" w:rsidRDefault="003B65FC" w:rsidP="003B65FC">
            <w:pPr>
              <w:jc w:val="center"/>
            </w:pPr>
          </w:p>
        </w:tc>
        <w:tc>
          <w:tcPr>
            <w:tcW w:w="3240" w:type="dxa"/>
            <w:tcBorders>
              <w:top w:val="nil"/>
              <w:left w:val="nil"/>
              <w:right w:val="nil"/>
            </w:tcBorders>
            <w:shd w:val="clear" w:color="auto" w:fill="auto"/>
            <w:noWrap/>
            <w:vAlign w:val="center"/>
          </w:tcPr>
          <w:p w14:paraId="448676D2" w14:textId="77777777" w:rsidR="003B65FC" w:rsidRPr="004611D4" w:rsidRDefault="003B65FC" w:rsidP="003B65FC">
            <w:pPr>
              <w:jc w:val="center"/>
            </w:pPr>
          </w:p>
        </w:tc>
      </w:tr>
      <w:tr w:rsidR="004611D4" w:rsidRPr="004611D4" w14:paraId="1DA11536" w14:textId="77777777" w:rsidTr="006E41E6">
        <w:trPr>
          <w:trHeight w:val="288"/>
        </w:trPr>
        <w:tc>
          <w:tcPr>
            <w:tcW w:w="1620" w:type="dxa"/>
            <w:tcBorders>
              <w:top w:val="nil"/>
              <w:left w:val="nil"/>
              <w:right w:val="nil"/>
            </w:tcBorders>
            <w:shd w:val="clear" w:color="auto" w:fill="auto"/>
            <w:noWrap/>
            <w:vAlign w:val="center"/>
          </w:tcPr>
          <w:p w14:paraId="1D2C6039" w14:textId="40F070F6" w:rsidR="003B65FC" w:rsidRPr="004611D4" w:rsidRDefault="003B65FC" w:rsidP="006E41E6">
            <w:pPr>
              <w:tabs>
                <w:tab w:val="left" w:pos="342"/>
              </w:tabs>
              <w:ind w:left="434"/>
            </w:pPr>
            <w:r w:rsidRPr="004611D4">
              <w:t>1 (–)</w:t>
            </w:r>
          </w:p>
        </w:tc>
        <w:tc>
          <w:tcPr>
            <w:tcW w:w="270" w:type="dxa"/>
            <w:tcBorders>
              <w:top w:val="nil"/>
              <w:left w:val="nil"/>
              <w:right w:val="nil"/>
            </w:tcBorders>
            <w:vAlign w:val="center"/>
          </w:tcPr>
          <w:p w14:paraId="4A742347"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647A39F3" w14:textId="4AB8813A" w:rsidR="003B65FC" w:rsidRPr="004611D4" w:rsidRDefault="003B65FC" w:rsidP="003B65FC">
            <w:pPr>
              <w:jc w:val="center"/>
            </w:pPr>
            <w:r w:rsidRPr="004611D4">
              <w:t>.4</w:t>
            </w:r>
            <w:r w:rsidR="0031708A" w:rsidRPr="004611D4">
              <w:t>5</w:t>
            </w:r>
          </w:p>
        </w:tc>
        <w:tc>
          <w:tcPr>
            <w:tcW w:w="270" w:type="dxa"/>
            <w:tcBorders>
              <w:top w:val="nil"/>
              <w:left w:val="nil"/>
              <w:right w:val="nil"/>
            </w:tcBorders>
            <w:vAlign w:val="center"/>
          </w:tcPr>
          <w:p w14:paraId="400E1357"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7708D84E" w14:textId="07C16075" w:rsidR="003B65FC" w:rsidRPr="004611D4" w:rsidRDefault="006E602D" w:rsidP="003B65FC">
            <w:pPr>
              <w:jc w:val="center"/>
            </w:pPr>
            <w:r w:rsidRPr="004611D4">
              <w:t>.4</w:t>
            </w:r>
            <w:r w:rsidR="00871842" w:rsidRPr="004611D4">
              <w:t>2</w:t>
            </w:r>
          </w:p>
        </w:tc>
        <w:tc>
          <w:tcPr>
            <w:tcW w:w="270" w:type="dxa"/>
            <w:tcBorders>
              <w:top w:val="nil"/>
              <w:left w:val="nil"/>
              <w:right w:val="nil"/>
            </w:tcBorders>
            <w:vAlign w:val="center"/>
          </w:tcPr>
          <w:p w14:paraId="295F112A" w14:textId="77777777" w:rsidR="003B65FC" w:rsidRPr="004611D4" w:rsidRDefault="003B65FC" w:rsidP="003B65FC">
            <w:pPr>
              <w:jc w:val="center"/>
            </w:pPr>
          </w:p>
        </w:tc>
        <w:tc>
          <w:tcPr>
            <w:tcW w:w="3240" w:type="dxa"/>
            <w:tcBorders>
              <w:top w:val="nil"/>
              <w:left w:val="nil"/>
              <w:right w:val="nil"/>
            </w:tcBorders>
            <w:shd w:val="clear" w:color="auto" w:fill="auto"/>
            <w:noWrap/>
            <w:vAlign w:val="center"/>
          </w:tcPr>
          <w:p w14:paraId="3F22303B" w14:textId="047DE279" w:rsidR="003B65FC" w:rsidRPr="004611D4" w:rsidRDefault="00B0358F" w:rsidP="003B65FC">
            <w:pPr>
              <w:jc w:val="center"/>
            </w:pPr>
            <w:r w:rsidRPr="004611D4">
              <w:t>Considerate (–)</w:t>
            </w:r>
          </w:p>
        </w:tc>
      </w:tr>
      <w:tr w:rsidR="004611D4" w:rsidRPr="004611D4" w14:paraId="75BB1C40" w14:textId="77777777" w:rsidTr="006E41E6">
        <w:trPr>
          <w:trHeight w:val="288"/>
        </w:trPr>
        <w:tc>
          <w:tcPr>
            <w:tcW w:w="1620" w:type="dxa"/>
            <w:tcBorders>
              <w:top w:val="nil"/>
              <w:left w:val="nil"/>
              <w:right w:val="nil"/>
            </w:tcBorders>
            <w:shd w:val="clear" w:color="auto" w:fill="auto"/>
            <w:noWrap/>
            <w:vAlign w:val="center"/>
          </w:tcPr>
          <w:p w14:paraId="3B784BFF" w14:textId="7BA178C1" w:rsidR="003B65FC" w:rsidRPr="004611D4" w:rsidRDefault="003B65FC" w:rsidP="006E41E6">
            <w:pPr>
              <w:tabs>
                <w:tab w:val="left" w:pos="342"/>
              </w:tabs>
              <w:ind w:left="434"/>
            </w:pPr>
            <w:r w:rsidRPr="004611D4">
              <w:t>4 (–)</w:t>
            </w:r>
          </w:p>
        </w:tc>
        <w:tc>
          <w:tcPr>
            <w:tcW w:w="270" w:type="dxa"/>
            <w:tcBorders>
              <w:top w:val="nil"/>
              <w:left w:val="nil"/>
              <w:right w:val="nil"/>
            </w:tcBorders>
            <w:vAlign w:val="center"/>
          </w:tcPr>
          <w:p w14:paraId="11084836"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05C6F98A" w14:textId="2A7CAA86" w:rsidR="003B65FC" w:rsidRPr="004611D4" w:rsidRDefault="003B65FC" w:rsidP="003B65FC">
            <w:pPr>
              <w:jc w:val="center"/>
            </w:pPr>
            <w:r w:rsidRPr="004611D4">
              <w:t>.</w:t>
            </w:r>
            <w:r w:rsidR="00871842" w:rsidRPr="004611D4">
              <w:t>32</w:t>
            </w:r>
          </w:p>
        </w:tc>
        <w:tc>
          <w:tcPr>
            <w:tcW w:w="270" w:type="dxa"/>
            <w:tcBorders>
              <w:top w:val="nil"/>
              <w:left w:val="nil"/>
              <w:right w:val="nil"/>
            </w:tcBorders>
            <w:vAlign w:val="center"/>
          </w:tcPr>
          <w:p w14:paraId="3D5FE645"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2311B551" w14:textId="6FB4FA8C" w:rsidR="003B65FC" w:rsidRPr="004611D4" w:rsidRDefault="006E602D" w:rsidP="003B65FC">
            <w:pPr>
              <w:jc w:val="center"/>
            </w:pPr>
            <w:r w:rsidRPr="004611D4">
              <w:t>.3</w:t>
            </w:r>
            <w:r w:rsidR="00871842" w:rsidRPr="004611D4">
              <w:t>1</w:t>
            </w:r>
          </w:p>
        </w:tc>
        <w:tc>
          <w:tcPr>
            <w:tcW w:w="270" w:type="dxa"/>
            <w:tcBorders>
              <w:top w:val="nil"/>
              <w:left w:val="nil"/>
              <w:right w:val="nil"/>
            </w:tcBorders>
            <w:vAlign w:val="center"/>
          </w:tcPr>
          <w:p w14:paraId="7965AC81" w14:textId="77777777" w:rsidR="003B65FC" w:rsidRPr="004611D4" w:rsidRDefault="003B65FC" w:rsidP="003B65FC">
            <w:pPr>
              <w:jc w:val="center"/>
            </w:pPr>
          </w:p>
        </w:tc>
        <w:tc>
          <w:tcPr>
            <w:tcW w:w="3240" w:type="dxa"/>
            <w:tcBorders>
              <w:top w:val="nil"/>
              <w:left w:val="nil"/>
              <w:right w:val="nil"/>
            </w:tcBorders>
            <w:shd w:val="clear" w:color="auto" w:fill="auto"/>
            <w:noWrap/>
            <w:vAlign w:val="center"/>
          </w:tcPr>
          <w:p w14:paraId="4C97C706" w14:textId="53865ECD" w:rsidR="003B65FC" w:rsidRPr="004611D4" w:rsidRDefault="00B0358F" w:rsidP="003B65FC">
            <w:pPr>
              <w:jc w:val="center"/>
            </w:pPr>
            <w:r w:rsidRPr="004611D4">
              <w:t>Willing to Share (–)</w:t>
            </w:r>
          </w:p>
        </w:tc>
      </w:tr>
      <w:tr w:rsidR="004611D4" w:rsidRPr="004611D4" w14:paraId="7AA6A19B" w14:textId="77777777" w:rsidTr="006E41E6">
        <w:trPr>
          <w:trHeight w:val="288"/>
        </w:trPr>
        <w:tc>
          <w:tcPr>
            <w:tcW w:w="1620" w:type="dxa"/>
            <w:tcBorders>
              <w:top w:val="nil"/>
              <w:left w:val="nil"/>
              <w:right w:val="nil"/>
            </w:tcBorders>
            <w:shd w:val="clear" w:color="auto" w:fill="auto"/>
            <w:noWrap/>
            <w:vAlign w:val="center"/>
          </w:tcPr>
          <w:p w14:paraId="17E6E2C3" w14:textId="5347C3F5" w:rsidR="003B65FC" w:rsidRPr="004611D4" w:rsidRDefault="003B65FC" w:rsidP="006E41E6">
            <w:pPr>
              <w:tabs>
                <w:tab w:val="left" w:pos="342"/>
              </w:tabs>
              <w:ind w:left="434"/>
            </w:pPr>
            <w:r w:rsidRPr="004611D4">
              <w:t>9 (–)</w:t>
            </w:r>
          </w:p>
        </w:tc>
        <w:tc>
          <w:tcPr>
            <w:tcW w:w="270" w:type="dxa"/>
            <w:tcBorders>
              <w:top w:val="nil"/>
              <w:left w:val="nil"/>
              <w:right w:val="nil"/>
            </w:tcBorders>
            <w:vAlign w:val="center"/>
          </w:tcPr>
          <w:p w14:paraId="0F961B86"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0CAA9E80" w14:textId="38459A33" w:rsidR="003B65FC" w:rsidRPr="004611D4" w:rsidRDefault="003B65FC" w:rsidP="003B65FC">
            <w:pPr>
              <w:jc w:val="center"/>
            </w:pPr>
            <w:r w:rsidRPr="004611D4">
              <w:t>.</w:t>
            </w:r>
            <w:r w:rsidR="00871842" w:rsidRPr="004611D4">
              <w:t>35</w:t>
            </w:r>
          </w:p>
        </w:tc>
        <w:tc>
          <w:tcPr>
            <w:tcW w:w="270" w:type="dxa"/>
            <w:tcBorders>
              <w:top w:val="nil"/>
              <w:left w:val="nil"/>
              <w:right w:val="nil"/>
            </w:tcBorders>
            <w:vAlign w:val="center"/>
          </w:tcPr>
          <w:p w14:paraId="088F5E88"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7F2A4C90" w14:textId="57626702" w:rsidR="003B65FC" w:rsidRPr="004611D4" w:rsidRDefault="006E602D" w:rsidP="003B65FC">
            <w:pPr>
              <w:jc w:val="center"/>
            </w:pPr>
            <w:r w:rsidRPr="004611D4">
              <w:t>.3</w:t>
            </w:r>
            <w:r w:rsidR="00871842" w:rsidRPr="004611D4">
              <w:t>8</w:t>
            </w:r>
          </w:p>
        </w:tc>
        <w:tc>
          <w:tcPr>
            <w:tcW w:w="270" w:type="dxa"/>
            <w:tcBorders>
              <w:top w:val="nil"/>
              <w:left w:val="nil"/>
              <w:right w:val="nil"/>
            </w:tcBorders>
            <w:vAlign w:val="center"/>
          </w:tcPr>
          <w:p w14:paraId="14C82341" w14:textId="77777777" w:rsidR="003B65FC" w:rsidRPr="004611D4" w:rsidRDefault="003B65FC" w:rsidP="003B65FC">
            <w:pPr>
              <w:jc w:val="center"/>
            </w:pPr>
          </w:p>
        </w:tc>
        <w:tc>
          <w:tcPr>
            <w:tcW w:w="3240" w:type="dxa"/>
            <w:tcBorders>
              <w:top w:val="nil"/>
              <w:left w:val="nil"/>
              <w:right w:val="nil"/>
            </w:tcBorders>
            <w:shd w:val="clear" w:color="auto" w:fill="auto"/>
            <w:noWrap/>
            <w:vAlign w:val="center"/>
          </w:tcPr>
          <w:p w14:paraId="5CFD40AA" w14:textId="0AA0B39F" w:rsidR="003B65FC" w:rsidRPr="004611D4" w:rsidRDefault="00B0358F" w:rsidP="003B65FC">
            <w:pPr>
              <w:jc w:val="center"/>
            </w:pPr>
            <w:r w:rsidRPr="004611D4">
              <w:t>Prosocial (–)</w:t>
            </w:r>
          </w:p>
        </w:tc>
      </w:tr>
      <w:tr w:rsidR="004611D4" w:rsidRPr="004611D4" w14:paraId="53B78D57" w14:textId="77777777" w:rsidTr="006E41E6">
        <w:trPr>
          <w:trHeight w:val="288"/>
        </w:trPr>
        <w:tc>
          <w:tcPr>
            <w:tcW w:w="1620" w:type="dxa"/>
            <w:tcBorders>
              <w:top w:val="nil"/>
              <w:left w:val="nil"/>
              <w:right w:val="nil"/>
            </w:tcBorders>
            <w:shd w:val="clear" w:color="auto" w:fill="auto"/>
            <w:noWrap/>
            <w:vAlign w:val="center"/>
          </w:tcPr>
          <w:p w14:paraId="060FF61C" w14:textId="1DB804D0" w:rsidR="003B65FC" w:rsidRPr="004611D4" w:rsidRDefault="003B65FC" w:rsidP="006E41E6">
            <w:pPr>
              <w:tabs>
                <w:tab w:val="left" w:pos="342"/>
              </w:tabs>
              <w:ind w:left="434"/>
            </w:pPr>
            <w:r w:rsidRPr="004611D4">
              <w:t>17 (–)</w:t>
            </w:r>
          </w:p>
        </w:tc>
        <w:tc>
          <w:tcPr>
            <w:tcW w:w="270" w:type="dxa"/>
            <w:tcBorders>
              <w:top w:val="nil"/>
              <w:left w:val="nil"/>
              <w:right w:val="nil"/>
            </w:tcBorders>
            <w:vAlign w:val="center"/>
          </w:tcPr>
          <w:p w14:paraId="2D614872"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082500B4" w14:textId="7106556F" w:rsidR="003B65FC" w:rsidRPr="004611D4" w:rsidRDefault="003B65FC" w:rsidP="003B65FC">
            <w:pPr>
              <w:jc w:val="center"/>
            </w:pPr>
            <w:r w:rsidRPr="004611D4">
              <w:t>.3</w:t>
            </w:r>
            <w:r w:rsidR="00871842" w:rsidRPr="004611D4">
              <w:t>6</w:t>
            </w:r>
          </w:p>
        </w:tc>
        <w:tc>
          <w:tcPr>
            <w:tcW w:w="270" w:type="dxa"/>
            <w:tcBorders>
              <w:top w:val="nil"/>
              <w:left w:val="nil"/>
              <w:right w:val="nil"/>
            </w:tcBorders>
            <w:vAlign w:val="center"/>
          </w:tcPr>
          <w:p w14:paraId="0E98B137"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12D34AD3" w14:textId="1B06E4B0" w:rsidR="003B65FC" w:rsidRPr="004611D4" w:rsidRDefault="006E602D" w:rsidP="003B65FC">
            <w:pPr>
              <w:jc w:val="center"/>
            </w:pPr>
            <w:r w:rsidRPr="004611D4">
              <w:t>.</w:t>
            </w:r>
            <w:r w:rsidR="00871842" w:rsidRPr="004611D4">
              <w:t>37</w:t>
            </w:r>
          </w:p>
        </w:tc>
        <w:tc>
          <w:tcPr>
            <w:tcW w:w="270" w:type="dxa"/>
            <w:tcBorders>
              <w:top w:val="nil"/>
              <w:left w:val="nil"/>
              <w:right w:val="nil"/>
            </w:tcBorders>
            <w:vAlign w:val="center"/>
          </w:tcPr>
          <w:p w14:paraId="4EEA2AD6" w14:textId="77777777" w:rsidR="003B65FC" w:rsidRPr="004611D4" w:rsidRDefault="003B65FC" w:rsidP="003B65FC">
            <w:pPr>
              <w:jc w:val="center"/>
            </w:pPr>
          </w:p>
        </w:tc>
        <w:tc>
          <w:tcPr>
            <w:tcW w:w="3240" w:type="dxa"/>
            <w:tcBorders>
              <w:top w:val="nil"/>
              <w:left w:val="nil"/>
              <w:right w:val="nil"/>
            </w:tcBorders>
            <w:shd w:val="clear" w:color="auto" w:fill="auto"/>
            <w:noWrap/>
            <w:vAlign w:val="center"/>
          </w:tcPr>
          <w:p w14:paraId="087A37B3" w14:textId="318BD5AD" w:rsidR="003B65FC" w:rsidRPr="004611D4" w:rsidRDefault="00B0358F" w:rsidP="003B65FC">
            <w:pPr>
              <w:jc w:val="center"/>
            </w:pPr>
            <w:r w:rsidRPr="004611D4">
              <w:t>Kind (–)</w:t>
            </w:r>
          </w:p>
        </w:tc>
      </w:tr>
      <w:tr w:rsidR="004611D4" w:rsidRPr="004611D4" w14:paraId="61F5ABAF" w14:textId="77777777" w:rsidTr="006E41E6">
        <w:trPr>
          <w:trHeight w:val="288"/>
        </w:trPr>
        <w:tc>
          <w:tcPr>
            <w:tcW w:w="1620" w:type="dxa"/>
            <w:tcBorders>
              <w:top w:val="nil"/>
              <w:left w:val="nil"/>
              <w:right w:val="nil"/>
            </w:tcBorders>
            <w:shd w:val="clear" w:color="auto" w:fill="auto"/>
            <w:noWrap/>
            <w:vAlign w:val="center"/>
          </w:tcPr>
          <w:p w14:paraId="53A6BC3F" w14:textId="234EA3A7" w:rsidR="003B65FC" w:rsidRPr="004611D4" w:rsidRDefault="003B65FC" w:rsidP="006E41E6">
            <w:pPr>
              <w:tabs>
                <w:tab w:val="left" w:pos="342"/>
              </w:tabs>
              <w:ind w:left="434"/>
            </w:pPr>
            <w:r w:rsidRPr="004611D4">
              <w:t>20 (–)</w:t>
            </w:r>
          </w:p>
        </w:tc>
        <w:tc>
          <w:tcPr>
            <w:tcW w:w="270" w:type="dxa"/>
            <w:tcBorders>
              <w:top w:val="nil"/>
              <w:left w:val="nil"/>
              <w:right w:val="nil"/>
            </w:tcBorders>
            <w:vAlign w:val="center"/>
          </w:tcPr>
          <w:p w14:paraId="3E909C32"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4CC505CD" w14:textId="2E4C1F01" w:rsidR="003B65FC" w:rsidRPr="004611D4" w:rsidRDefault="006E602D" w:rsidP="003B65FC">
            <w:pPr>
              <w:jc w:val="center"/>
            </w:pPr>
            <w:r w:rsidRPr="004611D4">
              <w:t>.3</w:t>
            </w:r>
            <w:r w:rsidR="00871842" w:rsidRPr="004611D4">
              <w:t>1</w:t>
            </w:r>
          </w:p>
        </w:tc>
        <w:tc>
          <w:tcPr>
            <w:tcW w:w="270" w:type="dxa"/>
            <w:tcBorders>
              <w:top w:val="nil"/>
              <w:left w:val="nil"/>
              <w:right w:val="nil"/>
            </w:tcBorders>
            <w:vAlign w:val="center"/>
          </w:tcPr>
          <w:p w14:paraId="3D7C68EF" w14:textId="77777777" w:rsidR="003B65FC" w:rsidRPr="004611D4" w:rsidRDefault="003B65FC" w:rsidP="003B65FC">
            <w:pPr>
              <w:jc w:val="center"/>
            </w:pPr>
          </w:p>
        </w:tc>
        <w:tc>
          <w:tcPr>
            <w:tcW w:w="1800" w:type="dxa"/>
            <w:tcBorders>
              <w:top w:val="nil"/>
              <w:left w:val="nil"/>
              <w:right w:val="nil"/>
            </w:tcBorders>
            <w:shd w:val="clear" w:color="auto" w:fill="auto"/>
            <w:noWrap/>
            <w:vAlign w:val="center"/>
          </w:tcPr>
          <w:p w14:paraId="68D25C08" w14:textId="34194E6D" w:rsidR="003B65FC" w:rsidRPr="004611D4" w:rsidRDefault="006E602D" w:rsidP="003B65FC">
            <w:pPr>
              <w:jc w:val="center"/>
            </w:pPr>
            <w:r w:rsidRPr="004611D4">
              <w:t>.3</w:t>
            </w:r>
            <w:r w:rsidR="00871842" w:rsidRPr="004611D4">
              <w:t>3</w:t>
            </w:r>
          </w:p>
        </w:tc>
        <w:tc>
          <w:tcPr>
            <w:tcW w:w="270" w:type="dxa"/>
            <w:tcBorders>
              <w:top w:val="nil"/>
              <w:left w:val="nil"/>
              <w:right w:val="nil"/>
            </w:tcBorders>
            <w:vAlign w:val="center"/>
          </w:tcPr>
          <w:p w14:paraId="69219C7C" w14:textId="77777777" w:rsidR="003B65FC" w:rsidRPr="004611D4" w:rsidRDefault="003B65FC" w:rsidP="003B65FC">
            <w:pPr>
              <w:jc w:val="center"/>
            </w:pPr>
          </w:p>
        </w:tc>
        <w:tc>
          <w:tcPr>
            <w:tcW w:w="3240" w:type="dxa"/>
            <w:tcBorders>
              <w:top w:val="nil"/>
              <w:left w:val="nil"/>
              <w:right w:val="nil"/>
            </w:tcBorders>
            <w:shd w:val="clear" w:color="auto" w:fill="auto"/>
            <w:noWrap/>
            <w:vAlign w:val="center"/>
          </w:tcPr>
          <w:p w14:paraId="497D2B5F" w14:textId="792D6859" w:rsidR="003B65FC" w:rsidRPr="004611D4" w:rsidRDefault="00B0358F" w:rsidP="003B65FC">
            <w:pPr>
              <w:jc w:val="center"/>
            </w:pPr>
            <w:r w:rsidRPr="004611D4">
              <w:t>Prosocial (–)</w:t>
            </w:r>
          </w:p>
        </w:tc>
      </w:tr>
      <w:tr w:rsidR="004611D4" w:rsidRPr="004611D4" w14:paraId="1B747FB5" w14:textId="77777777" w:rsidTr="006E41E6">
        <w:trPr>
          <w:trHeight w:val="288"/>
        </w:trPr>
        <w:tc>
          <w:tcPr>
            <w:tcW w:w="1620" w:type="dxa"/>
            <w:tcBorders>
              <w:top w:val="nil"/>
              <w:left w:val="nil"/>
              <w:right w:val="nil"/>
            </w:tcBorders>
            <w:shd w:val="clear" w:color="auto" w:fill="auto"/>
            <w:noWrap/>
            <w:vAlign w:val="center"/>
          </w:tcPr>
          <w:p w14:paraId="669A73E8" w14:textId="60CA679C" w:rsidR="006E602D" w:rsidRPr="004611D4" w:rsidRDefault="006E602D" w:rsidP="003B65FC">
            <w:pPr>
              <w:tabs>
                <w:tab w:val="left" w:pos="342"/>
              </w:tabs>
            </w:pPr>
            <w:r w:rsidRPr="004611D4">
              <w:t>ROBVQ</w:t>
            </w:r>
          </w:p>
        </w:tc>
        <w:tc>
          <w:tcPr>
            <w:tcW w:w="270" w:type="dxa"/>
            <w:tcBorders>
              <w:top w:val="nil"/>
              <w:left w:val="nil"/>
              <w:right w:val="nil"/>
            </w:tcBorders>
            <w:vAlign w:val="center"/>
          </w:tcPr>
          <w:p w14:paraId="4E5D687E"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707E821C" w14:textId="77777777" w:rsidR="006E602D" w:rsidRPr="004611D4" w:rsidRDefault="006E602D" w:rsidP="003B65FC">
            <w:pPr>
              <w:jc w:val="center"/>
            </w:pPr>
          </w:p>
        </w:tc>
        <w:tc>
          <w:tcPr>
            <w:tcW w:w="270" w:type="dxa"/>
            <w:tcBorders>
              <w:top w:val="nil"/>
              <w:left w:val="nil"/>
              <w:right w:val="nil"/>
            </w:tcBorders>
            <w:vAlign w:val="center"/>
          </w:tcPr>
          <w:p w14:paraId="4052724B"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35F7867B" w14:textId="77777777" w:rsidR="006E602D" w:rsidRPr="004611D4" w:rsidRDefault="006E602D" w:rsidP="003B65FC">
            <w:pPr>
              <w:jc w:val="center"/>
            </w:pPr>
          </w:p>
        </w:tc>
        <w:tc>
          <w:tcPr>
            <w:tcW w:w="270" w:type="dxa"/>
            <w:tcBorders>
              <w:top w:val="nil"/>
              <w:left w:val="nil"/>
              <w:right w:val="nil"/>
            </w:tcBorders>
            <w:vAlign w:val="center"/>
          </w:tcPr>
          <w:p w14:paraId="73EEF15A"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30ADED47" w14:textId="77777777" w:rsidR="006E602D" w:rsidRPr="004611D4" w:rsidRDefault="006E602D" w:rsidP="003B65FC">
            <w:pPr>
              <w:jc w:val="center"/>
            </w:pPr>
          </w:p>
        </w:tc>
      </w:tr>
      <w:tr w:rsidR="004611D4" w:rsidRPr="004611D4" w14:paraId="32DC3E65" w14:textId="77777777" w:rsidTr="006E41E6">
        <w:trPr>
          <w:trHeight w:val="288"/>
        </w:trPr>
        <w:tc>
          <w:tcPr>
            <w:tcW w:w="1620" w:type="dxa"/>
            <w:tcBorders>
              <w:top w:val="nil"/>
              <w:left w:val="nil"/>
              <w:right w:val="nil"/>
            </w:tcBorders>
            <w:shd w:val="clear" w:color="auto" w:fill="auto"/>
            <w:noWrap/>
            <w:vAlign w:val="center"/>
          </w:tcPr>
          <w:p w14:paraId="38476237" w14:textId="4FF5AECD" w:rsidR="006E602D" w:rsidRPr="004611D4" w:rsidRDefault="006E602D" w:rsidP="006E41E6">
            <w:pPr>
              <w:tabs>
                <w:tab w:val="left" w:pos="342"/>
              </w:tabs>
              <w:ind w:left="434"/>
            </w:pPr>
            <w:r w:rsidRPr="004611D4">
              <w:t>5</w:t>
            </w:r>
          </w:p>
        </w:tc>
        <w:tc>
          <w:tcPr>
            <w:tcW w:w="270" w:type="dxa"/>
            <w:tcBorders>
              <w:top w:val="nil"/>
              <w:left w:val="nil"/>
              <w:right w:val="nil"/>
            </w:tcBorders>
            <w:vAlign w:val="center"/>
          </w:tcPr>
          <w:p w14:paraId="258F9ECA"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11CB77D0" w14:textId="66CD6A73" w:rsidR="006E602D" w:rsidRPr="004611D4" w:rsidRDefault="006E602D" w:rsidP="003B65FC">
            <w:pPr>
              <w:jc w:val="center"/>
            </w:pPr>
            <w:r w:rsidRPr="004611D4">
              <w:t>.</w:t>
            </w:r>
            <w:r w:rsidR="00871842" w:rsidRPr="004611D4">
              <w:t>30</w:t>
            </w:r>
          </w:p>
        </w:tc>
        <w:tc>
          <w:tcPr>
            <w:tcW w:w="270" w:type="dxa"/>
            <w:tcBorders>
              <w:top w:val="nil"/>
              <w:left w:val="nil"/>
              <w:right w:val="nil"/>
            </w:tcBorders>
            <w:vAlign w:val="center"/>
          </w:tcPr>
          <w:p w14:paraId="45C02487"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77463132" w14:textId="6F8AACB5" w:rsidR="006E602D" w:rsidRPr="004611D4" w:rsidRDefault="006E602D" w:rsidP="003B65FC">
            <w:pPr>
              <w:jc w:val="center"/>
            </w:pPr>
            <w:r w:rsidRPr="004611D4">
              <w:t>.</w:t>
            </w:r>
            <w:r w:rsidR="00871842" w:rsidRPr="004611D4">
              <w:t>36</w:t>
            </w:r>
          </w:p>
        </w:tc>
        <w:tc>
          <w:tcPr>
            <w:tcW w:w="270" w:type="dxa"/>
            <w:tcBorders>
              <w:top w:val="nil"/>
              <w:left w:val="nil"/>
              <w:right w:val="nil"/>
            </w:tcBorders>
            <w:vAlign w:val="center"/>
          </w:tcPr>
          <w:p w14:paraId="5ADA496B"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033F6A43" w14:textId="4A8E0396" w:rsidR="006E602D" w:rsidRPr="004611D4" w:rsidRDefault="00DE4421" w:rsidP="003B65FC">
            <w:pPr>
              <w:jc w:val="center"/>
            </w:pPr>
            <w:r w:rsidRPr="004611D4">
              <w:t>Bullying</w:t>
            </w:r>
          </w:p>
        </w:tc>
      </w:tr>
      <w:tr w:rsidR="004611D4" w:rsidRPr="004611D4" w14:paraId="0C7D3DC0" w14:textId="77777777" w:rsidTr="006E41E6">
        <w:trPr>
          <w:trHeight w:val="288"/>
        </w:trPr>
        <w:tc>
          <w:tcPr>
            <w:tcW w:w="1620" w:type="dxa"/>
            <w:tcBorders>
              <w:top w:val="nil"/>
              <w:left w:val="nil"/>
              <w:right w:val="nil"/>
            </w:tcBorders>
            <w:shd w:val="clear" w:color="auto" w:fill="auto"/>
            <w:noWrap/>
            <w:vAlign w:val="center"/>
          </w:tcPr>
          <w:p w14:paraId="1E99C788" w14:textId="1F3FD43A" w:rsidR="006E602D" w:rsidRPr="004611D4" w:rsidRDefault="006E602D" w:rsidP="006E41E6">
            <w:pPr>
              <w:tabs>
                <w:tab w:val="left" w:pos="342"/>
              </w:tabs>
              <w:ind w:left="434"/>
            </w:pPr>
            <w:r w:rsidRPr="004611D4">
              <w:t>6</w:t>
            </w:r>
          </w:p>
        </w:tc>
        <w:tc>
          <w:tcPr>
            <w:tcW w:w="270" w:type="dxa"/>
            <w:tcBorders>
              <w:top w:val="nil"/>
              <w:left w:val="nil"/>
              <w:right w:val="nil"/>
            </w:tcBorders>
            <w:vAlign w:val="center"/>
          </w:tcPr>
          <w:p w14:paraId="0C885C37"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6646591C" w14:textId="59544810" w:rsidR="006E602D" w:rsidRPr="004611D4" w:rsidRDefault="006E602D" w:rsidP="003B65FC">
            <w:pPr>
              <w:jc w:val="center"/>
            </w:pPr>
            <w:r w:rsidRPr="004611D4">
              <w:t>.</w:t>
            </w:r>
            <w:r w:rsidR="00871842" w:rsidRPr="004611D4">
              <w:t>37</w:t>
            </w:r>
          </w:p>
        </w:tc>
        <w:tc>
          <w:tcPr>
            <w:tcW w:w="270" w:type="dxa"/>
            <w:tcBorders>
              <w:top w:val="nil"/>
              <w:left w:val="nil"/>
              <w:right w:val="nil"/>
            </w:tcBorders>
            <w:vAlign w:val="center"/>
          </w:tcPr>
          <w:p w14:paraId="33D56AAD"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1D6A5115" w14:textId="348F8B19" w:rsidR="006E602D" w:rsidRPr="004611D4" w:rsidRDefault="006E602D" w:rsidP="003B65FC">
            <w:pPr>
              <w:jc w:val="center"/>
            </w:pPr>
            <w:r w:rsidRPr="004611D4">
              <w:t>.3</w:t>
            </w:r>
            <w:r w:rsidR="00871842" w:rsidRPr="004611D4">
              <w:t>6</w:t>
            </w:r>
          </w:p>
        </w:tc>
        <w:tc>
          <w:tcPr>
            <w:tcW w:w="270" w:type="dxa"/>
            <w:tcBorders>
              <w:top w:val="nil"/>
              <w:left w:val="nil"/>
              <w:right w:val="nil"/>
            </w:tcBorders>
            <w:vAlign w:val="center"/>
          </w:tcPr>
          <w:p w14:paraId="12B54B21"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500FE2D1" w14:textId="33093E59" w:rsidR="006E602D" w:rsidRPr="004611D4" w:rsidRDefault="00DE4421" w:rsidP="003B65FC">
            <w:pPr>
              <w:jc w:val="center"/>
            </w:pPr>
            <w:r w:rsidRPr="004611D4">
              <w:t>Name-Calling</w:t>
            </w:r>
          </w:p>
        </w:tc>
      </w:tr>
      <w:tr w:rsidR="004611D4" w:rsidRPr="004611D4" w14:paraId="781AD934" w14:textId="77777777" w:rsidTr="006E41E6">
        <w:trPr>
          <w:trHeight w:val="288"/>
        </w:trPr>
        <w:tc>
          <w:tcPr>
            <w:tcW w:w="1620" w:type="dxa"/>
            <w:tcBorders>
              <w:top w:val="nil"/>
              <w:left w:val="nil"/>
              <w:right w:val="nil"/>
            </w:tcBorders>
            <w:shd w:val="clear" w:color="auto" w:fill="auto"/>
            <w:noWrap/>
            <w:vAlign w:val="center"/>
          </w:tcPr>
          <w:p w14:paraId="724C0B0E" w14:textId="6EBD822B" w:rsidR="006E602D" w:rsidRPr="004611D4" w:rsidRDefault="006E602D" w:rsidP="006E41E6">
            <w:pPr>
              <w:tabs>
                <w:tab w:val="left" w:pos="342"/>
              </w:tabs>
              <w:ind w:left="434"/>
            </w:pPr>
            <w:r w:rsidRPr="004611D4">
              <w:t>7</w:t>
            </w:r>
          </w:p>
        </w:tc>
        <w:tc>
          <w:tcPr>
            <w:tcW w:w="270" w:type="dxa"/>
            <w:tcBorders>
              <w:top w:val="nil"/>
              <w:left w:val="nil"/>
              <w:right w:val="nil"/>
            </w:tcBorders>
            <w:vAlign w:val="center"/>
          </w:tcPr>
          <w:p w14:paraId="6A511F7B"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45319437" w14:textId="494CAD18" w:rsidR="006E602D" w:rsidRPr="004611D4" w:rsidRDefault="006E602D" w:rsidP="003B65FC">
            <w:pPr>
              <w:jc w:val="center"/>
            </w:pPr>
            <w:r w:rsidRPr="004611D4">
              <w:t>.2</w:t>
            </w:r>
            <w:r w:rsidR="00871842" w:rsidRPr="004611D4">
              <w:t>4</w:t>
            </w:r>
          </w:p>
        </w:tc>
        <w:tc>
          <w:tcPr>
            <w:tcW w:w="270" w:type="dxa"/>
            <w:tcBorders>
              <w:top w:val="nil"/>
              <w:left w:val="nil"/>
              <w:right w:val="nil"/>
            </w:tcBorders>
            <w:vAlign w:val="center"/>
          </w:tcPr>
          <w:p w14:paraId="1A0FD65A"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6C9F0266" w14:textId="5668D4F4" w:rsidR="006E602D" w:rsidRPr="004611D4" w:rsidRDefault="006E602D" w:rsidP="003B65FC">
            <w:pPr>
              <w:jc w:val="center"/>
            </w:pPr>
            <w:r w:rsidRPr="004611D4">
              <w:t>.2</w:t>
            </w:r>
            <w:r w:rsidR="00871842" w:rsidRPr="004611D4">
              <w:t>2</w:t>
            </w:r>
          </w:p>
        </w:tc>
        <w:tc>
          <w:tcPr>
            <w:tcW w:w="270" w:type="dxa"/>
            <w:tcBorders>
              <w:top w:val="nil"/>
              <w:left w:val="nil"/>
              <w:right w:val="nil"/>
            </w:tcBorders>
            <w:vAlign w:val="center"/>
          </w:tcPr>
          <w:p w14:paraId="2B2BFCBD"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518BB7E6" w14:textId="3DAEF507" w:rsidR="006E602D" w:rsidRPr="004611D4" w:rsidRDefault="00DE4421" w:rsidP="003B65FC">
            <w:pPr>
              <w:jc w:val="center"/>
            </w:pPr>
            <w:r w:rsidRPr="004611D4">
              <w:t>Socially Excluding</w:t>
            </w:r>
          </w:p>
        </w:tc>
      </w:tr>
      <w:tr w:rsidR="004611D4" w:rsidRPr="004611D4" w14:paraId="38CBAC9D" w14:textId="77777777" w:rsidTr="006E41E6">
        <w:trPr>
          <w:trHeight w:val="288"/>
        </w:trPr>
        <w:tc>
          <w:tcPr>
            <w:tcW w:w="1620" w:type="dxa"/>
            <w:tcBorders>
              <w:top w:val="nil"/>
              <w:left w:val="nil"/>
              <w:right w:val="nil"/>
            </w:tcBorders>
            <w:shd w:val="clear" w:color="auto" w:fill="auto"/>
            <w:noWrap/>
            <w:vAlign w:val="center"/>
          </w:tcPr>
          <w:p w14:paraId="2D4EF100" w14:textId="6A45DA98" w:rsidR="006E602D" w:rsidRPr="004611D4" w:rsidRDefault="006E602D" w:rsidP="003B65FC">
            <w:pPr>
              <w:tabs>
                <w:tab w:val="left" w:pos="342"/>
              </w:tabs>
            </w:pPr>
            <w:r w:rsidRPr="004611D4">
              <w:t>SURPS</w:t>
            </w:r>
          </w:p>
        </w:tc>
        <w:tc>
          <w:tcPr>
            <w:tcW w:w="270" w:type="dxa"/>
            <w:tcBorders>
              <w:top w:val="nil"/>
              <w:left w:val="nil"/>
              <w:right w:val="nil"/>
            </w:tcBorders>
            <w:vAlign w:val="center"/>
          </w:tcPr>
          <w:p w14:paraId="488066EA"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00F8F7A7" w14:textId="77777777" w:rsidR="006E602D" w:rsidRPr="004611D4" w:rsidRDefault="006E602D" w:rsidP="003B65FC">
            <w:pPr>
              <w:jc w:val="center"/>
            </w:pPr>
          </w:p>
        </w:tc>
        <w:tc>
          <w:tcPr>
            <w:tcW w:w="270" w:type="dxa"/>
            <w:tcBorders>
              <w:top w:val="nil"/>
              <w:left w:val="nil"/>
              <w:right w:val="nil"/>
            </w:tcBorders>
            <w:vAlign w:val="center"/>
          </w:tcPr>
          <w:p w14:paraId="6A417092"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6B888600" w14:textId="77777777" w:rsidR="006E602D" w:rsidRPr="004611D4" w:rsidRDefault="006E602D" w:rsidP="003B65FC">
            <w:pPr>
              <w:jc w:val="center"/>
            </w:pPr>
          </w:p>
        </w:tc>
        <w:tc>
          <w:tcPr>
            <w:tcW w:w="270" w:type="dxa"/>
            <w:tcBorders>
              <w:top w:val="nil"/>
              <w:left w:val="nil"/>
              <w:right w:val="nil"/>
            </w:tcBorders>
            <w:vAlign w:val="center"/>
          </w:tcPr>
          <w:p w14:paraId="6F89A80E"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0F011D3F" w14:textId="77777777" w:rsidR="006E602D" w:rsidRPr="004611D4" w:rsidRDefault="006E602D" w:rsidP="003B65FC">
            <w:pPr>
              <w:jc w:val="center"/>
            </w:pPr>
          </w:p>
        </w:tc>
      </w:tr>
      <w:tr w:rsidR="004611D4" w:rsidRPr="004611D4" w14:paraId="2FC7565C" w14:textId="77777777" w:rsidTr="006E41E6">
        <w:trPr>
          <w:trHeight w:val="288"/>
        </w:trPr>
        <w:tc>
          <w:tcPr>
            <w:tcW w:w="1620" w:type="dxa"/>
            <w:tcBorders>
              <w:top w:val="nil"/>
              <w:left w:val="nil"/>
              <w:right w:val="nil"/>
            </w:tcBorders>
            <w:shd w:val="clear" w:color="auto" w:fill="auto"/>
            <w:noWrap/>
            <w:vAlign w:val="center"/>
          </w:tcPr>
          <w:p w14:paraId="5D838CD7" w14:textId="6B90C285" w:rsidR="006E602D" w:rsidRPr="004611D4" w:rsidRDefault="006E602D" w:rsidP="006E41E6">
            <w:pPr>
              <w:tabs>
                <w:tab w:val="left" w:pos="342"/>
              </w:tabs>
              <w:ind w:left="434"/>
            </w:pPr>
            <w:r w:rsidRPr="004611D4">
              <w:t>22</w:t>
            </w:r>
          </w:p>
        </w:tc>
        <w:tc>
          <w:tcPr>
            <w:tcW w:w="270" w:type="dxa"/>
            <w:tcBorders>
              <w:top w:val="nil"/>
              <w:left w:val="nil"/>
              <w:right w:val="nil"/>
            </w:tcBorders>
            <w:vAlign w:val="center"/>
          </w:tcPr>
          <w:p w14:paraId="1ABEF67D"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2B02DFD8" w14:textId="08782A75" w:rsidR="006E602D" w:rsidRPr="004611D4" w:rsidRDefault="006E602D" w:rsidP="003B65FC">
            <w:pPr>
              <w:jc w:val="center"/>
            </w:pPr>
            <w:r w:rsidRPr="004611D4">
              <w:t>.</w:t>
            </w:r>
            <w:r w:rsidR="0031708A" w:rsidRPr="004611D4">
              <w:t>3</w:t>
            </w:r>
            <w:r w:rsidR="00871842" w:rsidRPr="004611D4">
              <w:t>6</w:t>
            </w:r>
          </w:p>
        </w:tc>
        <w:tc>
          <w:tcPr>
            <w:tcW w:w="270" w:type="dxa"/>
            <w:tcBorders>
              <w:top w:val="nil"/>
              <w:left w:val="nil"/>
              <w:right w:val="nil"/>
            </w:tcBorders>
            <w:vAlign w:val="center"/>
          </w:tcPr>
          <w:p w14:paraId="2852316B"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743EA870" w14:textId="21A7E212" w:rsidR="006E602D" w:rsidRPr="004611D4" w:rsidRDefault="006E602D" w:rsidP="003B65FC">
            <w:pPr>
              <w:jc w:val="center"/>
            </w:pPr>
            <w:r w:rsidRPr="004611D4">
              <w:t>.</w:t>
            </w:r>
            <w:r w:rsidR="00871842" w:rsidRPr="004611D4">
              <w:t>44</w:t>
            </w:r>
          </w:p>
        </w:tc>
        <w:tc>
          <w:tcPr>
            <w:tcW w:w="270" w:type="dxa"/>
            <w:tcBorders>
              <w:top w:val="nil"/>
              <w:left w:val="nil"/>
              <w:right w:val="nil"/>
            </w:tcBorders>
            <w:vAlign w:val="center"/>
          </w:tcPr>
          <w:p w14:paraId="22D0D756"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40E1C174" w14:textId="5E092906" w:rsidR="006E602D" w:rsidRPr="004611D4" w:rsidRDefault="006E602D" w:rsidP="003B65FC">
            <w:pPr>
              <w:jc w:val="center"/>
            </w:pPr>
            <w:r w:rsidRPr="004611D4">
              <w:t>Manipulative</w:t>
            </w:r>
          </w:p>
        </w:tc>
      </w:tr>
      <w:tr w:rsidR="004611D4" w:rsidRPr="004611D4" w14:paraId="17BE6B98" w14:textId="77777777" w:rsidTr="006E41E6">
        <w:trPr>
          <w:trHeight w:val="288"/>
        </w:trPr>
        <w:tc>
          <w:tcPr>
            <w:tcW w:w="1620" w:type="dxa"/>
            <w:tcBorders>
              <w:top w:val="nil"/>
              <w:left w:val="nil"/>
              <w:right w:val="nil"/>
            </w:tcBorders>
            <w:shd w:val="clear" w:color="auto" w:fill="auto"/>
            <w:noWrap/>
            <w:vAlign w:val="center"/>
          </w:tcPr>
          <w:p w14:paraId="63CB33D8" w14:textId="5EB489B8" w:rsidR="006E602D" w:rsidRPr="004611D4" w:rsidRDefault="006E602D" w:rsidP="003B65FC">
            <w:pPr>
              <w:tabs>
                <w:tab w:val="left" w:pos="342"/>
              </w:tabs>
            </w:pPr>
            <w:r w:rsidRPr="004611D4">
              <w:t>TCI-R</w:t>
            </w:r>
          </w:p>
        </w:tc>
        <w:tc>
          <w:tcPr>
            <w:tcW w:w="270" w:type="dxa"/>
            <w:tcBorders>
              <w:top w:val="nil"/>
              <w:left w:val="nil"/>
              <w:right w:val="nil"/>
            </w:tcBorders>
            <w:vAlign w:val="center"/>
          </w:tcPr>
          <w:p w14:paraId="0590D125"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1FB42C98" w14:textId="77777777" w:rsidR="006E602D" w:rsidRPr="004611D4" w:rsidRDefault="006E602D" w:rsidP="003B65FC">
            <w:pPr>
              <w:jc w:val="center"/>
            </w:pPr>
          </w:p>
        </w:tc>
        <w:tc>
          <w:tcPr>
            <w:tcW w:w="270" w:type="dxa"/>
            <w:tcBorders>
              <w:top w:val="nil"/>
              <w:left w:val="nil"/>
              <w:right w:val="nil"/>
            </w:tcBorders>
            <w:vAlign w:val="center"/>
          </w:tcPr>
          <w:p w14:paraId="5E1F86E1" w14:textId="77777777" w:rsidR="006E602D" w:rsidRPr="004611D4" w:rsidRDefault="006E602D" w:rsidP="003B65FC">
            <w:pPr>
              <w:jc w:val="center"/>
            </w:pPr>
          </w:p>
        </w:tc>
        <w:tc>
          <w:tcPr>
            <w:tcW w:w="1800" w:type="dxa"/>
            <w:tcBorders>
              <w:top w:val="nil"/>
              <w:left w:val="nil"/>
              <w:right w:val="nil"/>
            </w:tcBorders>
            <w:shd w:val="clear" w:color="auto" w:fill="auto"/>
            <w:noWrap/>
            <w:vAlign w:val="center"/>
          </w:tcPr>
          <w:p w14:paraId="7A864066" w14:textId="77777777" w:rsidR="006E602D" w:rsidRPr="004611D4" w:rsidRDefault="006E602D" w:rsidP="003B65FC">
            <w:pPr>
              <w:jc w:val="center"/>
            </w:pPr>
          </w:p>
        </w:tc>
        <w:tc>
          <w:tcPr>
            <w:tcW w:w="270" w:type="dxa"/>
            <w:tcBorders>
              <w:top w:val="nil"/>
              <w:left w:val="nil"/>
              <w:right w:val="nil"/>
            </w:tcBorders>
            <w:vAlign w:val="center"/>
          </w:tcPr>
          <w:p w14:paraId="0B618105" w14:textId="77777777" w:rsidR="006E602D" w:rsidRPr="004611D4" w:rsidRDefault="006E602D" w:rsidP="003B65FC">
            <w:pPr>
              <w:jc w:val="center"/>
            </w:pPr>
          </w:p>
        </w:tc>
        <w:tc>
          <w:tcPr>
            <w:tcW w:w="3240" w:type="dxa"/>
            <w:tcBorders>
              <w:top w:val="nil"/>
              <w:left w:val="nil"/>
              <w:right w:val="nil"/>
            </w:tcBorders>
            <w:shd w:val="clear" w:color="auto" w:fill="auto"/>
            <w:noWrap/>
            <w:vAlign w:val="center"/>
          </w:tcPr>
          <w:p w14:paraId="369F48F3" w14:textId="77777777" w:rsidR="006E602D" w:rsidRPr="004611D4" w:rsidRDefault="006E602D" w:rsidP="003B65FC">
            <w:pPr>
              <w:jc w:val="center"/>
            </w:pPr>
          </w:p>
        </w:tc>
      </w:tr>
      <w:tr w:rsidR="004611D4" w:rsidRPr="004611D4" w14:paraId="0D5C4337" w14:textId="77777777" w:rsidTr="006E41E6">
        <w:trPr>
          <w:trHeight w:val="288"/>
        </w:trPr>
        <w:tc>
          <w:tcPr>
            <w:tcW w:w="1620" w:type="dxa"/>
            <w:tcBorders>
              <w:top w:val="nil"/>
              <w:left w:val="nil"/>
              <w:bottom w:val="single" w:sz="4" w:space="0" w:color="auto"/>
              <w:right w:val="nil"/>
            </w:tcBorders>
            <w:shd w:val="clear" w:color="auto" w:fill="auto"/>
            <w:noWrap/>
            <w:vAlign w:val="center"/>
          </w:tcPr>
          <w:p w14:paraId="6CC2E601" w14:textId="5783188F" w:rsidR="006E602D" w:rsidRPr="004611D4" w:rsidRDefault="006E602D" w:rsidP="006E41E6">
            <w:pPr>
              <w:tabs>
                <w:tab w:val="left" w:pos="342"/>
              </w:tabs>
              <w:ind w:left="434"/>
            </w:pPr>
            <w:r w:rsidRPr="004611D4">
              <w:t>51</w:t>
            </w:r>
          </w:p>
        </w:tc>
        <w:tc>
          <w:tcPr>
            <w:tcW w:w="270" w:type="dxa"/>
            <w:tcBorders>
              <w:top w:val="nil"/>
              <w:left w:val="nil"/>
              <w:bottom w:val="single" w:sz="4" w:space="0" w:color="auto"/>
              <w:right w:val="nil"/>
            </w:tcBorders>
            <w:vAlign w:val="center"/>
          </w:tcPr>
          <w:p w14:paraId="0BFEB8D7" w14:textId="77777777" w:rsidR="006E602D" w:rsidRPr="004611D4" w:rsidRDefault="006E602D" w:rsidP="003B65FC">
            <w:pPr>
              <w:jc w:val="center"/>
            </w:pPr>
          </w:p>
        </w:tc>
        <w:tc>
          <w:tcPr>
            <w:tcW w:w="1800" w:type="dxa"/>
            <w:tcBorders>
              <w:top w:val="nil"/>
              <w:left w:val="nil"/>
              <w:bottom w:val="single" w:sz="4" w:space="0" w:color="auto"/>
              <w:right w:val="nil"/>
            </w:tcBorders>
            <w:shd w:val="clear" w:color="auto" w:fill="auto"/>
            <w:noWrap/>
            <w:vAlign w:val="center"/>
          </w:tcPr>
          <w:p w14:paraId="4605C8FA" w14:textId="36CE19B5" w:rsidR="006E602D" w:rsidRPr="004611D4" w:rsidRDefault="006E602D" w:rsidP="003B65FC">
            <w:pPr>
              <w:jc w:val="center"/>
            </w:pPr>
            <w:r w:rsidRPr="004611D4">
              <w:t>.</w:t>
            </w:r>
            <w:r w:rsidR="00871842" w:rsidRPr="004611D4">
              <w:t>29</w:t>
            </w:r>
          </w:p>
        </w:tc>
        <w:tc>
          <w:tcPr>
            <w:tcW w:w="270" w:type="dxa"/>
            <w:tcBorders>
              <w:top w:val="nil"/>
              <w:left w:val="nil"/>
              <w:bottom w:val="single" w:sz="4" w:space="0" w:color="auto"/>
              <w:right w:val="nil"/>
            </w:tcBorders>
            <w:vAlign w:val="center"/>
          </w:tcPr>
          <w:p w14:paraId="66FBF37D" w14:textId="5BF0F82D" w:rsidR="006E602D" w:rsidRPr="004611D4" w:rsidRDefault="006E602D" w:rsidP="003B65FC">
            <w:pPr>
              <w:jc w:val="center"/>
            </w:pPr>
          </w:p>
        </w:tc>
        <w:tc>
          <w:tcPr>
            <w:tcW w:w="1800" w:type="dxa"/>
            <w:tcBorders>
              <w:top w:val="nil"/>
              <w:left w:val="nil"/>
              <w:bottom w:val="single" w:sz="4" w:space="0" w:color="auto"/>
              <w:right w:val="nil"/>
            </w:tcBorders>
            <w:shd w:val="clear" w:color="auto" w:fill="auto"/>
            <w:noWrap/>
            <w:vAlign w:val="center"/>
          </w:tcPr>
          <w:p w14:paraId="6AB8E5FD" w14:textId="3853CA05" w:rsidR="006E602D" w:rsidRPr="004611D4" w:rsidRDefault="006E602D" w:rsidP="003B65FC">
            <w:pPr>
              <w:jc w:val="center"/>
            </w:pPr>
            <w:r w:rsidRPr="004611D4">
              <w:t>.2</w:t>
            </w:r>
            <w:r w:rsidR="00871842" w:rsidRPr="004611D4">
              <w:t>4</w:t>
            </w:r>
          </w:p>
        </w:tc>
        <w:tc>
          <w:tcPr>
            <w:tcW w:w="270" w:type="dxa"/>
            <w:tcBorders>
              <w:top w:val="nil"/>
              <w:left w:val="nil"/>
              <w:bottom w:val="single" w:sz="4" w:space="0" w:color="auto"/>
              <w:right w:val="nil"/>
            </w:tcBorders>
            <w:vAlign w:val="center"/>
          </w:tcPr>
          <w:p w14:paraId="525C041C" w14:textId="77777777" w:rsidR="006E602D" w:rsidRPr="004611D4" w:rsidRDefault="006E602D" w:rsidP="003B65FC">
            <w:pPr>
              <w:jc w:val="center"/>
            </w:pPr>
          </w:p>
        </w:tc>
        <w:tc>
          <w:tcPr>
            <w:tcW w:w="3240" w:type="dxa"/>
            <w:tcBorders>
              <w:top w:val="nil"/>
              <w:left w:val="nil"/>
              <w:bottom w:val="single" w:sz="4" w:space="0" w:color="auto"/>
              <w:right w:val="nil"/>
            </w:tcBorders>
            <w:shd w:val="clear" w:color="auto" w:fill="auto"/>
            <w:noWrap/>
            <w:vAlign w:val="center"/>
          </w:tcPr>
          <w:p w14:paraId="2F1680E9" w14:textId="21F17369" w:rsidR="006E602D" w:rsidRPr="004611D4" w:rsidRDefault="006E602D" w:rsidP="003B65FC">
            <w:pPr>
              <w:jc w:val="center"/>
            </w:pPr>
            <w:r w:rsidRPr="004611D4">
              <w:t>Manipulative</w:t>
            </w:r>
          </w:p>
        </w:tc>
      </w:tr>
      <w:tr w:rsidR="004611D4" w:rsidRPr="004611D4" w14:paraId="6BE2E7F0" w14:textId="77777777" w:rsidTr="006E41E6">
        <w:trPr>
          <w:trHeight w:val="288"/>
        </w:trPr>
        <w:tc>
          <w:tcPr>
            <w:tcW w:w="9270" w:type="dxa"/>
            <w:gridSpan w:val="7"/>
            <w:tcBorders>
              <w:top w:val="single" w:sz="4" w:space="0" w:color="auto"/>
              <w:left w:val="nil"/>
              <w:right w:val="nil"/>
            </w:tcBorders>
            <w:shd w:val="clear" w:color="auto" w:fill="auto"/>
            <w:noWrap/>
            <w:vAlign w:val="bottom"/>
          </w:tcPr>
          <w:p w14:paraId="07E4B43B" w14:textId="4EEC1A22" w:rsidR="006E602D" w:rsidRPr="004611D4" w:rsidRDefault="003C624E" w:rsidP="003C624E">
            <w:pPr>
              <w:jc w:val="center"/>
              <w:rPr>
                <w:iCs/>
              </w:rPr>
            </w:pPr>
            <w:r w:rsidRPr="004611D4">
              <w:t xml:space="preserve">Sample Half 1: </w:t>
            </w:r>
            <w:bookmarkStart w:id="19" w:name="OLE_LINK157"/>
            <w:bookmarkStart w:id="20" w:name="OLE_LINK158"/>
            <w:r w:rsidRPr="004611D4">
              <w:t xml:space="preserve">Cronbach’s </w:t>
            </w:r>
            <w:r w:rsidRPr="004611D4">
              <w:rPr>
                <w:i/>
                <w:shd w:val="clear" w:color="auto" w:fill="FFFFFF"/>
              </w:rPr>
              <w:t>α</w:t>
            </w:r>
            <w:r w:rsidR="008D0AB9">
              <w:rPr>
                <w:iCs/>
                <w:shd w:val="clear" w:color="auto" w:fill="FFFFFF"/>
              </w:rPr>
              <w:t xml:space="preserve"> = </w:t>
            </w:r>
            <w:r w:rsidRPr="004611D4">
              <w:rPr>
                <w:iCs/>
                <w:shd w:val="clear" w:color="auto" w:fill="FFFFFF"/>
              </w:rPr>
              <w:t xml:space="preserve">.75; mean inter-item </w:t>
            </w:r>
            <w:r w:rsidRPr="004611D4">
              <w:rPr>
                <w:i/>
                <w:shd w:val="clear" w:color="auto" w:fill="FFFFFF"/>
              </w:rPr>
              <w:t>r</w:t>
            </w:r>
            <w:r w:rsidR="008D0AB9">
              <w:rPr>
                <w:i/>
                <w:shd w:val="clear" w:color="auto" w:fill="FFFFFF"/>
              </w:rPr>
              <w:t xml:space="preserve"> = </w:t>
            </w:r>
            <w:r w:rsidRPr="004611D4">
              <w:rPr>
                <w:iCs/>
                <w:shd w:val="clear" w:color="auto" w:fill="FFFFFF"/>
              </w:rPr>
              <w:t>.1</w:t>
            </w:r>
            <w:bookmarkEnd w:id="19"/>
            <w:bookmarkEnd w:id="20"/>
            <w:r w:rsidR="00871842" w:rsidRPr="004611D4">
              <w:rPr>
                <w:iCs/>
                <w:shd w:val="clear" w:color="auto" w:fill="FFFFFF"/>
              </w:rPr>
              <w:t>5</w:t>
            </w:r>
          </w:p>
        </w:tc>
      </w:tr>
      <w:tr w:rsidR="004611D4" w:rsidRPr="004611D4" w14:paraId="2A90E47C" w14:textId="77777777" w:rsidTr="006E41E6">
        <w:trPr>
          <w:trHeight w:val="369"/>
        </w:trPr>
        <w:tc>
          <w:tcPr>
            <w:tcW w:w="9270" w:type="dxa"/>
            <w:gridSpan w:val="7"/>
            <w:tcBorders>
              <w:left w:val="nil"/>
              <w:bottom w:val="single" w:sz="4" w:space="0" w:color="auto"/>
              <w:right w:val="nil"/>
            </w:tcBorders>
            <w:shd w:val="clear" w:color="auto" w:fill="auto"/>
            <w:noWrap/>
            <w:vAlign w:val="center"/>
          </w:tcPr>
          <w:p w14:paraId="596FA16E" w14:textId="43BE327C" w:rsidR="003163B7" w:rsidRPr="004611D4" w:rsidRDefault="003C624E" w:rsidP="003C624E">
            <w:pPr>
              <w:jc w:val="center"/>
            </w:pPr>
            <w:r w:rsidRPr="004611D4">
              <w:t xml:space="preserve">Sample Half 2: Cronbach’s </w:t>
            </w:r>
            <w:r w:rsidRPr="004611D4">
              <w:rPr>
                <w:i/>
                <w:shd w:val="clear" w:color="auto" w:fill="FFFFFF"/>
              </w:rPr>
              <w:t>α</w:t>
            </w:r>
            <w:r w:rsidR="008D0AB9">
              <w:rPr>
                <w:iCs/>
                <w:shd w:val="clear" w:color="auto" w:fill="FFFFFF"/>
              </w:rPr>
              <w:t xml:space="preserve"> = </w:t>
            </w:r>
            <w:r w:rsidRPr="004611D4">
              <w:rPr>
                <w:iCs/>
                <w:shd w:val="clear" w:color="auto" w:fill="FFFFFF"/>
              </w:rPr>
              <w:t>.7</w:t>
            </w:r>
            <w:r w:rsidR="00871842" w:rsidRPr="004611D4">
              <w:rPr>
                <w:iCs/>
                <w:shd w:val="clear" w:color="auto" w:fill="FFFFFF"/>
              </w:rPr>
              <w:t>7</w:t>
            </w:r>
            <w:r w:rsidRPr="004611D4">
              <w:rPr>
                <w:iCs/>
                <w:shd w:val="clear" w:color="auto" w:fill="FFFFFF"/>
              </w:rPr>
              <w:t xml:space="preserve">; mean inter-item </w:t>
            </w:r>
            <w:r w:rsidRPr="004611D4">
              <w:rPr>
                <w:i/>
                <w:shd w:val="clear" w:color="auto" w:fill="FFFFFF"/>
              </w:rPr>
              <w:t>r</w:t>
            </w:r>
            <w:r w:rsidR="008D0AB9">
              <w:rPr>
                <w:i/>
                <w:shd w:val="clear" w:color="auto" w:fill="FFFFFF"/>
              </w:rPr>
              <w:t xml:space="preserve"> = </w:t>
            </w:r>
            <w:r w:rsidRPr="004611D4">
              <w:rPr>
                <w:iCs/>
                <w:shd w:val="clear" w:color="auto" w:fill="FFFFFF"/>
              </w:rPr>
              <w:t>.1</w:t>
            </w:r>
            <w:r w:rsidR="00871842" w:rsidRPr="004611D4">
              <w:rPr>
                <w:iCs/>
                <w:shd w:val="clear" w:color="auto" w:fill="FFFFFF"/>
              </w:rPr>
              <w:t>7</w:t>
            </w:r>
          </w:p>
        </w:tc>
      </w:tr>
    </w:tbl>
    <w:p w14:paraId="60F2552C" w14:textId="4369E932" w:rsidR="0072575C" w:rsidRPr="004611D4" w:rsidRDefault="00D2648E" w:rsidP="00871842">
      <w:pPr>
        <w:spacing w:before="80"/>
        <w:ind w:right="-144"/>
      </w:pPr>
      <w:r w:rsidRPr="004611D4">
        <w:rPr>
          <w:i/>
        </w:rPr>
        <w:t>Note</w:t>
      </w:r>
      <w:r w:rsidR="003C624E" w:rsidRPr="004611D4">
        <w:t>.</w:t>
      </w:r>
      <w:r w:rsidRPr="004611D4">
        <w:t xml:space="preserve"> </w:t>
      </w:r>
      <w:r w:rsidR="003C624E" w:rsidRPr="004611D4">
        <w:rPr>
          <w:i/>
          <w:iCs/>
        </w:rPr>
        <w:t>N</w:t>
      </w:r>
      <w:r w:rsidR="0031708A" w:rsidRPr="004611D4">
        <w:t>s</w:t>
      </w:r>
      <w:r w:rsidR="008D0AB9">
        <w:rPr>
          <w:i/>
          <w:iCs/>
        </w:rPr>
        <w:t xml:space="preserve"> = </w:t>
      </w:r>
      <w:r w:rsidR="0031708A" w:rsidRPr="004611D4">
        <w:t>7</w:t>
      </w:r>
      <w:r w:rsidR="00871842" w:rsidRPr="004611D4">
        <w:t>35</w:t>
      </w:r>
      <w:r w:rsidR="003C624E" w:rsidRPr="004611D4">
        <w:t xml:space="preserve"> (Sample Half 1), </w:t>
      </w:r>
      <w:r w:rsidR="0031708A" w:rsidRPr="004611D4">
        <w:t>7</w:t>
      </w:r>
      <w:r w:rsidR="00871842" w:rsidRPr="004611D4">
        <w:t xml:space="preserve">36 </w:t>
      </w:r>
      <w:r w:rsidR="003C624E" w:rsidRPr="004611D4">
        <w:t>(Sample Half 2). All items were converted to common 4-point metric prior to analyses; see Supplemental Method A. NEO-FFI</w:t>
      </w:r>
      <w:r w:rsidR="008D0AB9">
        <w:t xml:space="preserve"> = </w:t>
      </w:r>
      <w:r w:rsidR="003C624E" w:rsidRPr="004611D4">
        <w:t>Neuroticism-Extraversion-Openness Five-Factor Inventory</w:t>
      </w:r>
      <w:r w:rsidR="00943923" w:rsidRPr="004611D4">
        <w:t xml:space="preserve"> </w:t>
      </w:r>
      <w:r w:rsidR="00943923" w:rsidRPr="004611D4">
        <w:rPr>
          <w:noProof/>
        </w:rPr>
        <w:t>(Costa &amp; McCrae, 1992)</w:t>
      </w:r>
      <w:r w:rsidR="003C624E" w:rsidRPr="004611D4">
        <w:t xml:space="preserve">; </w:t>
      </w:r>
      <w:r w:rsidR="00CA2B97" w:rsidRPr="004611D4">
        <w:t>SDQ</w:t>
      </w:r>
      <w:r w:rsidR="008D0AB9">
        <w:t xml:space="preserve"> = </w:t>
      </w:r>
      <w:r w:rsidR="00CA2B97" w:rsidRPr="004611D4">
        <w:t xml:space="preserve">Strengths and Difficulties Questionnaire </w:t>
      </w:r>
      <w:r w:rsidR="00943923" w:rsidRPr="004611D4">
        <w:rPr>
          <w:noProof/>
        </w:rPr>
        <w:t>(Goodman, 2001)</w:t>
      </w:r>
      <w:r w:rsidR="00CA2B97" w:rsidRPr="004611D4">
        <w:t xml:space="preserve">; </w:t>
      </w:r>
      <w:r w:rsidR="003C624E" w:rsidRPr="004611D4">
        <w:t>ROBVQ</w:t>
      </w:r>
      <w:r w:rsidR="008D0AB9">
        <w:t xml:space="preserve"> = </w:t>
      </w:r>
      <w:r w:rsidR="003C624E" w:rsidRPr="004611D4">
        <w:t>Revised Olweus Bully/Victim Questionnaire for Students</w:t>
      </w:r>
      <w:r w:rsidR="00943923" w:rsidRPr="004611D4">
        <w:t xml:space="preserve"> </w:t>
      </w:r>
      <w:r w:rsidR="00943923" w:rsidRPr="004611D4">
        <w:rPr>
          <w:noProof/>
        </w:rPr>
        <w:t>(Olweus, 1996)</w:t>
      </w:r>
      <w:r w:rsidR="003C624E" w:rsidRPr="004611D4">
        <w:t>; S</w:t>
      </w:r>
      <w:r w:rsidR="00CA2B97" w:rsidRPr="004611D4">
        <w:t>URPS</w:t>
      </w:r>
      <w:r w:rsidR="008D0AB9">
        <w:t xml:space="preserve"> = </w:t>
      </w:r>
      <w:r w:rsidR="00CA2B97" w:rsidRPr="004611D4">
        <w:t>Substance Use Risk Profile Scale</w:t>
      </w:r>
      <w:r w:rsidR="00943923" w:rsidRPr="004611D4">
        <w:t xml:space="preserve"> </w:t>
      </w:r>
      <w:r w:rsidR="00943923" w:rsidRPr="004611D4">
        <w:rPr>
          <w:noProof/>
        </w:rPr>
        <w:t>(Woicik et al., 2009)</w:t>
      </w:r>
      <w:r w:rsidR="00CA2B97" w:rsidRPr="004611D4">
        <w:t>; TCI-R</w:t>
      </w:r>
      <w:r w:rsidR="008D0AB9">
        <w:t xml:space="preserve"> = </w:t>
      </w:r>
      <w:r w:rsidR="00CA2B97" w:rsidRPr="004611D4">
        <w:t xml:space="preserve">Temperament and Character Inventory – Revised </w:t>
      </w:r>
      <w:r w:rsidR="00943923" w:rsidRPr="004611D4">
        <w:rPr>
          <w:noProof/>
        </w:rPr>
        <w:t>(Cloninger, 1999)</w:t>
      </w:r>
      <w:r w:rsidR="00CA2B97" w:rsidRPr="004611D4">
        <w:t xml:space="preserve">. </w:t>
      </w:r>
      <w:r w:rsidR="00526EFF" w:rsidRPr="004611D4">
        <w:t>(–)</w:t>
      </w:r>
      <w:r w:rsidR="008D0AB9">
        <w:t xml:space="preserve"> = </w:t>
      </w:r>
      <w:r w:rsidR="00CA2B97" w:rsidRPr="004611D4">
        <w:t xml:space="preserve">item was </w:t>
      </w:r>
      <w:r w:rsidR="00526EFF" w:rsidRPr="004611D4">
        <w:t>reverse-scored.</w:t>
      </w:r>
    </w:p>
    <w:p w14:paraId="4A08B8D6" w14:textId="4808E8FA" w:rsidR="0072575C" w:rsidRPr="004611D4" w:rsidRDefault="0072575C">
      <w:r w:rsidRPr="004611D4">
        <w:br w:type="page"/>
      </w:r>
    </w:p>
    <w:tbl>
      <w:tblPr>
        <w:tblW w:w="9270" w:type="dxa"/>
        <w:tblLayout w:type="fixed"/>
        <w:tblLook w:val="04A0" w:firstRow="1" w:lastRow="0" w:firstColumn="1" w:lastColumn="0" w:noHBand="0" w:noVBand="1"/>
      </w:tblPr>
      <w:tblGrid>
        <w:gridCol w:w="4493"/>
        <w:gridCol w:w="270"/>
        <w:gridCol w:w="4507"/>
      </w:tblGrid>
      <w:tr w:rsidR="004611D4" w:rsidRPr="004611D4" w14:paraId="6AF71247" w14:textId="77777777" w:rsidTr="00BF73CB">
        <w:trPr>
          <w:trHeight w:val="288"/>
        </w:trPr>
        <w:tc>
          <w:tcPr>
            <w:tcW w:w="9270" w:type="dxa"/>
            <w:gridSpan w:val="3"/>
            <w:tcBorders>
              <w:top w:val="nil"/>
              <w:left w:val="nil"/>
              <w:bottom w:val="single" w:sz="4" w:space="0" w:color="auto"/>
              <w:right w:val="nil"/>
            </w:tcBorders>
            <w:shd w:val="clear" w:color="auto" w:fill="auto"/>
            <w:noWrap/>
            <w:vAlign w:val="center"/>
            <w:hideMark/>
          </w:tcPr>
          <w:p w14:paraId="5E0117B3" w14:textId="5B8DAF1C" w:rsidR="0072575C" w:rsidRPr="004611D4" w:rsidRDefault="0072575C" w:rsidP="00BF73CB">
            <w:r w:rsidRPr="004611D4">
              <w:rPr>
                <w:b/>
                <w:bCs/>
              </w:rPr>
              <w:lastRenderedPageBreak/>
              <w:t xml:space="preserve">Supplemental Table </w:t>
            </w:r>
            <w:r w:rsidR="006E7A21" w:rsidRPr="004611D4">
              <w:rPr>
                <w:b/>
                <w:bCs/>
              </w:rPr>
              <w:t>B</w:t>
            </w:r>
            <w:r w:rsidRPr="004611D4">
              <w:rPr>
                <w:b/>
                <w:bCs/>
              </w:rPr>
              <w:t>.</w:t>
            </w:r>
            <w:r w:rsidRPr="004611D4">
              <w:t xml:space="preserve"> </w:t>
            </w:r>
            <w:r w:rsidR="003D1A86" w:rsidRPr="004611D4">
              <w:rPr>
                <w:iCs/>
              </w:rPr>
              <w:t>Clinical Symptoms Used in Outcome Measures</w:t>
            </w:r>
          </w:p>
        </w:tc>
      </w:tr>
      <w:tr w:rsidR="004611D4" w:rsidRPr="004611D4" w14:paraId="2C1BC8A6" w14:textId="77777777" w:rsidTr="00E10197">
        <w:trPr>
          <w:trHeight w:val="431"/>
        </w:trPr>
        <w:tc>
          <w:tcPr>
            <w:tcW w:w="9270" w:type="dxa"/>
            <w:gridSpan w:val="3"/>
            <w:tcBorders>
              <w:top w:val="single" w:sz="4" w:space="0" w:color="auto"/>
              <w:left w:val="nil"/>
              <w:right w:val="nil"/>
            </w:tcBorders>
            <w:shd w:val="clear" w:color="auto" w:fill="auto"/>
            <w:noWrap/>
            <w:vAlign w:val="bottom"/>
          </w:tcPr>
          <w:p w14:paraId="3735F599" w14:textId="162144C1" w:rsidR="0072575C" w:rsidRPr="004611D4" w:rsidRDefault="0072575C" w:rsidP="00E10197">
            <w:pPr>
              <w:jc w:val="center"/>
              <w:rPr>
                <w:b/>
                <w:bCs/>
              </w:rPr>
            </w:pPr>
            <w:r w:rsidRPr="004611D4">
              <w:rPr>
                <w:b/>
                <w:bCs/>
              </w:rPr>
              <w:t>Conduct Disorder</w:t>
            </w:r>
            <w:r w:rsidR="003D1A86" w:rsidRPr="004611D4">
              <w:rPr>
                <w:b/>
                <w:bCs/>
              </w:rPr>
              <w:t xml:space="preserve"> </w:t>
            </w:r>
            <w:r w:rsidR="003D1A86" w:rsidRPr="004611D4">
              <w:t>(DAWBA; Goodman et al., 2000)</w:t>
            </w:r>
          </w:p>
        </w:tc>
      </w:tr>
      <w:tr w:rsidR="004611D4" w:rsidRPr="004611D4" w14:paraId="1A86CF8F" w14:textId="77777777" w:rsidTr="00E10197">
        <w:trPr>
          <w:trHeight w:val="288"/>
        </w:trPr>
        <w:tc>
          <w:tcPr>
            <w:tcW w:w="4493" w:type="dxa"/>
            <w:tcBorders>
              <w:top w:val="single" w:sz="4" w:space="0" w:color="auto"/>
              <w:left w:val="nil"/>
              <w:bottom w:val="single" w:sz="4" w:space="0" w:color="auto"/>
              <w:right w:val="nil"/>
            </w:tcBorders>
            <w:shd w:val="clear" w:color="auto" w:fill="auto"/>
            <w:noWrap/>
            <w:vAlign w:val="center"/>
          </w:tcPr>
          <w:p w14:paraId="0E3F522E" w14:textId="487F2A05" w:rsidR="00BF73CB" w:rsidRPr="004611D4" w:rsidRDefault="00BF73CB" w:rsidP="00BF73CB">
            <w:pPr>
              <w:jc w:val="center"/>
            </w:pPr>
            <w:r w:rsidRPr="004611D4">
              <w:t>Rule-Breaking</w:t>
            </w:r>
          </w:p>
        </w:tc>
        <w:tc>
          <w:tcPr>
            <w:tcW w:w="270" w:type="dxa"/>
            <w:tcBorders>
              <w:top w:val="single" w:sz="4" w:space="0" w:color="auto"/>
              <w:left w:val="nil"/>
              <w:right w:val="nil"/>
            </w:tcBorders>
            <w:shd w:val="clear" w:color="auto" w:fill="auto"/>
            <w:vAlign w:val="center"/>
          </w:tcPr>
          <w:p w14:paraId="1DEA0BA3" w14:textId="1CDA2BE9" w:rsidR="00BF73CB" w:rsidRPr="004611D4" w:rsidRDefault="00BF73CB" w:rsidP="00BF73CB">
            <w:pPr>
              <w:jc w:val="center"/>
            </w:pPr>
          </w:p>
        </w:tc>
        <w:tc>
          <w:tcPr>
            <w:tcW w:w="4507" w:type="dxa"/>
            <w:tcBorders>
              <w:top w:val="single" w:sz="4" w:space="0" w:color="auto"/>
              <w:left w:val="nil"/>
              <w:bottom w:val="single" w:sz="4" w:space="0" w:color="auto"/>
              <w:right w:val="nil"/>
            </w:tcBorders>
            <w:shd w:val="clear" w:color="auto" w:fill="auto"/>
            <w:vAlign w:val="center"/>
          </w:tcPr>
          <w:p w14:paraId="02693E47" w14:textId="78D35817" w:rsidR="00BF73CB" w:rsidRPr="004611D4" w:rsidRDefault="00BF73CB" w:rsidP="00BF73CB">
            <w:pPr>
              <w:jc w:val="center"/>
            </w:pPr>
            <w:r w:rsidRPr="004611D4">
              <w:t>Aggressive</w:t>
            </w:r>
          </w:p>
        </w:tc>
      </w:tr>
      <w:tr w:rsidR="004611D4" w:rsidRPr="004611D4" w14:paraId="1F4FDE01" w14:textId="77777777" w:rsidTr="00C54B26">
        <w:trPr>
          <w:trHeight w:val="2735"/>
        </w:trPr>
        <w:tc>
          <w:tcPr>
            <w:tcW w:w="4493" w:type="dxa"/>
            <w:tcBorders>
              <w:left w:val="nil"/>
              <w:bottom w:val="single" w:sz="4" w:space="0" w:color="auto"/>
              <w:right w:val="nil"/>
            </w:tcBorders>
            <w:shd w:val="clear" w:color="auto" w:fill="auto"/>
            <w:noWrap/>
            <w:vAlign w:val="center"/>
          </w:tcPr>
          <w:p w14:paraId="1BB3DB27" w14:textId="54C00905" w:rsidR="00BF73CB" w:rsidRPr="004611D4" w:rsidRDefault="00BF73CB" w:rsidP="00BF73CB">
            <w:pPr>
              <w:pStyle w:val="ListParagraph"/>
              <w:numPr>
                <w:ilvl w:val="0"/>
                <w:numId w:val="2"/>
              </w:numPr>
              <w:ind w:left="345"/>
            </w:pPr>
            <w:r w:rsidRPr="004611D4">
              <w:t>Lying to get ahead or avoid responsibility</w:t>
            </w:r>
          </w:p>
          <w:p w14:paraId="03C4F683" w14:textId="6187192C" w:rsidR="00BF73CB" w:rsidRPr="004611D4" w:rsidRDefault="00BF73CB" w:rsidP="00BF73CB">
            <w:pPr>
              <w:pStyle w:val="ListParagraph"/>
              <w:numPr>
                <w:ilvl w:val="0"/>
                <w:numId w:val="2"/>
              </w:numPr>
              <w:ind w:left="345"/>
            </w:pPr>
            <w:r w:rsidRPr="004611D4">
              <w:t>Staying out late, past curfew</w:t>
            </w:r>
          </w:p>
          <w:p w14:paraId="6D0FAE73" w14:textId="16DDA925" w:rsidR="00BF73CB" w:rsidRPr="004611D4" w:rsidRDefault="00BF73CB" w:rsidP="00BF73CB">
            <w:pPr>
              <w:pStyle w:val="ListParagraph"/>
              <w:numPr>
                <w:ilvl w:val="0"/>
                <w:numId w:val="2"/>
              </w:numPr>
              <w:ind w:left="345"/>
            </w:pPr>
            <w:r w:rsidRPr="004611D4">
              <w:t>Running away from home or staying out all night</w:t>
            </w:r>
          </w:p>
          <w:p w14:paraId="4E6B244A" w14:textId="44463297" w:rsidR="00BF73CB" w:rsidRPr="004611D4" w:rsidRDefault="00BF73CB" w:rsidP="00BF73CB">
            <w:pPr>
              <w:pStyle w:val="ListParagraph"/>
              <w:numPr>
                <w:ilvl w:val="0"/>
                <w:numId w:val="2"/>
              </w:numPr>
              <w:ind w:left="345"/>
            </w:pPr>
            <w:r w:rsidRPr="004611D4">
              <w:t>Skipping school</w:t>
            </w:r>
          </w:p>
          <w:p w14:paraId="57AF5207" w14:textId="29895A58" w:rsidR="00BF73CB" w:rsidRPr="004611D4" w:rsidRDefault="00BF73CB" w:rsidP="00BF73CB">
            <w:pPr>
              <w:pStyle w:val="ListParagraph"/>
              <w:numPr>
                <w:ilvl w:val="0"/>
                <w:numId w:val="2"/>
              </w:numPr>
              <w:ind w:left="345"/>
            </w:pPr>
            <w:r w:rsidRPr="004611D4">
              <w:t>Deliberately starting a fire intended to cause damage</w:t>
            </w:r>
          </w:p>
          <w:p w14:paraId="17C307AF" w14:textId="71191F20" w:rsidR="00C54B26" w:rsidRPr="004611D4" w:rsidRDefault="00BF73CB" w:rsidP="00C54B26">
            <w:pPr>
              <w:pStyle w:val="ListParagraph"/>
              <w:numPr>
                <w:ilvl w:val="0"/>
                <w:numId w:val="2"/>
              </w:numPr>
              <w:ind w:left="345"/>
            </w:pPr>
            <w:r w:rsidRPr="004611D4">
              <w:t>Breaking into a house, building, or car</w:t>
            </w:r>
          </w:p>
        </w:tc>
        <w:tc>
          <w:tcPr>
            <w:tcW w:w="270" w:type="dxa"/>
            <w:tcBorders>
              <w:left w:val="nil"/>
              <w:bottom w:val="single" w:sz="4" w:space="0" w:color="auto"/>
              <w:right w:val="nil"/>
            </w:tcBorders>
            <w:shd w:val="clear" w:color="auto" w:fill="auto"/>
            <w:vAlign w:val="center"/>
          </w:tcPr>
          <w:p w14:paraId="0037169E" w14:textId="6F29208A" w:rsidR="00BF73CB" w:rsidRPr="004611D4" w:rsidRDefault="00BF73CB" w:rsidP="00BF73CB"/>
        </w:tc>
        <w:tc>
          <w:tcPr>
            <w:tcW w:w="4507" w:type="dxa"/>
            <w:tcBorders>
              <w:top w:val="single" w:sz="4" w:space="0" w:color="auto"/>
              <w:left w:val="nil"/>
              <w:bottom w:val="single" w:sz="4" w:space="0" w:color="auto"/>
              <w:right w:val="nil"/>
            </w:tcBorders>
            <w:shd w:val="clear" w:color="auto" w:fill="auto"/>
            <w:vAlign w:val="center"/>
          </w:tcPr>
          <w:p w14:paraId="17D234DD" w14:textId="77777777" w:rsidR="00BF73CB" w:rsidRPr="004611D4" w:rsidRDefault="00BF73CB" w:rsidP="00BF73CB">
            <w:pPr>
              <w:pStyle w:val="ListParagraph"/>
              <w:numPr>
                <w:ilvl w:val="0"/>
                <w:numId w:val="2"/>
              </w:numPr>
              <w:ind w:left="390"/>
            </w:pPr>
            <w:r w:rsidRPr="004611D4">
              <w:t>Starting fights (apart from siblings)</w:t>
            </w:r>
          </w:p>
          <w:p w14:paraId="7642B6F5" w14:textId="77777777" w:rsidR="00BF73CB" w:rsidRPr="004611D4" w:rsidRDefault="00BF73CB" w:rsidP="00BF73CB">
            <w:pPr>
              <w:pStyle w:val="ListParagraph"/>
              <w:numPr>
                <w:ilvl w:val="0"/>
                <w:numId w:val="2"/>
              </w:numPr>
              <w:ind w:left="390"/>
            </w:pPr>
            <w:r w:rsidRPr="004611D4">
              <w:t>Using a dangerous weapon</w:t>
            </w:r>
          </w:p>
          <w:p w14:paraId="7871C970" w14:textId="77777777" w:rsidR="00BF73CB" w:rsidRPr="004611D4" w:rsidRDefault="00BF73CB" w:rsidP="00BF73CB">
            <w:pPr>
              <w:pStyle w:val="ListParagraph"/>
              <w:numPr>
                <w:ilvl w:val="0"/>
                <w:numId w:val="2"/>
              </w:numPr>
              <w:ind w:left="390"/>
            </w:pPr>
            <w:r w:rsidRPr="004611D4">
              <w:t>Being physically cruel to a person</w:t>
            </w:r>
          </w:p>
          <w:p w14:paraId="5F66A77B" w14:textId="77777777" w:rsidR="00BF73CB" w:rsidRPr="004611D4" w:rsidRDefault="00BF73CB" w:rsidP="00BF73CB">
            <w:pPr>
              <w:pStyle w:val="ListParagraph"/>
              <w:numPr>
                <w:ilvl w:val="0"/>
                <w:numId w:val="2"/>
              </w:numPr>
              <w:ind w:left="390"/>
            </w:pPr>
            <w:r w:rsidRPr="004611D4">
              <w:t xml:space="preserve">Being cruel to animals </w:t>
            </w:r>
          </w:p>
          <w:p w14:paraId="1740A98A" w14:textId="2C695174" w:rsidR="00BF73CB" w:rsidRPr="004611D4" w:rsidRDefault="00BF73CB" w:rsidP="00BF73CB">
            <w:pPr>
              <w:pStyle w:val="ListParagraph"/>
              <w:numPr>
                <w:ilvl w:val="0"/>
                <w:numId w:val="2"/>
              </w:numPr>
              <w:ind w:left="390"/>
            </w:pPr>
            <w:r w:rsidRPr="004611D4">
              <w:t>Deliberately destroying others’ property</w:t>
            </w:r>
          </w:p>
          <w:p w14:paraId="439CAE28" w14:textId="25BEF6E8" w:rsidR="00BF73CB" w:rsidRPr="004611D4" w:rsidRDefault="00BF73CB" w:rsidP="00C54B26">
            <w:pPr>
              <w:pStyle w:val="ListParagraph"/>
              <w:numPr>
                <w:ilvl w:val="0"/>
                <w:numId w:val="2"/>
              </w:numPr>
              <w:ind w:left="390"/>
            </w:pPr>
            <w:r w:rsidRPr="004611D4">
              <w:t>Forcing unwanted sexual activity</w:t>
            </w:r>
          </w:p>
          <w:p w14:paraId="2A12D935" w14:textId="58DC0F4B" w:rsidR="00C54B26" w:rsidRPr="004611D4" w:rsidRDefault="00C54B26" w:rsidP="00C54B26"/>
          <w:p w14:paraId="0D43A6C9" w14:textId="77777777" w:rsidR="00C54B26" w:rsidRPr="004611D4" w:rsidRDefault="00C54B26" w:rsidP="00C54B26"/>
          <w:p w14:paraId="300A89A9" w14:textId="67F52BC2" w:rsidR="00ED2985" w:rsidRPr="004611D4" w:rsidRDefault="00ED2985" w:rsidP="00BF73CB">
            <w:pPr>
              <w:pStyle w:val="ListParagraph"/>
              <w:ind w:left="390"/>
            </w:pPr>
          </w:p>
        </w:tc>
      </w:tr>
      <w:tr w:rsidR="004611D4" w:rsidRPr="004611D4" w14:paraId="6A03E357" w14:textId="77777777" w:rsidTr="00BF73CB">
        <w:trPr>
          <w:trHeight w:val="288"/>
        </w:trPr>
        <w:tc>
          <w:tcPr>
            <w:tcW w:w="9270" w:type="dxa"/>
            <w:gridSpan w:val="3"/>
            <w:tcBorders>
              <w:top w:val="single" w:sz="4" w:space="0" w:color="auto"/>
              <w:left w:val="nil"/>
              <w:bottom w:val="single" w:sz="4" w:space="0" w:color="auto"/>
              <w:right w:val="nil"/>
            </w:tcBorders>
            <w:shd w:val="clear" w:color="auto" w:fill="auto"/>
            <w:noWrap/>
            <w:vAlign w:val="center"/>
          </w:tcPr>
          <w:p w14:paraId="40ED4885" w14:textId="1E53407A" w:rsidR="003D1A86" w:rsidRPr="004611D4" w:rsidRDefault="00055333" w:rsidP="00BF73CB">
            <w:pPr>
              <w:jc w:val="center"/>
              <w:rPr>
                <w:b/>
                <w:bCs/>
              </w:rPr>
            </w:pPr>
            <w:r w:rsidRPr="004611D4">
              <w:rPr>
                <w:b/>
                <w:bCs/>
              </w:rPr>
              <w:t>Attention-Deficit/Hyperactivity Disorder</w:t>
            </w:r>
            <w:r w:rsidR="00B3028C" w:rsidRPr="004611D4">
              <w:rPr>
                <w:b/>
                <w:bCs/>
              </w:rPr>
              <w:t xml:space="preserve"> </w:t>
            </w:r>
            <w:r w:rsidR="003D1A86" w:rsidRPr="004611D4">
              <w:t>(DAWBA; Goodman et al., 2000)</w:t>
            </w:r>
          </w:p>
        </w:tc>
      </w:tr>
      <w:tr w:rsidR="004611D4" w:rsidRPr="004611D4" w14:paraId="7B719923" w14:textId="77777777" w:rsidTr="00BF73CB">
        <w:trPr>
          <w:trHeight w:val="989"/>
        </w:trPr>
        <w:tc>
          <w:tcPr>
            <w:tcW w:w="9270" w:type="dxa"/>
            <w:gridSpan w:val="3"/>
            <w:tcBorders>
              <w:top w:val="single" w:sz="4" w:space="0" w:color="auto"/>
              <w:left w:val="nil"/>
              <w:bottom w:val="single" w:sz="4" w:space="0" w:color="auto"/>
              <w:right w:val="nil"/>
            </w:tcBorders>
            <w:shd w:val="clear" w:color="auto" w:fill="auto"/>
            <w:noWrap/>
            <w:vAlign w:val="center"/>
          </w:tcPr>
          <w:p w14:paraId="09820F1C" w14:textId="77777777" w:rsidR="003D25BB" w:rsidRPr="004611D4" w:rsidRDefault="003D25BB" w:rsidP="00BF73CB">
            <w:pPr>
              <w:pStyle w:val="ListParagraph"/>
              <w:numPr>
                <w:ilvl w:val="0"/>
                <w:numId w:val="3"/>
              </w:numPr>
              <w:ind w:left="345"/>
            </w:pPr>
            <w:r w:rsidRPr="004611D4">
              <w:t>Teachers complain about hyperactivity/inattention</w:t>
            </w:r>
          </w:p>
          <w:p w14:paraId="04F0CCE8" w14:textId="77777777" w:rsidR="003D25BB" w:rsidRPr="004611D4" w:rsidRDefault="003D25BB" w:rsidP="00BF73CB">
            <w:pPr>
              <w:pStyle w:val="ListParagraph"/>
              <w:numPr>
                <w:ilvl w:val="0"/>
                <w:numId w:val="3"/>
              </w:numPr>
              <w:ind w:left="345"/>
            </w:pPr>
            <w:r w:rsidRPr="004611D4">
              <w:t>Family complains about hyperactivity/inattention</w:t>
            </w:r>
          </w:p>
          <w:p w14:paraId="56399E0F" w14:textId="59FD1BB2" w:rsidR="008417A7" w:rsidRPr="004611D4" w:rsidRDefault="00F92B65" w:rsidP="00BF73CB">
            <w:pPr>
              <w:pStyle w:val="ListParagraph"/>
              <w:numPr>
                <w:ilvl w:val="0"/>
                <w:numId w:val="3"/>
              </w:numPr>
              <w:ind w:left="345"/>
            </w:pPr>
            <w:r w:rsidRPr="004611D4">
              <w:t>Adolescent is concerned about their own hyperactivity/inattention</w:t>
            </w:r>
          </w:p>
        </w:tc>
      </w:tr>
      <w:tr w:rsidR="004611D4" w:rsidRPr="004611D4" w14:paraId="075D57AA" w14:textId="77777777" w:rsidTr="00BF73CB">
        <w:trPr>
          <w:trHeight w:val="288"/>
        </w:trPr>
        <w:tc>
          <w:tcPr>
            <w:tcW w:w="9270" w:type="dxa"/>
            <w:gridSpan w:val="3"/>
            <w:tcBorders>
              <w:top w:val="single" w:sz="4" w:space="0" w:color="auto"/>
              <w:left w:val="nil"/>
              <w:bottom w:val="single" w:sz="4" w:space="0" w:color="auto"/>
              <w:right w:val="nil"/>
            </w:tcBorders>
            <w:shd w:val="clear" w:color="auto" w:fill="auto"/>
            <w:noWrap/>
            <w:vAlign w:val="center"/>
          </w:tcPr>
          <w:p w14:paraId="6D6CF0C3" w14:textId="2FDCD05F" w:rsidR="003D1A86" w:rsidRPr="004611D4" w:rsidRDefault="003D1A86" w:rsidP="00BF73CB">
            <w:pPr>
              <w:jc w:val="center"/>
            </w:pPr>
            <w:r w:rsidRPr="004611D4">
              <w:rPr>
                <w:b/>
                <w:bCs/>
              </w:rPr>
              <w:t>Alcohol Use Disorder</w:t>
            </w:r>
            <w:r w:rsidR="00B3028C" w:rsidRPr="004611D4">
              <w:t xml:space="preserve"> </w:t>
            </w:r>
            <w:r w:rsidRPr="004611D4">
              <w:t>(</w:t>
            </w:r>
            <w:r w:rsidR="00B3028C" w:rsidRPr="004611D4">
              <w:t>AUDIT</w:t>
            </w:r>
            <w:r w:rsidRPr="004611D4">
              <w:t>; Saunders et al., 1993)</w:t>
            </w:r>
          </w:p>
        </w:tc>
      </w:tr>
      <w:tr w:rsidR="004611D4" w:rsidRPr="004611D4" w14:paraId="17AF2636" w14:textId="77777777" w:rsidTr="00BF73CB">
        <w:trPr>
          <w:trHeight w:val="2996"/>
        </w:trPr>
        <w:tc>
          <w:tcPr>
            <w:tcW w:w="9270" w:type="dxa"/>
            <w:gridSpan w:val="3"/>
            <w:tcBorders>
              <w:top w:val="single" w:sz="4" w:space="0" w:color="auto"/>
              <w:left w:val="nil"/>
              <w:bottom w:val="single" w:sz="4" w:space="0" w:color="auto"/>
              <w:right w:val="nil"/>
            </w:tcBorders>
            <w:shd w:val="clear" w:color="auto" w:fill="auto"/>
            <w:noWrap/>
            <w:vAlign w:val="center"/>
          </w:tcPr>
          <w:p w14:paraId="5102BE0A" w14:textId="77777777" w:rsidR="00F92B65" w:rsidRPr="004611D4" w:rsidRDefault="00F92B65" w:rsidP="00BF73CB">
            <w:pPr>
              <w:pStyle w:val="ListParagraph"/>
              <w:numPr>
                <w:ilvl w:val="0"/>
                <w:numId w:val="4"/>
              </w:numPr>
              <w:ind w:left="345"/>
            </w:pPr>
            <w:r w:rsidRPr="004611D4">
              <w:t>Frequency of drinking</w:t>
            </w:r>
          </w:p>
          <w:p w14:paraId="76FC2CF6" w14:textId="77777777" w:rsidR="00F92B65" w:rsidRPr="004611D4" w:rsidRDefault="00F92B65" w:rsidP="00BF73CB">
            <w:pPr>
              <w:pStyle w:val="ListParagraph"/>
              <w:numPr>
                <w:ilvl w:val="0"/>
                <w:numId w:val="4"/>
              </w:numPr>
              <w:ind w:left="345"/>
            </w:pPr>
            <w:r w:rsidRPr="004611D4">
              <w:t>Quantity of alcohol on a typical drinking day</w:t>
            </w:r>
          </w:p>
          <w:p w14:paraId="450B945C" w14:textId="77777777" w:rsidR="00F92B65" w:rsidRPr="004611D4" w:rsidRDefault="00F92B65" w:rsidP="00BF73CB">
            <w:pPr>
              <w:pStyle w:val="ListParagraph"/>
              <w:numPr>
                <w:ilvl w:val="0"/>
                <w:numId w:val="4"/>
              </w:numPr>
              <w:ind w:left="345"/>
            </w:pPr>
            <w:r w:rsidRPr="004611D4">
              <w:t>Frequency of binge-drinking (6+ drinks)</w:t>
            </w:r>
          </w:p>
          <w:p w14:paraId="2A4A570C" w14:textId="77777777" w:rsidR="00F92B65" w:rsidRPr="004611D4" w:rsidRDefault="00F92B65" w:rsidP="00BF73CB">
            <w:pPr>
              <w:pStyle w:val="ListParagraph"/>
              <w:numPr>
                <w:ilvl w:val="0"/>
                <w:numId w:val="4"/>
              </w:numPr>
              <w:ind w:left="345"/>
            </w:pPr>
            <w:r w:rsidRPr="004611D4">
              <w:t>Difficulty stopping drinking once started</w:t>
            </w:r>
          </w:p>
          <w:p w14:paraId="2A88F7A4" w14:textId="77777777" w:rsidR="00F92B65" w:rsidRPr="004611D4" w:rsidRDefault="00F92B65" w:rsidP="00BF73CB">
            <w:pPr>
              <w:pStyle w:val="ListParagraph"/>
              <w:numPr>
                <w:ilvl w:val="0"/>
                <w:numId w:val="4"/>
              </w:numPr>
              <w:ind w:left="345"/>
            </w:pPr>
            <w:r w:rsidRPr="004611D4">
              <w:t>Drinking interfered with responsibilities</w:t>
            </w:r>
          </w:p>
          <w:p w14:paraId="0C9C0DEA" w14:textId="77777777" w:rsidR="00F92B65" w:rsidRPr="004611D4" w:rsidRDefault="00F92B65" w:rsidP="00BF73CB">
            <w:pPr>
              <w:pStyle w:val="ListParagraph"/>
              <w:numPr>
                <w:ilvl w:val="0"/>
                <w:numId w:val="4"/>
              </w:numPr>
              <w:ind w:left="345"/>
            </w:pPr>
            <w:r w:rsidRPr="004611D4">
              <w:t>Needing a drink the morning after heavy drinking</w:t>
            </w:r>
          </w:p>
          <w:p w14:paraId="02E83072" w14:textId="77777777" w:rsidR="00F92B65" w:rsidRPr="004611D4" w:rsidRDefault="00F92B65" w:rsidP="00BF73CB">
            <w:pPr>
              <w:pStyle w:val="ListParagraph"/>
              <w:numPr>
                <w:ilvl w:val="0"/>
                <w:numId w:val="4"/>
              </w:numPr>
              <w:ind w:left="345"/>
            </w:pPr>
            <w:r w:rsidRPr="004611D4">
              <w:t>Guilt/remorse after drinking</w:t>
            </w:r>
          </w:p>
          <w:p w14:paraId="48A02077" w14:textId="77777777" w:rsidR="00F92B65" w:rsidRPr="004611D4" w:rsidRDefault="00F92B65" w:rsidP="00BF73CB">
            <w:pPr>
              <w:pStyle w:val="ListParagraph"/>
              <w:numPr>
                <w:ilvl w:val="0"/>
                <w:numId w:val="4"/>
              </w:numPr>
              <w:ind w:left="345"/>
            </w:pPr>
            <w:r w:rsidRPr="004611D4">
              <w:t>Memory loss due to drinking</w:t>
            </w:r>
          </w:p>
          <w:p w14:paraId="7429683A" w14:textId="77777777" w:rsidR="00F92B65" w:rsidRPr="004611D4" w:rsidRDefault="00F92B65" w:rsidP="00BF73CB">
            <w:pPr>
              <w:pStyle w:val="ListParagraph"/>
              <w:numPr>
                <w:ilvl w:val="0"/>
                <w:numId w:val="4"/>
              </w:numPr>
              <w:ind w:left="345"/>
            </w:pPr>
            <w:r w:rsidRPr="004611D4">
              <w:t>Injury (self or someone else) due to drinking</w:t>
            </w:r>
          </w:p>
          <w:p w14:paraId="67E357E0" w14:textId="4C490116" w:rsidR="00B3028C" w:rsidRPr="004611D4" w:rsidRDefault="00F92B65" w:rsidP="00BF73CB">
            <w:pPr>
              <w:pStyle w:val="ListParagraph"/>
              <w:numPr>
                <w:ilvl w:val="0"/>
                <w:numId w:val="4"/>
              </w:numPr>
              <w:ind w:left="345"/>
            </w:pPr>
            <w:r w:rsidRPr="004611D4">
              <w:t>Others (relative, friend, healthcare worker) expressed concern about drinking</w:t>
            </w:r>
          </w:p>
        </w:tc>
      </w:tr>
      <w:tr w:rsidR="004611D4" w:rsidRPr="004611D4" w14:paraId="65D3F2C7" w14:textId="77777777" w:rsidTr="00904E3D">
        <w:trPr>
          <w:trHeight w:val="782"/>
        </w:trPr>
        <w:tc>
          <w:tcPr>
            <w:tcW w:w="9270" w:type="dxa"/>
            <w:gridSpan w:val="3"/>
            <w:tcBorders>
              <w:top w:val="single" w:sz="4" w:space="0" w:color="auto"/>
              <w:left w:val="nil"/>
              <w:right w:val="nil"/>
            </w:tcBorders>
            <w:shd w:val="clear" w:color="auto" w:fill="auto"/>
            <w:noWrap/>
            <w:vAlign w:val="center"/>
          </w:tcPr>
          <w:p w14:paraId="5F9EB007" w14:textId="33503AB5" w:rsidR="00F92B65" w:rsidRPr="004611D4" w:rsidRDefault="00F92B65" w:rsidP="00ED2985">
            <w:r w:rsidRPr="004611D4">
              <w:rPr>
                <w:i/>
                <w:iCs/>
              </w:rPr>
              <w:t>Note:</w:t>
            </w:r>
            <w:r w:rsidR="00ED2985" w:rsidRPr="004611D4">
              <w:t xml:space="preserve"> Conduct disorder symptoms </w:t>
            </w:r>
            <w:r w:rsidR="00A151DD" w:rsidRPr="004611D4">
              <w:t xml:space="preserve">listed here and included in analyses </w:t>
            </w:r>
            <w:r w:rsidR="00163CA2" w:rsidRPr="004611D4">
              <w:t xml:space="preserve">were selected </w:t>
            </w:r>
            <w:r w:rsidR="00A151DD" w:rsidRPr="004611D4">
              <w:t xml:space="preserve">from the larger DAWBA set </w:t>
            </w:r>
            <w:r w:rsidR="00163CA2" w:rsidRPr="004611D4">
              <w:t>to</w:t>
            </w:r>
            <w:r w:rsidR="00BF73CB" w:rsidRPr="004611D4">
              <w:t xml:space="preserve"> avoid content overlap with trait disinhibition and callousness scales.</w:t>
            </w:r>
          </w:p>
        </w:tc>
      </w:tr>
    </w:tbl>
    <w:p w14:paraId="1E913867" w14:textId="77777777" w:rsidR="001E3653" w:rsidRPr="004611D4" w:rsidRDefault="001E3653" w:rsidP="00871842">
      <w:pPr>
        <w:spacing w:before="80"/>
        <w:ind w:right="-144"/>
        <w:sectPr w:rsidR="001E3653" w:rsidRPr="004611D4" w:rsidSect="000F39E6">
          <w:headerReference w:type="even" r:id="rId8"/>
          <w:headerReference w:type="default" r:id="rId9"/>
          <w:headerReference w:type="first" r:id="rId10"/>
          <w:pgSz w:w="12240" w:h="15840"/>
          <w:pgMar w:top="1296" w:right="1224" w:bottom="1224" w:left="1224" w:header="720" w:footer="720" w:gutter="0"/>
          <w:cols w:space="720"/>
          <w:docGrid w:linePitch="360"/>
        </w:sectPr>
      </w:pPr>
    </w:p>
    <w:tbl>
      <w:tblPr>
        <w:tblpPr w:leftFromText="180" w:rightFromText="180" w:vertAnchor="text" w:horzAnchor="margin" w:tblpY="11"/>
        <w:tblW w:w="14285" w:type="dxa"/>
        <w:tblLayout w:type="fixed"/>
        <w:tblCellMar>
          <w:left w:w="70" w:type="dxa"/>
          <w:right w:w="70" w:type="dxa"/>
        </w:tblCellMar>
        <w:tblLook w:val="04A0" w:firstRow="1" w:lastRow="0" w:firstColumn="1" w:lastColumn="0" w:noHBand="0" w:noVBand="1"/>
      </w:tblPr>
      <w:tblGrid>
        <w:gridCol w:w="2434"/>
        <w:gridCol w:w="1008"/>
        <w:gridCol w:w="1008"/>
        <w:gridCol w:w="1008"/>
        <w:gridCol w:w="1008"/>
        <w:gridCol w:w="720"/>
        <w:gridCol w:w="720"/>
        <w:gridCol w:w="720"/>
        <w:gridCol w:w="720"/>
        <w:gridCol w:w="720"/>
        <w:gridCol w:w="720"/>
        <w:gridCol w:w="1022"/>
        <w:gridCol w:w="1022"/>
        <w:gridCol w:w="723"/>
        <w:gridCol w:w="723"/>
        <w:gridCol w:w="9"/>
      </w:tblGrid>
      <w:tr w:rsidR="004611D4" w:rsidRPr="004611D4" w14:paraId="67535755" w14:textId="77777777" w:rsidTr="005E5528">
        <w:trPr>
          <w:trHeight w:val="360"/>
        </w:trPr>
        <w:tc>
          <w:tcPr>
            <w:tcW w:w="14285" w:type="dxa"/>
            <w:gridSpan w:val="16"/>
            <w:tcBorders>
              <w:top w:val="nil"/>
              <w:left w:val="nil"/>
              <w:bottom w:val="single" w:sz="4" w:space="0" w:color="auto"/>
              <w:right w:val="nil"/>
            </w:tcBorders>
            <w:vAlign w:val="center"/>
          </w:tcPr>
          <w:p w14:paraId="0D17DBAE" w14:textId="44DBB7EE" w:rsidR="005E5528" w:rsidRPr="004611D4" w:rsidRDefault="005E5528" w:rsidP="00FB21D4">
            <w:pPr>
              <w:rPr>
                <w:b/>
                <w:bCs/>
                <w:lang w:eastAsia="it-IT"/>
              </w:rPr>
            </w:pPr>
            <w:r w:rsidRPr="004611D4">
              <w:rPr>
                <w:b/>
                <w:bCs/>
                <w:lang w:eastAsia="it-IT"/>
              </w:rPr>
              <w:lastRenderedPageBreak/>
              <w:t xml:space="preserve">Supplemental Table </w:t>
            </w:r>
            <w:r w:rsidR="006E7A21" w:rsidRPr="004611D4">
              <w:rPr>
                <w:b/>
                <w:bCs/>
                <w:lang w:eastAsia="it-IT"/>
              </w:rPr>
              <w:t>C</w:t>
            </w:r>
            <w:r w:rsidRPr="004611D4">
              <w:rPr>
                <w:b/>
                <w:bCs/>
                <w:lang w:eastAsia="it-IT"/>
              </w:rPr>
              <w:t>.</w:t>
            </w:r>
            <w:r w:rsidRPr="004611D4">
              <w:rPr>
                <w:lang w:eastAsia="it-IT"/>
              </w:rPr>
              <w:t xml:space="preserve"> Zero-Order Correlations and Descriptive Statistics for All Study Variables</w:t>
            </w:r>
          </w:p>
        </w:tc>
      </w:tr>
      <w:tr w:rsidR="004611D4" w:rsidRPr="004611D4" w14:paraId="459E329E" w14:textId="77777777" w:rsidTr="005E5528">
        <w:trPr>
          <w:gridAfter w:val="1"/>
          <w:wAfter w:w="9" w:type="dxa"/>
          <w:trHeight w:val="360"/>
        </w:trPr>
        <w:tc>
          <w:tcPr>
            <w:tcW w:w="2434" w:type="dxa"/>
            <w:tcBorders>
              <w:left w:val="nil"/>
              <w:right w:val="nil"/>
            </w:tcBorders>
            <w:noWrap/>
            <w:vAlign w:val="center"/>
            <w:hideMark/>
          </w:tcPr>
          <w:p w14:paraId="034A4FC5" w14:textId="77777777" w:rsidR="00FB21D4" w:rsidRPr="004611D4" w:rsidRDefault="00FB21D4" w:rsidP="00FB21D4">
            <w:pPr>
              <w:jc w:val="center"/>
              <w:rPr>
                <w:lang w:eastAsia="it-IT"/>
              </w:rPr>
            </w:pPr>
          </w:p>
        </w:tc>
        <w:tc>
          <w:tcPr>
            <w:tcW w:w="1008" w:type="dxa"/>
            <w:tcBorders>
              <w:top w:val="single" w:sz="4" w:space="0" w:color="auto"/>
              <w:left w:val="nil"/>
              <w:bottom w:val="single" w:sz="4" w:space="0" w:color="auto"/>
              <w:right w:val="nil"/>
            </w:tcBorders>
            <w:vAlign w:val="center"/>
          </w:tcPr>
          <w:p w14:paraId="54E2DDA8" w14:textId="77777777" w:rsidR="00FB21D4" w:rsidRPr="004611D4" w:rsidRDefault="00FB21D4" w:rsidP="00FB21D4">
            <w:pPr>
              <w:jc w:val="center"/>
              <w:rPr>
                <w:lang w:eastAsia="it-IT"/>
              </w:rPr>
            </w:pPr>
            <w:r w:rsidRPr="004611D4">
              <w:rPr>
                <w:lang w:eastAsia="it-IT"/>
              </w:rPr>
              <w:t>1.</w:t>
            </w:r>
          </w:p>
        </w:tc>
        <w:tc>
          <w:tcPr>
            <w:tcW w:w="1008" w:type="dxa"/>
            <w:tcBorders>
              <w:top w:val="single" w:sz="4" w:space="0" w:color="auto"/>
              <w:left w:val="nil"/>
              <w:bottom w:val="single" w:sz="4" w:space="0" w:color="auto"/>
              <w:right w:val="nil"/>
            </w:tcBorders>
            <w:vAlign w:val="center"/>
          </w:tcPr>
          <w:p w14:paraId="1E5E4C81" w14:textId="77777777" w:rsidR="00FB21D4" w:rsidRPr="004611D4" w:rsidRDefault="00FB21D4" w:rsidP="00FB21D4">
            <w:pPr>
              <w:jc w:val="center"/>
              <w:rPr>
                <w:lang w:eastAsia="it-IT"/>
              </w:rPr>
            </w:pPr>
            <w:r w:rsidRPr="004611D4">
              <w:rPr>
                <w:lang w:eastAsia="it-IT"/>
              </w:rPr>
              <w:t>2.</w:t>
            </w:r>
          </w:p>
        </w:tc>
        <w:tc>
          <w:tcPr>
            <w:tcW w:w="1008" w:type="dxa"/>
            <w:tcBorders>
              <w:top w:val="single" w:sz="4" w:space="0" w:color="auto"/>
              <w:left w:val="nil"/>
              <w:bottom w:val="single" w:sz="4" w:space="0" w:color="auto"/>
              <w:right w:val="nil"/>
            </w:tcBorders>
            <w:vAlign w:val="center"/>
          </w:tcPr>
          <w:p w14:paraId="22A9AC82" w14:textId="77777777" w:rsidR="00FB21D4" w:rsidRPr="004611D4" w:rsidRDefault="00FB21D4" w:rsidP="00FB21D4">
            <w:pPr>
              <w:jc w:val="center"/>
              <w:rPr>
                <w:lang w:eastAsia="it-IT"/>
              </w:rPr>
            </w:pPr>
            <w:r w:rsidRPr="004611D4">
              <w:rPr>
                <w:lang w:eastAsia="it-IT"/>
              </w:rPr>
              <w:t>3.</w:t>
            </w:r>
          </w:p>
        </w:tc>
        <w:tc>
          <w:tcPr>
            <w:tcW w:w="1008" w:type="dxa"/>
            <w:tcBorders>
              <w:top w:val="single" w:sz="4" w:space="0" w:color="auto"/>
              <w:left w:val="nil"/>
              <w:bottom w:val="single" w:sz="4" w:space="0" w:color="auto"/>
              <w:right w:val="nil"/>
            </w:tcBorders>
            <w:vAlign w:val="center"/>
          </w:tcPr>
          <w:p w14:paraId="624BC12E" w14:textId="77777777" w:rsidR="00FB21D4" w:rsidRPr="004611D4" w:rsidRDefault="00FB21D4" w:rsidP="00FB21D4">
            <w:pPr>
              <w:jc w:val="center"/>
              <w:rPr>
                <w:lang w:eastAsia="it-IT"/>
              </w:rPr>
            </w:pPr>
            <w:r w:rsidRPr="004611D4">
              <w:rPr>
                <w:lang w:eastAsia="it-IT"/>
              </w:rPr>
              <w:t>4.</w:t>
            </w:r>
          </w:p>
        </w:tc>
        <w:tc>
          <w:tcPr>
            <w:tcW w:w="720" w:type="dxa"/>
            <w:tcBorders>
              <w:top w:val="single" w:sz="4" w:space="0" w:color="auto"/>
              <w:left w:val="nil"/>
              <w:bottom w:val="single" w:sz="4" w:space="0" w:color="auto"/>
              <w:right w:val="nil"/>
            </w:tcBorders>
            <w:vAlign w:val="center"/>
            <w:hideMark/>
          </w:tcPr>
          <w:p w14:paraId="0F3EE645" w14:textId="77777777" w:rsidR="00FB21D4" w:rsidRPr="004611D4" w:rsidRDefault="00FB21D4" w:rsidP="00FB21D4">
            <w:pPr>
              <w:jc w:val="center"/>
              <w:rPr>
                <w:lang w:eastAsia="it-IT"/>
              </w:rPr>
            </w:pPr>
            <w:r w:rsidRPr="004611D4">
              <w:rPr>
                <w:lang w:eastAsia="it-IT"/>
              </w:rPr>
              <w:t>5.</w:t>
            </w:r>
          </w:p>
        </w:tc>
        <w:tc>
          <w:tcPr>
            <w:tcW w:w="720" w:type="dxa"/>
            <w:tcBorders>
              <w:top w:val="single" w:sz="4" w:space="0" w:color="auto"/>
              <w:left w:val="nil"/>
              <w:bottom w:val="single" w:sz="4" w:space="0" w:color="auto"/>
              <w:right w:val="nil"/>
            </w:tcBorders>
            <w:vAlign w:val="center"/>
            <w:hideMark/>
          </w:tcPr>
          <w:p w14:paraId="7B148F66" w14:textId="77777777" w:rsidR="00FB21D4" w:rsidRPr="004611D4" w:rsidRDefault="00FB21D4" w:rsidP="00FB21D4">
            <w:pPr>
              <w:jc w:val="center"/>
              <w:rPr>
                <w:lang w:eastAsia="it-IT"/>
              </w:rPr>
            </w:pPr>
            <w:r w:rsidRPr="004611D4">
              <w:rPr>
                <w:lang w:eastAsia="it-IT"/>
              </w:rPr>
              <w:t>6.</w:t>
            </w:r>
          </w:p>
        </w:tc>
        <w:tc>
          <w:tcPr>
            <w:tcW w:w="720" w:type="dxa"/>
            <w:tcBorders>
              <w:top w:val="single" w:sz="4" w:space="0" w:color="auto"/>
              <w:left w:val="nil"/>
              <w:bottom w:val="single" w:sz="4" w:space="0" w:color="auto"/>
              <w:right w:val="nil"/>
            </w:tcBorders>
            <w:vAlign w:val="center"/>
            <w:hideMark/>
          </w:tcPr>
          <w:p w14:paraId="5ECE2DF2" w14:textId="77777777" w:rsidR="00FB21D4" w:rsidRPr="004611D4" w:rsidRDefault="00FB21D4" w:rsidP="00FB21D4">
            <w:pPr>
              <w:jc w:val="center"/>
              <w:rPr>
                <w:lang w:eastAsia="it-IT"/>
              </w:rPr>
            </w:pPr>
            <w:r w:rsidRPr="004611D4">
              <w:rPr>
                <w:lang w:eastAsia="it-IT"/>
              </w:rPr>
              <w:t>7.</w:t>
            </w:r>
          </w:p>
        </w:tc>
        <w:tc>
          <w:tcPr>
            <w:tcW w:w="720" w:type="dxa"/>
            <w:tcBorders>
              <w:top w:val="single" w:sz="4" w:space="0" w:color="auto"/>
              <w:left w:val="nil"/>
              <w:bottom w:val="single" w:sz="4" w:space="0" w:color="auto"/>
              <w:right w:val="nil"/>
            </w:tcBorders>
            <w:vAlign w:val="center"/>
            <w:hideMark/>
          </w:tcPr>
          <w:p w14:paraId="26C57A5A" w14:textId="77777777" w:rsidR="00FB21D4" w:rsidRPr="004611D4" w:rsidRDefault="00FB21D4" w:rsidP="00FB21D4">
            <w:pPr>
              <w:jc w:val="center"/>
              <w:rPr>
                <w:lang w:eastAsia="it-IT"/>
              </w:rPr>
            </w:pPr>
            <w:r w:rsidRPr="004611D4">
              <w:rPr>
                <w:lang w:eastAsia="it-IT"/>
              </w:rPr>
              <w:t>8.</w:t>
            </w:r>
          </w:p>
        </w:tc>
        <w:tc>
          <w:tcPr>
            <w:tcW w:w="720" w:type="dxa"/>
            <w:tcBorders>
              <w:top w:val="single" w:sz="4" w:space="0" w:color="auto"/>
              <w:left w:val="nil"/>
              <w:bottom w:val="single" w:sz="4" w:space="0" w:color="auto"/>
              <w:right w:val="nil"/>
            </w:tcBorders>
            <w:vAlign w:val="center"/>
          </w:tcPr>
          <w:p w14:paraId="00F39595" w14:textId="77777777" w:rsidR="00FB21D4" w:rsidRPr="004611D4" w:rsidRDefault="00FB21D4" w:rsidP="00FB21D4">
            <w:pPr>
              <w:jc w:val="center"/>
              <w:rPr>
                <w:lang w:eastAsia="it-IT"/>
              </w:rPr>
            </w:pPr>
            <w:r w:rsidRPr="004611D4">
              <w:rPr>
                <w:lang w:eastAsia="it-IT"/>
              </w:rPr>
              <w:t>9.</w:t>
            </w:r>
          </w:p>
        </w:tc>
        <w:tc>
          <w:tcPr>
            <w:tcW w:w="720" w:type="dxa"/>
            <w:tcBorders>
              <w:top w:val="single" w:sz="4" w:space="0" w:color="auto"/>
              <w:left w:val="nil"/>
              <w:bottom w:val="single" w:sz="4" w:space="0" w:color="auto"/>
              <w:right w:val="nil"/>
            </w:tcBorders>
            <w:vAlign w:val="center"/>
          </w:tcPr>
          <w:p w14:paraId="1BBE222A" w14:textId="77777777" w:rsidR="00FB21D4" w:rsidRPr="004611D4" w:rsidRDefault="00FB21D4" w:rsidP="00FB21D4">
            <w:pPr>
              <w:jc w:val="center"/>
              <w:rPr>
                <w:lang w:eastAsia="it-IT"/>
              </w:rPr>
            </w:pPr>
            <w:r w:rsidRPr="004611D4">
              <w:rPr>
                <w:lang w:eastAsia="it-IT"/>
              </w:rPr>
              <w:t>10.</w:t>
            </w:r>
          </w:p>
        </w:tc>
        <w:tc>
          <w:tcPr>
            <w:tcW w:w="1022" w:type="dxa"/>
            <w:tcBorders>
              <w:top w:val="single" w:sz="4" w:space="0" w:color="auto"/>
              <w:left w:val="nil"/>
              <w:bottom w:val="single" w:sz="4" w:space="0" w:color="auto"/>
              <w:right w:val="nil"/>
            </w:tcBorders>
            <w:vAlign w:val="center"/>
          </w:tcPr>
          <w:p w14:paraId="68315F1A" w14:textId="77777777" w:rsidR="00FB21D4" w:rsidRPr="004611D4" w:rsidRDefault="00FB21D4" w:rsidP="00FB21D4">
            <w:pPr>
              <w:jc w:val="center"/>
              <w:rPr>
                <w:lang w:eastAsia="it-IT"/>
              </w:rPr>
            </w:pPr>
            <w:r w:rsidRPr="004611D4">
              <w:rPr>
                <w:lang w:eastAsia="it-IT"/>
              </w:rPr>
              <w:t>11.</w:t>
            </w:r>
          </w:p>
        </w:tc>
        <w:tc>
          <w:tcPr>
            <w:tcW w:w="1022" w:type="dxa"/>
            <w:tcBorders>
              <w:top w:val="single" w:sz="4" w:space="0" w:color="auto"/>
              <w:left w:val="nil"/>
              <w:bottom w:val="single" w:sz="4" w:space="0" w:color="auto"/>
              <w:right w:val="nil"/>
            </w:tcBorders>
            <w:vAlign w:val="center"/>
          </w:tcPr>
          <w:p w14:paraId="491A567A" w14:textId="77777777" w:rsidR="00FB21D4" w:rsidRPr="004611D4" w:rsidRDefault="00FB21D4" w:rsidP="00FB21D4">
            <w:pPr>
              <w:jc w:val="center"/>
              <w:rPr>
                <w:lang w:eastAsia="it-IT"/>
              </w:rPr>
            </w:pPr>
            <w:r w:rsidRPr="004611D4">
              <w:rPr>
                <w:lang w:eastAsia="it-IT"/>
              </w:rPr>
              <w:t>12.</w:t>
            </w:r>
          </w:p>
        </w:tc>
        <w:tc>
          <w:tcPr>
            <w:tcW w:w="723" w:type="dxa"/>
            <w:tcBorders>
              <w:top w:val="single" w:sz="4" w:space="0" w:color="auto"/>
              <w:left w:val="nil"/>
              <w:bottom w:val="single" w:sz="4" w:space="0" w:color="auto"/>
              <w:right w:val="nil"/>
            </w:tcBorders>
            <w:vAlign w:val="center"/>
          </w:tcPr>
          <w:p w14:paraId="12746961" w14:textId="77777777" w:rsidR="00FB21D4" w:rsidRPr="004611D4" w:rsidRDefault="00FB21D4" w:rsidP="00FB21D4">
            <w:pPr>
              <w:jc w:val="center"/>
              <w:rPr>
                <w:lang w:eastAsia="it-IT"/>
              </w:rPr>
            </w:pPr>
            <w:r w:rsidRPr="004611D4">
              <w:rPr>
                <w:lang w:eastAsia="it-IT"/>
              </w:rPr>
              <w:t>13.</w:t>
            </w:r>
          </w:p>
        </w:tc>
        <w:tc>
          <w:tcPr>
            <w:tcW w:w="723" w:type="dxa"/>
            <w:tcBorders>
              <w:top w:val="single" w:sz="4" w:space="0" w:color="auto"/>
              <w:left w:val="nil"/>
              <w:bottom w:val="single" w:sz="4" w:space="0" w:color="auto"/>
              <w:right w:val="nil"/>
            </w:tcBorders>
            <w:vAlign w:val="center"/>
          </w:tcPr>
          <w:p w14:paraId="16FB66AA" w14:textId="77777777" w:rsidR="00FB21D4" w:rsidRPr="004611D4" w:rsidRDefault="00FB21D4" w:rsidP="00FB21D4">
            <w:pPr>
              <w:jc w:val="center"/>
              <w:rPr>
                <w:lang w:eastAsia="it-IT"/>
              </w:rPr>
            </w:pPr>
            <w:r w:rsidRPr="004611D4">
              <w:rPr>
                <w:lang w:eastAsia="it-IT"/>
              </w:rPr>
              <w:t>14.</w:t>
            </w:r>
          </w:p>
        </w:tc>
      </w:tr>
      <w:tr w:rsidR="004611D4" w:rsidRPr="004611D4" w14:paraId="6CD1182C" w14:textId="77777777" w:rsidTr="005E5528">
        <w:trPr>
          <w:gridAfter w:val="1"/>
          <w:wAfter w:w="9" w:type="dxa"/>
          <w:trHeight w:val="360"/>
        </w:trPr>
        <w:tc>
          <w:tcPr>
            <w:tcW w:w="2434" w:type="dxa"/>
            <w:tcBorders>
              <w:left w:val="nil"/>
              <w:right w:val="nil"/>
            </w:tcBorders>
            <w:vAlign w:val="center"/>
            <w:hideMark/>
          </w:tcPr>
          <w:p w14:paraId="6108AD57" w14:textId="77777777" w:rsidR="00FB21D4" w:rsidRPr="004611D4" w:rsidRDefault="00FB21D4" w:rsidP="00FB21D4">
            <w:pPr>
              <w:rPr>
                <w:vertAlign w:val="superscript"/>
                <w:lang w:eastAsia="it-IT"/>
              </w:rPr>
            </w:pPr>
            <w:r w:rsidRPr="004611D4">
              <w:rPr>
                <w:lang w:eastAsia="it-IT"/>
              </w:rPr>
              <w:t>1. T1 Disinhibition</w:t>
            </w:r>
            <w:r w:rsidRPr="004611D4">
              <w:rPr>
                <w:vertAlign w:val="superscript"/>
                <w:lang w:eastAsia="it-IT"/>
              </w:rPr>
              <w:t>a</w:t>
            </w:r>
          </w:p>
        </w:tc>
        <w:tc>
          <w:tcPr>
            <w:tcW w:w="1008" w:type="dxa"/>
            <w:tcBorders>
              <w:top w:val="single" w:sz="4" w:space="0" w:color="auto"/>
              <w:left w:val="nil"/>
              <w:right w:val="nil"/>
            </w:tcBorders>
            <w:vAlign w:val="center"/>
          </w:tcPr>
          <w:p w14:paraId="24EEC98F" w14:textId="77777777" w:rsidR="00FB21D4" w:rsidRPr="004611D4" w:rsidRDefault="00FB21D4" w:rsidP="00FB21D4">
            <w:pPr>
              <w:ind w:firstLine="6"/>
              <w:jc w:val="center"/>
              <w:rPr>
                <w:lang w:eastAsia="it-IT"/>
              </w:rPr>
            </w:pPr>
            <w:r w:rsidRPr="004611D4">
              <w:rPr>
                <w:lang w:eastAsia="it-IT"/>
              </w:rPr>
              <w:t>-</w:t>
            </w:r>
          </w:p>
        </w:tc>
        <w:tc>
          <w:tcPr>
            <w:tcW w:w="1008" w:type="dxa"/>
            <w:tcBorders>
              <w:top w:val="single" w:sz="4" w:space="0" w:color="auto"/>
              <w:left w:val="nil"/>
              <w:right w:val="nil"/>
            </w:tcBorders>
            <w:vAlign w:val="center"/>
          </w:tcPr>
          <w:p w14:paraId="77B73C73" w14:textId="77777777" w:rsidR="00FB21D4" w:rsidRPr="004611D4" w:rsidRDefault="00FB21D4" w:rsidP="00FB21D4">
            <w:pPr>
              <w:ind w:firstLine="6"/>
              <w:jc w:val="center"/>
              <w:rPr>
                <w:lang w:eastAsia="it-IT"/>
              </w:rPr>
            </w:pPr>
          </w:p>
        </w:tc>
        <w:tc>
          <w:tcPr>
            <w:tcW w:w="1008" w:type="dxa"/>
            <w:tcBorders>
              <w:top w:val="single" w:sz="4" w:space="0" w:color="auto"/>
              <w:left w:val="nil"/>
              <w:right w:val="nil"/>
            </w:tcBorders>
            <w:vAlign w:val="center"/>
          </w:tcPr>
          <w:p w14:paraId="4B970F3F" w14:textId="77777777" w:rsidR="00FB21D4" w:rsidRPr="004611D4" w:rsidRDefault="00FB21D4" w:rsidP="00FB21D4">
            <w:pPr>
              <w:ind w:firstLine="6"/>
              <w:jc w:val="center"/>
              <w:rPr>
                <w:lang w:eastAsia="it-IT"/>
              </w:rPr>
            </w:pPr>
          </w:p>
        </w:tc>
        <w:tc>
          <w:tcPr>
            <w:tcW w:w="1008" w:type="dxa"/>
            <w:tcBorders>
              <w:top w:val="single" w:sz="4" w:space="0" w:color="auto"/>
              <w:left w:val="nil"/>
              <w:right w:val="nil"/>
            </w:tcBorders>
            <w:vAlign w:val="center"/>
          </w:tcPr>
          <w:p w14:paraId="7D30CD4F" w14:textId="77777777" w:rsidR="00FB21D4" w:rsidRPr="004611D4" w:rsidRDefault="00FB21D4" w:rsidP="00FB21D4">
            <w:pPr>
              <w:ind w:firstLine="6"/>
              <w:jc w:val="center"/>
              <w:rPr>
                <w:lang w:eastAsia="it-IT"/>
              </w:rPr>
            </w:pPr>
          </w:p>
        </w:tc>
        <w:tc>
          <w:tcPr>
            <w:tcW w:w="720" w:type="dxa"/>
            <w:tcBorders>
              <w:top w:val="single" w:sz="4" w:space="0" w:color="auto"/>
              <w:left w:val="nil"/>
              <w:right w:val="nil"/>
            </w:tcBorders>
            <w:noWrap/>
            <w:vAlign w:val="center"/>
          </w:tcPr>
          <w:p w14:paraId="54413F57" w14:textId="77777777" w:rsidR="00FB21D4" w:rsidRPr="004611D4" w:rsidRDefault="00FB21D4" w:rsidP="00FB21D4">
            <w:pPr>
              <w:ind w:firstLine="6"/>
              <w:jc w:val="center"/>
              <w:rPr>
                <w:lang w:eastAsia="it-IT"/>
              </w:rPr>
            </w:pPr>
          </w:p>
        </w:tc>
        <w:tc>
          <w:tcPr>
            <w:tcW w:w="720" w:type="dxa"/>
            <w:tcBorders>
              <w:top w:val="single" w:sz="4" w:space="0" w:color="auto"/>
              <w:left w:val="nil"/>
              <w:right w:val="nil"/>
            </w:tcBorders>
            <w:noWrap/>
            <w:vAlign w:val="center"/>
          </w:tcPr>
          <w:p w14:paraId="6627DF52" w14:textId="77777777" w:rsidR="00FB21D4" w:rsidRPr="004611D4" w:rsidRDefault="00FB21D4" w:rsidP="00FB21D4">
            <w:pPr>
              <w:ind w:firstLine="6"/>
              <w:jc w:val="center"/>
              <w:rPr>
                <w:lang w:eastAsia="it-IT"/>
              </w:rPr>
            </w:pPr>
          </w:p>
        </w:tc>
        <w:tc>
          <w:tcPr>
            <w:tcW w:w="720" w:type="dxa"/>
            <w:tcBorders>
              <w:top w:val="single" w:sz="4" w:space="0" w:color="auto"/>
              <w:left w:val="nil"/>
              <w:right w:val="nil"/>
            </w:tcBorders>
            <w:noWrap/>
            <w:vAlign w:val="center"/>
          </w:tcPr>
          <w:p w14:paraId="22AF2A27" w14:textId="77777777" w:rsidR="00FB21D4" w:rsidRPr="004611D4" w:rsidRDefault="00FB21D4" w:rsidP="00FB21D4">
            <w:pPr>
              <w:ind w:firstLine="6"/>
              <w:jc w:val="center"/>
              <w:rPr>
                <w:lang w:eastAsia="it-IT"/>
              </w:rPr>
            </w:pPr>
          </w:p>
        </w:tc>
        <w:tc>
          <w:tcPr>
            <w:tcW w:w="720" w:type="dxa"/>
            <w:tcBorders>
              <w:top w:val="single" w:sz="4" w:space="0" w:color="auto"/>
              <w:left w:val="nil"/>
              <w:right w:val="nil"/>
            </w:tcBorders>
            <w:noWrap/>
            <w:vAlign w:val="center"/>
          </w:tcPr>
          <w:p w14:paraId="34F0DA15" w14:textId="77777777" w:rsidR="00FB21D4" w:rsidRPr="004611D4" w:rsidRDefault="00FB21D4" w:rsidP="00FB21D4">
            <w:pPr>
              <w:ind w:firstLine="6"/>
              <w:jc w:val="center"/>
              <w:rPr>
                <w:lang w:eastAsia="it-IT"/>
              </w:rPr>
            </w:pPr>
          </w:p>
        </w:tc>
        <w:tc>
          <w:tcPr>
            <w:tcW w:w="720" w:type="dxa"/>
            <w:tcBorders>
              <w:top w:val="single" w:sz="4" w:space="0" w:color="auto"/>
              <w:left w:val="nil"/>
              <w:right w:val="nil"/>
            </w:tcBorders>
            <w:vAlign w:val="center"/>
          </w:tcPr>
          <w:p w14:paraId="16EB2F26" w14:textId="77777777" w:rsidR="00FB21D4" w:rsidRPr="004611D4" w:rsidRDefault="00FB21D4" w:rsidP="00FB21D4">
            <w:pPr>
              <w:ind w:firstLine="6"/>
              <w:jc w:val="center"/>
              <w:rPr>
                <w:lang w:eastAsia="it-IT"/>
              </w:rPr>
            </w:pPr>
          </w:p>
        </w:tc>
        <w:tc>
          <w:tcPr>
            <w:tcW w:w="720" w:type="dxa"/>
            <w:tcBorders>
              <w:top w:val="single" w:sz="4" w:space="0" w:color="auto"/>
              <w:left w:val="nil"/>
              <w:right w:val="nil"/>
            </w:tcBorders>
            <w:vAlign w:val="center"/>
          </w:tcPr>
          <w:p w14:paraId="577C7E46" w14:textId="77777777" w:rsidR="00FB21D4" w:rsidRPr="004611D4" w:rsidRDefault="00FB21D4" w:rsidP="00FB21D4">
            <w:pPr>
              <w:ind w:firstLine="6"/>
              <w:jc w:val="center"/>
              <w:rPr>
                <w:lang w:eastAsia="it-IT"/>
              </w:rPr>
            </w:pPr>
          </w:p>
        </w:tc>
        <w:tc>
          <w:tcPr>
            <w:tcW w:w="1022" w:type="dxa"/>
            <w:tcBorders>
              <w:top w:val="single" w:sz="4" w:space="0" w:color="auto"/>
              <w:left w:val="nil"/>
              <w:right w:val="nil"/>
            </w:tcBorders>
            <w:vAlign w:val="center"/>
          </w:tcPr>
          <w:p w14:paraId="5E05297B" w14:textId="77777777" w:rsidR="00FB21D4" w:rsidRPr="004611D4" w:rsidRDefault="00FB21D4" w:rsidP="00FB21D4">
            <w:pPr>
              <w:ind w:firstLine="6"/>
              <w:jc w:val="center"/>
              <w:rPr>
                <w:lang w:eastAsia="it-IT"/>
              </w:rPr>
            </w:pPr>
          </w:p>
        </w:tc>
        <w:tc>
          <w:tcPr>
            <w:tcW w:w="1022" w:type="dxa"/>
            <w:tcBorders>
              <w:top w:val="single" w:sz="4" w:space="0" w:color="auto"/>
              <w:left w:val="nil"/>
              <w:right w:val="nil"/>
            </w:tcBorders>
            <w:vAlign w:val="center"/>
          </w:tcPr>
          <w:p w14:paraId="07153CA9" w14:textId="77777777" w:rsidR="00FB21D4" w:rsidRPr="004611D4" w:rsidRDefault="00FB21D4" w:rsidP="00FB21D4">
            <w:pPr>
              <w:ind w:firstLine="6"/>
              <w:jc w:val="center"/>
              <w:rPr>
                <w:lang w:eastAsia="it-IT"/>
              </w:rPr>
            </w:pPr>
          </w:p>
        </w:tc>
        <w:tc>
          <w:tcPr>
            <w:tcW w:w="723" w:type="dxa"/>
            <w:tcBorders>
              <w:top w:val="single" w:sz="4" w:space="0" w:color="auto"/>
              <w:left w:val="nil"/>
              <w:right w:val="nil"/>
            </w:tcBorders>
          </w:tcPr>
          <w:p w14:paraId="54C4E53A" w14:textId="77777777" w:rsidR="00FB21D4" w:rsidRPr="004611D4" w:rsidRDefault="00FB21D4" w:rsidP="00FB21D4">
            <w:pPr>
              <w:ind w:firstLine="6"/>
              <w:jc w:val="center"/>
              <w:rPr>
                <w:lang w:eastAsia="it-IT"/>
              </w:rPr>
            </w:pPr>
          </w:p>
        </w:tc>
        <w:tc>
          <w:tcPr>
            <w:tcW w:w="723" w:type="dxa"/>
            <w:tcBorders>
              <w:top w:val="single" w:sz="4" w:space="0" w:color="auto"/>
              <w:left w:val="nil"/>
              <w:right w:val="nil"/>
            </w:tcBorders>
          </w:tcPr>
          <w:p w14:paraId="209AC700" w14:textId="77777777" w:rsidR="00FB21D4" w:rsidRPr="004611D4" w:rsidRDefault="00FB21D4" w:rsidP="00FB21D4">
            <w:pPr>
              <w:ind w:firstLine="6"/>
              <w:jc w:val="center"/>
              <w:rPr>
                <w:lang w:eastAsia="it-IT"/>
              </w:rPr>
            </w:pPr>
          </w:p>
        </w:tc>
      </w:tr>
      <w:tr w:rsidR="004611D4" w:rsidRPr="004611D4" w14:paraId="4049D99C" w14:textId="77777777" w:rsidTr="005E5528">
        <w:trPr>
          <w:gridAfter w:val="1"/>
          <w:wAfter w:w="9" w:type="dxa"/>
          <w:trHeight w:val="360"/>
        </w:trPr>
        <w:tc>
          <w:tcPr>
            <w:tcW w:w="2434" w:type="dxa"/>
            <w:tcBorders>
              <w:left w:val="nil"/>
              <w:bottom w:val="nil"/>
              <w:right w:val="nil"/>
            </w:tcBorders>
            <w:vAlign w:val="center"/>
            <w:hideMark/>
          </w:tcPr>
          <w:p w14:paraId="2C9953A3" w14:textId="77777777" w:rsidR="00FB21D4" w:rsidRPr="004611D4" w:rsidRDefault="00FB21D4" w:rsidP="00FB21D4">
            <w:pPr>
              <w:rPr>
                <w:vertAlign w:val="superscript"/>
                <w:lang w:eastAsia="it-IT"/>
              </w:rPr>
            </w:pPr>
            <w:r w:rsidRPr="004611D4">
              <w:rPr>
                <w:lang w:eastAsia="it-IT"/>
              </w:rPr>
              <w:t>2. T2 Disinhibition</w:t>
            </w:r>
            <w:r w:rsidRPr="004611D4">
              <w:rPr>
                <w:vertAlign w:val="superscript"/>
                <w:lang w:eastAsia="it-IT"/>
              </w:rPr>
              <w:t>a</w:t>
            </w:r>
          </w:p>
        </w:tc>
        <w:tc>
          <w:tcPr>
            <w:tcW w:w="1008" w:type="dxa"/>
            <w:tcBorders>
              <w:left w:val="nil"/>
              <w:bottom w:val="nil"/>
              <w:right w:val="nil"/>
            </w:tcBorders>
            <w:vAlign w:val="center"/>
          </w:tcPr>
          <w:p w14:paraId="112A4D3D" w14:textId="77777777" w:rsidR="00FB21D4" w:rsidRPr="004611D4" w:rsidRDefault="00FB21D4" w:rsidP="00FB21D4">
            <w:pPr>
              <w:ind w:firstLine="6"/>
              <w:jc w:val="center"/>
              <w:rPr>
                <w:b/>
                <w:bCs/>
                <w:vertAlign w:val="superscript"/>
                <w:lang w:eastAsia="it-IT"/>
              </w:rPr>
            </w:pPr>
            <w:r w:rsidRPr="004611D4">
              <w:rPr>
                <w:b/>
                <w:bCs/>
                <w:lang w:eastAsia="it-IT"/>
              </w:rPr>
              <w:t>.63</w:t>
            </w:r>
            <w:r w:rsidRPr="004611D4">
              <w:rPr>
                <w:vertAlign w:val="superscript"/>
                <w:lang w:eastAsia="it-IT"/>
              </w:rPr>
              <w:t>b</w:t>
            </w:r>
          </w:p>
        </w:tc>
        <w:tc>
          <w:tcPr>
            <w:tcW w:w="1008" w:type="dxa"/>
            <w:tcBorders>
              <w:left w:val="nil"/>
              <w:bottom w:val="nil"/>
              <w:right w:val="nil"/>
            </w:tcBorders>
            <w:vAlign w:val="center"/>
          </w:tcPr>
          <w:p w14:paraId="1EE1D968" w14:textId="77777777" w:rsidR="00FB21D4" w:rsidRPr="004611D4" w:rsidRDefault="00FB21D4" w:rsidP="00FB21D4">
            <w:pPr>
              <w:ind w:firstLine="6"/>
              <w:jc w:val="center"/>
              <w:rPr>
                <w:lang w:eastAsia="it-IT"/>
              </w:rPr>
            </w:pPr>
            <w:r w:rsidRPr="004611D4">
              <w:rPr>
                <w:lang w:eastAsia="it-IT"/>
              </w:rPr>
              <w:t>-</w:t>
            </w:r>
          </w:p>
        </w:tc>
        <w:tc>
          <w:tcPr>
            <w:tcW w:w="1008" w:type="dxa"/>
            <w:tcBorders>
              <w:left w:val="nil"/>
              <w:bottom w:val="nil"/>
              <w:right w:val="nil"/>
            </w:tcBorders>
            <w:vAlign w:val="center"/>
          </w:tcPr>
          <w:p w14:paraId="595E1FC1" w14:textId="77777777" w:rsidR="00FB21D4" w:rsidRPr="004611D4" w:rsidRDefault="00FB21D4" w:rsidP="00FB21D4">
            <w:pPr>
              <w:ind w:firstLine="6"/>
              <w:jc w:val="center"/>
              <w:rPr>
                <w:lang w:eastAsia="it-IT"/>
              </w:rPr>
            </w:pPr>
          </w:p>
        </w:tc>
        <w:tc>
          <w:tcPr>
            <w:tcW w:w="1008" w:type="dxa"/>
            <w:tcBorders>
              <w:left w:val="nil"/>
              <w:bottom w:val="nil"/>
              <w:right w:val="nil"/>
            </w:tcBorders>
            <w:vAlign w:val="center"/>
          </w:tcPr>
          <w:p w14:paraId="0AF51911" w14:textId="77777777" w:rsidR="00FB21D4" w:rsidRPr="004611D4" w:rsidRDefault="00FB21D4" w:rsidP="00FB21D4">
            <w:pPr>
              <w:ind w:firstLine="6"/>
              <w:jc w:val="center"/>
              <w:rPr>
                <w:lang w:eastAsia="it-IT"/>
              </w:rPr>
            </w:pPr>
          </w:p>
        </w:tc>
        <w:tc>
          <w:tcPr>
            <w:tcW w:w="720" w:type="dxa"/>
            <w:tcBorders>
              <w:left w:val="nil"/>
              <w:bottom w:val="nil"/>
              <w:right w:val="nil"/>
            </w:tcBorders>
            <w:noWrap/>
            <w:vAlign w:val="center"/>
          </w:tcPr>
          <w:p w14:paraId="77CF4E81" w14:textId="77777777" w:rsidR="00FB21D4" w:rsidRPr="004611D4" w:rsidRDefault="00FB21D4" w:rsidP="00FB21D4">
            <w:pPr>
              <w:ind w:firstLine="6"/>
              <w:jc w:val="center"/>
              <w:rPr>
                <w:lang w:eastAsia="it-IT"/>
              </w:rPr>
            </w:pPr>
          </w:p>
        </w:tc>
        <w:tc>
          <w:tcPr>
            <w:tcW w:w="720" w:type="dxa"/>
            <w:tcBorders>
              <w:left w:val="nil"/>
              <w:bottom w:val="nil"/>
              <w:right w:val="nil"/>
            </w:tcBorders>
            <w:noWrap/>
            <w:vAlign w:val="center"/>
          </w:tcPr>
          <w:p w14:paraId="6703A6F1" w14:textId="77777777" w:rsidR="00FB21D4" w:rsidRPr="004611D4" w:rsidRDefault="00FB21D4" w:rsidP="00FB21D4">
            <w:pPr>
              <w:ind w:firstLine="6"/>
              <w:jc w:val="center"/>
              <w:rPr>
                <w:lang w:eastAsia="it-IT"/>
              </w:rPr>
            </w:pPr>
          </w:p>
        </w:tc>
        <w:tc>
          <w:tcPr>
            <w:tcW w:w="720" w:type="dxa"/>
            <w:tcBorders>
              <w:left w:val="nil"/>
              <w:bottom w:val="nil"/>
              <w:right w:val="nil"/>
            </w:tcBorders>
            <w:noWrap/>
            <w:vAlign w:val="center"/>
          </w:tcPr>
          <w:p w14:paraId="122863F7" w14:textId="77777777" w:rsidR="00FB21D4" w:rsidRPr="004611D4" w:rsidRDefault="00FB21D4" w:rsidP="00FB21D4">
            <w:pPr>
              <w:ind w:firstLine="6"/>
              <w:jc w:val="center"/>
              <w:rPr>
                <w:lang w:eastAsia="it-IT"/>
              </w:rPr>
            </w:pPr>
          </w:p>
        </w:tc>
        <w:tc>
          <w:tcPr>
            <w:tcW w:w="720" w:type="dxa"/>
            <w:tcBorders>
              <w:left w:val="nil"/>
              <w:bottom w:val="nil"/>
              <w:right w:val="nil"/>
            </w:tcBorders>
            <w:noWrap/>
            <w:vAlign w:val="center"/>
          </w:tcPr>
          <w:p w14:paraId="328FAA3C" w14:textId="77777777" w:rsidR="00FB21D4" w:rsidRPr="004611D4" w:rsidRDefault="00FB21D4" w:rsidP="00FB21D4">
            <w:pPr>
              <w:ind w:firstLine="6"/>
              <w:jc w:val="center"/>
              <w:rPr>
                <w:lang w:eastAsia="it-IT"/>
              </w:rPr>
            </w:pPr>
          </w:p>
        </w:tc>
        <w:tc>
          <w:tcPr>
            <w:tcW w:w="720" w:type="dxa"/>
            <w:tcBorders>
              <w:left w:val="nil"/>
              <w:bottom w:val="nil"/>
              <w:right w:val="nil"/>
            </w:tcBorders>
            <w:vAlign w:val="center"/>
          </w:tcPr>
          <w:p w14:paraId="4C829FC8" w14:textId="77777777" w:rsidR="00FB21D4" w:rsidRPr="004611D4" w:rsidRDefault="00FB21D4" w:rsidP="00FB21D4">
            <w:pPr>
              <w:ind w:firstLine="6"/>
              <w:jc w:val="center"/>
              <w:rPr>
                <w:lang w:eastAsia="it-IT"/>
              </w:rPr>
            </w:pPr>
          </w:p>
        </w:tc>
        <w:tc>
          <w:tcPr>
            <w:tcW w:w="720" w:type="dxa"/>
            <w:tcBorders>
              <w:left w:val="nil"/>
              <w:bottom w:val="nil"/>
              <w:right w:val="nil"/>
            </w:tcBorders>
            <w:vAlign w:val="center"/>
          </w:tcPr>
          <w:p w14:paraId="4A388948" w14:textId="77777777" w:rsidR="00FB21D4" w:rsidRPr="004611D4" w:rsidRDefault="00FB21D4" w:rsidP="00FB21D4">
            <w:pPr>
              <w:ind w:firstLine="6"/>
              <w:jc w:val="center"/>
              <w:rPr>
                <w:lang w:eastAsia="it-IT"/>
              </w:rPr>
            </w:pPr>
          </w:p>
        </w:tc>
        <w:tc>
          <w:tcPr>
            <w:tcW w:w="1022" w:type="dxa"/>
            <w:tcBorders>
              <w:left w:val="nil"/>
              <w:bottom w:val="nil"/>
              <w:right w:val="nil"/>
            </w:tcBorders>
            <w:vAlign w:val="center"/>
          </w:tcPr>
          <w:p w14:paraId="75F76FE3" w14:textId="77777777" w:rsidR="00FB21D4" w:rsidRPr="004611D4" w:rsidRDefault="00FB21D4" w:rsidP="00FB21D4">
            <w:pPr>
              <w:ind w:firstLine="6"/>
              <w:jc w:val="center"/>
              <w:rPr>
                <w:lang w:eastAsia="it-IT"/>
              </w:rPr>
            </w:pPr>
          </w:p>
        </w:tc>
        <w:tc>
          <w:tcPr>
            <w:tcW w:w="1022" w:type="dxa"/>
            <w:tcBorders>
              <w:left w:val="nil"/>
              <w:bottom w:val="nil"/>
              <w:right w:val="nil"/>
            </w:tcBorders>
            <w:vAlign w:val="center"/>
          </w:tcPr>
          <w:p w14:paraId="308C4469" w14:textId="77777777" w:rsidR="00FB21D4" w:rsidRPr="004611D4" w:rsidRDefault="00FB21D4" w:rsidP="00FB21D4">
            <w:pPr>
              <w:ind w:firstLine="6"/>
              <w:jc w:val="center"/>
              <w:rPr>
                <w:lang w:eastAsia="it-IT"/>
              </w:rPr>
            </w:pPr>
          </w:p>
        </w:tc>
        <w:tc>
          <w:tcPr>
            <w:tcW w:w="723" w:type="dxa"/>
            <w:tcBorders>
              <w:left w:val="nil"/>
              <w:bottom w:val="nil"/>
              <w:right w:val="nil"/>
            </w:tcBorders>
          </w:tcPr>
          <w:p w14:paraId="10294E2F" w14:textId="77777777" w:rsidR="00FB21D4" w:rsidRPr="004611D4" w:rsidRDefault="00FB21D4" w:rsidP="00FB21D4">
            <w:pPr>
              <w:ind w:firstLine="6"/>
              <w:jc w:val="center"/>
              <w:rPr>
                <w:lang w:eastAsia="it-IT"/>
              </w:rPr>
            </w:pPr>
          </w:p>
        </w:tc>
        <w:tc>
          <w:tcPr>
            <w:tcW w:w="723" w:type="dxa"/>
            <w:tcBorders>
              <w:left w:val="nil"/>
              <w:bottom w:val="nil"/>
              <w:right w:val="nil"/>
            </w:tcBorders>
          </w:tcPr>
          <w:p w14:paraId="1BA912FB" w14:textId="77777777" w:rsidR="00FB21D4" w:rsidRPr="004611D4" w:rsidRDefault="00FB21D4" w:rsidP="00FB21D4">
            <w:pPr>
              <w:ind w:firstLine="6"/>
              <w:jc w:val="center"/>
              <w:rPr>
                <w:lang w:eastAsia="it-IT"/>
              </w:rPr>
            </w:pPr>
          </w:p>
        </w:tc>
      </w:tr>
      <w:tr w:rsidR="004611D4" w:rsidRPr="004611D4" w14:paraId="28CA8373" w14:textId="77777777" w:rsidTr="005E5528">
        <w:trPr>
          <w:gridAfter w:val="1"/>
          <w:wAfter w:w="9" w:type="dxa"/>
          <w:trHeight w:val="360"/>
        </w:trPr>
        <w:tc>
          <w:tcPr>
            <w:tcW w:w="2434" w:type="dxa"/>
            <w:vAlign w:val="center"/>
            <w:hideMark/>
          </w:tcPr>
          <w:p w14:paraId="6C2E18E0" w14:textId="77777777" w:rsidR="00FB21D4" w:rsidRPr="004611D4" w:rsidRDefault="00FB21D4" w:rsidP="00FB21D4">
            <w:pPr>
              <w:rPr>
                <w:vertAlign w:val="superscript"/>
                <w:lang w:eastAsia="it-IT"/>
              </w:rPr>
            </w:pPr>
            <w:r w:rsidRPr="004611D4">
              <w:rPr>
                <w:lang w:eastAsia="it-IT"/>
              </w:rPr>
              <w:t>3. T1 Callousness</w:t>
            </w:r>
            <w:r w:rsidRPr="004611D4">
              <w:rPr>
                <w:vertAlign w:val="superscript"/>
                <w:lang w:eastAsia="it-IT"/>
              </w:rPr>
              <w:t>a</w:t>
            </w:r>
          </w:p>
        </w:tc>
        <w:tc>
          <w:tcPr>
            <w:tcW w:w="1008" w:type="dxa"/>
            <w:vAlign w:val="center"/>
          </w:tcPr>
          <w:p w14:paraId="3F7D3619" w14:textId="77777777" w:rsidR="00FB21D4" w:rsidRPr="004611D4" w:rsidRDefault="00FB21D4" w:rsidP="00FB21D4">
            <w:pPr>
              <w:ind w:firstLine="6"/>
              <w:jc w:val="center"/>
              <w:rPr>
                <w:b/>
                <w:bCs/>
                <w:lang w:eastAsia="it-IT"/>
              </w:rPr>
            </w:pPr>
            <w:r w:rsidRPr="004611D4">
              <w:rPr>
                <w:b/>
                <w:bCs/>
                <w:lang w:eastAsia="it-IT"/>
              </w:rPr>
              <w:t>.45</w:t>
            </w:r>
            <w:r w:rsidRPr="004611D4">
              <w:rPr>
                <w:vertAlign w:val="superscript"/>
                <w:lang w:eastAsia="it-IT"/>
              </w:rPr>
              <w:t>b</w:t>
            </w:r>
          </w:p>
        </w:tc>
        <w:tc>
          <w:tcPr>
            <w:tcW w:w="1008" w:type="dxa"/>
            <w:vAlign w:val="center"/>
          </w:tcPr>
          <w:p w14:paraId="41912623" w14:textId="77777777" w:rsidR="00FB21D4" w:rsidRPr="004611D4" w:rsidRDefault="00FB21D4" w:rsidP="00FB21D4">
            <w:pPr>
              <w:ind w:firstLine="6"/>
              <w:jc w:val="center"/>
              <w:rPr>
                <w:b/>
                <w:bCs/>
                <w:lang w:eastAsia="it-IT"/>
              </w:rPr>
            </w:pPr>
            <w:r w:rsidRPr="004611D4">
              <w:rPr>
                <w:b/>
                <w:bCs/>
                <w:lang w:eastAsia="it-IT"/>
              </w:rPr>
              <w:t>.32</w:t>
            </w:r>
            <w:r w:rsidRPr="004611D4">
              <w:rPr>
                <w:vertAlign w:val="superscript"/>
                <w:lang w:eastAsia="it-IT"/>
              </w:rPr>
              <w:t>b</w:t>
            </w:r>
          </w:p>
        </w:tc>
        <w:tc>
          <w:tcPr>
            <w:tcW w:w="1008" w:type="dxa"/>
            <w:vAlign w:val="center"/>
          </w:tcPr>
          <w:p w14:paraId="7870EA5F" w14:textId="77777777" w:rsidR="00FB21D4" w:rsidRPr="004611D4" w:rsidRDefault="00FB21D4" w:rsidP="00FB21D4">
            <w:pPr>
              <w:ind w:firstLine="6"/>
              <w:jc w:val="center"/>
              <w:rPr>
                <w:lang w:eastAsia="it-IT"/>
              </w:rPr>
            </w:pPr>
            <w:r w:rsidRPr="004611D4">
              <w:rPr>
                <w:lang w:eastAsia="it-IT"/>
              </w:rPr>
              <w:t>-</w:t>
            </w:r>
          </w:p>
        </w:tc>
        <w:tc>
          <w:tcPr>
            <w:tcW w:w="1008" w:type="dxa"/>
            <w:vAlign w:val="center"/>
          </w:tcPr>
          <w:p w14:paraId="1EDC40AA" w14:textId="77777777" w:rsidR="00FB21D4" w:rsidRPr="004611D4" w:rsidRDefault="00FB21D4" w:rsidP="00FB21D4">
            <w:pPr>
              <w:ind w:firstLine="6"/>
              <w:jc w:val="center"/>
              <w:rPr>
                <w:lang w:eastAsia="it-IT"/>
              </w:rPr>
            </w:pPr>
          </w:p>
        </w:tc>
        <w:tc>
          <w:tcPr>
            <w:tcW w:w="720" w:type="dxa"/>
            <w:noWrap/>
            <w:vAlign w:val="center"/>
          </w:tcPr>
          <w:p w14:paraId="02A980DE" w14:textId="77777777" w:rsidR="00FB21D4" w:rsidRPr="004611D4" w:rsidRDefault="00FB21D4" w:rsidP="00FB21D4">
            <w:pPr>
              <w:ind w:firstLine="6"/>
              <w:jc w:val="center"/>
              <w:rPr>
                <w:lang w:eastAsia="it-IT"/>
              </w:rPr>
            </w:pPr>
          </w:p>
        </w:tc>
        <w:tc>
          <w:tcPr>
            <w:tcW w:w="720" w:type="dxa"/>
            <w:noWrap/>
            <w:vAlign w:val="center"/>
          </w:tcPr>
          <w:p w14:paraId="3BC18696" w14:textId="77777777" w:rsidR="00FB21D4" w:rsidRPr="004611D4" w:rsidRDefault="00FB21D4" w:rsidP="00FB21D4">
            <w:pPr>
              <w:ind w:firstLine="6"/>
              <w:jc w:val="center"/>
              <w:rPr>
                <w:lang w:eastAsia="it-IT"/>
              </w:rPr>
            </w:pPr>
          </w:p>
        </w:tc>
        <w:tc>
          <w:tcPr>
            <w:tcW w:w="720" w:type="dxa"/>
            <w:noWrap/>
            <w:vAlign w:val="center"/>
          </w:tcPr>
          <w:p w14:paraId="0A54FC58" w14:textId="77777777" w:rsidR="00FB21D4" w:rsidRPr="004611D4" w:rsidRDefault="00FB21D4" w:rsidP="00FB21D4">
            <w:pPr>
              <w:ind w:firstLine="6"/>
              <w:jc w:val="center"/>
              <w:rPr>
                <w:lang w:eastAsia="it-IT"/>
              </w:rPr>
            </w:pPr>
          </w:p>
        </w:tc>
        <w:tc>
          <w:tcPr>
            <w:tcW w:w="720" w:type="dxa"/>
            <w:noWrap/>
            <w:vAlign w:val="center"/>
          </w:tcPr>
          <w:p w14:paraId="796169E6" w14:textId="77777777" w:rsidR="00FB21D4" w:rsidRPr="004611D4" w:rsidRDefault="00FB21D4" w:rsidP="00FB21D4">
            <w:pPr>
              <w:ind w:firstLine="6"/>
              <w:jc w:val="center"/>
              <w:rPr>
                <w:lang w:eastAsia="it-IT"/>
              </w:rPr>
            </w:pPr>
          </w:p>
        </w:tc>
        <w:tc>
          <w:tcPr>
            <w:tcW w:w="720" w:type="dxa"/>
            <w:vAlign w:val="center"/>
          </w:tcPr>
          <w:p w14:paraId="292883A8" w14:textId="77777777" w:rsidR="00FB21D4" w:rsidRPr="004611D4" w:rsidRDefault="00FB21D4" w:rsidP="00FB21D4">
            <w:pPr>
              <w:ind w:firstLine="6"/>
              <w:jc w:val="center"/>
              <w:rPr>
                <w:lang w:eastAsia="it-IT"/>
              </w:rPr>
            </w:pPr>
          </w:p>
        </w:tc>
        <w:tc>
          <w:tcPr>
            <w:tcW w:w="720" w:type="dxa"/>
            <w:vAlign w:val="center"/>
          </w:tcPr>
          <w:p w14:paraId="124F9B7A" w14:textId="77777777" w:rsidR="00FB21D4" w:rsidRPr="004611D4" w:rsidRDefault="00FB21D4" w:rsidP="00FB21D4">
            <w:pPr>
              <w:ind w:firstLine="6"/>
              <w:jc w:val="center"/>
              <w:rPr>
                <w:lang w:eastAsia="it-IT"/>
              </w:rPr>
            </w:pPr>
          </w:p>
        </w:tc>
        <w:tc>
          <w:tcPr>
            <w:tcW w:w="1022" w:type="dxa"/>
            <w:vAlign w:val="center"/>
          </w:tcPr>
          <w:p w14:paraId="130C49D3" w14:textId="77777777" w:rsidR="00FB21D4" w:rsidRPr="004611D4" w:rsidRDefault="00FB21D4" w:rsidP="00FB21D4">
            <w:pPr>
              <w:ind w:firstLine="6"/>
              <w:jc w:val="center"/>
              <w:rPr>
                <w:lang w:eastAsia="it-IT"/>
              </w:rPr>
            </w:pPr>
          </w:p>
        </w:tc>
        <w:tc>
          <w:tcPr>
            <w:tcW w:w="1022" w:type="dxa"/>
            <w:vAlign w:val="center"/>
          </w:tcPr>
          <w:p w14:paraId="5978E776" w14:textId="77777777" w:rsidR="00FB21D4" w:rsidRPr="004611D4" w:rsidRDefault="00FB21D4" w:rsidP="00FB21D4">
            <w:pPr>
              <w:ind w:firstLine="6"/>
              <w:jc w:val="center"/>
              <w:rPr>
                <w:lang w:eastAsia="it-IT"/>
              </w:rPr>
            </w:pPr>
          </w:p>
        </w:tc>
        <w:tc>
          <w:tcPr>
            <w:tcW w:w="723" w:type="dxa"/>
          </w:tcPr>
          <w:p w14:paraId="0E548278" w14:textId="77777777" w:rsidR="00FB21D4" w:rsidRPr="004611D4" w:rsidRDefault="00FB21D4" w:rsidP="00FB21D4">
            <w:pPr>
              <w:ind w:firstLine="6"/>
              <w:jc w:val="center"/>
              <w:rPr>
                <w:lang w:eastAsia="it-IT"/>
              </w:rPr>
            </w:pPr>
          </w:p>
        </w:tc>
        <w:tc>
          <w:tcPr>
            <w:tcW w:w="723" w:type="dxa"/>
          </w:tcPr>
          <w:p w14:paraId="5B1DFEF2" w14:textId="77777777" w:rsidR="00FB21D4" w:rsidRPr="004611D4" w:rsidRDefault="00FB21D4" w:rsidP="00FB21D4">
            <w:pPr>
              <w:ind w:firstLine="6"/>
              <w:jc w:val="center"/>
              <w:rPr>
                <w:lang w:eastAsia="it-IT"/>
              </w:rPr>
            </w:pPr>
          </w:p>
        </w:tc>
      </w:tr>
      <w:tr w:rsidR="004611D4" w:rsidRPr="004611D4" w14:paraId="3B010CCA" w14:textId="77777777" w:rsidTr="005E5528">
        <w:trPr>
          <w:gridAfter w:val="1"/>
          <w:wAfter w:w="9" w:type="dxa"/>
          <w:trHeight w:val="360"/>
        </w:trPr>
        <w:tc>
          <w:tcPr>
            <w:tcW w:w="2434" w:type="dxa"/>
            <w:vAlign w:val="center"/>
            <w:hideMark/>
          </w:tcPr>
          <w:p w14:paraId="7C219E14" w14:textId="77777777" w:rsidR="00FB21D4" w:rsidRPr="004611D4" w:rsidRDefault="00FB21D4" w:rsidP="00FB21D4">
            <w:pPr>
              <w:rPr>
                <w:vertAlign w:val="superscript"/>
                <w:lang w:eastAsia="it-IT"/>
              </w:rPr>
            </w:pPr>
            <w:r w:rsidRPr="004611D4">
              <w:rPr>
                <w:lang w:eastAsia="it-IT"/>
              </w:rPr>
              <w:t>4. T2 Callousness</w:t>
            </w:r>
            <w:r w:rsidRPr="004611D4">
              <w:rPr>
                <w:vertAlign w:val="superscript"/>
                <w:lang w:eastAsia="it-IT"/>
              </w:rPr>
              <w:t>a</w:t>
            </w:r>
          </w:p>
        </w:tc>
        <w:tc>
          <w:tcPr>
            <w:tcW w:w="1008" w:type="dxa"/>
            <w:vAlign w:val="center"/>
          </w:tcPr>
          <w:p w14:paraId="30BA5429" w14:textId="77777777" w:rsidR="00FB21D4" w:rsidRPr="004611D4" w:rsidRDefault="00FB21D4" w:rsidP="00FB21D4">
            <w:pPr>
              <w:ind w:firstLine="6"/>
              <w:jc w:val="center"/>
              <w:rPr>
                <w:b/>
                <w:bCs/>
                <w:lang w:eastAsia="it-IT"/>
              </w:rPr>
            </w:pPr>
            <w:r w:rsidRPr="004611D4">
              <w:rPr>
                <w:b/>
                <w:bCs/>
                <w:lang w:eastAsia="it-IT"/>
              </w:rPr>
              <w:t>.31</w:t>
            </w:r>
            <w:r w:rsidRPr="004611D4">
              <w:rPr>
                <w:vertAlign w:val="superscript"/>
                <w:lang w:eastAsia="it-IT"/>
              </w:rPr>
              <w:t>b</w:t>
            </w:r>
          </w:p>
        </w:tc>
        <w:tc>
          <w:tcPr>
            <w:tcW w:w="1008" w:type="dxa"/>
            <w:vAlign w:val="center"/>
          </w:tcPr>
          <w:p w14:paraId="773B7C23" w14:textId="77777777" w:rsidR="00FB21D4" w:rsidRPr="004611D4" w:rsidRDefault="00FB21D4" w:rsidP="00FB21D4">
            <w:pPr>
              <w:ind w:firstLine="6"/>
              <w:jc w:val="center"/>
              <w:rPr>
                <w:b/>
                <w:bCs/>
                <w:lang w:eastAsia="it-IT"/>
              </w:rPr>
            </w:pPr>
            <w:r w:rsidRPr="004611D4">
              <w:rPr>
                <w:b/>
                <w:bCs/>
                <w:lang w:eastAsia="it-IT"/>
              </w:rPr>
              <w:t>.45</w:t>
            </w:r>
            <w:r w:rsidRPr="004611D4">
              <w:rPr>
                <w:vertAlign w:val="superscript"/>
                <w:lang w:eastAsia="it-IT"/>
              </w:rPr>
              <w:t>b</w:t>
            </w:r>
          </w:p>
        </w:tc>
        <w:tc>
          <w:tcPr>
            <w:tcW w:w="1008" w:type="dxa"/>
            <w:vAlign w:val="center"/>
          </w:tcPr>
          <w:p w14:paraId="4016435A" w14:textId="77777777" w:rsidR="00FB21D4" w:rsidRPr="004611D4" w:rsidRDefault="00FB21D4" w:rsidP="00FB21D4">
            <w:pPr>
              <w:ind w:firstLine="6"/>
              <w:jc w:val="center"/>
              <w:rPr>
                <w:b/>
                <w:bCs/>
                <w:lang w:eastAsia="it-IT"/>
              </w:rPr>
            </w:pPr>
            <w:r w:rsidRPr="004611D4">
              <w:rPr>
                <w:b/>
                <w:bCs/>
                <w:lang w:eastAsia="it-IT"/>
              </w:rPr>
              <w:t>.60</w:t>
            </w:r>
            <w:r w:rsidRPr="004611D4">
              <w:rPr>
                <w:vertAlign w:val="superscript"/>
                <w:lang w:eastAsia="it-IT"/>
              </w:rPr>
              <w:t>b</w:t>
            </w:r>
          </w:p>
        </w:tc>
        <w:tc>
          <w:tcPr>
            <w:tcW w:w="1008" w:type="dxa"/>
            <w:vAlign w:val="center"/>
          </w:tcPr>
          <w:p w14:paraId="31229842" w14:textId="77777777" w:rsidR="00FB21D4" w:rsidRPr="004611D4" w:rsidRDefault="00FB21D4" w:rsidP="00FB21D4">
            <w:pPr>
              <w:ind w:firstLine="6"/>
              <w:jc w:val="center"/>
              <w:rPr>
                <w:lang w:eastAsia="it-IT"/>
              </w:rPr>
            </w:pPr>
            <w:r w:rsidRPr="004611D4">
              <w:rPr>
                <w:lang w:eastAsia="it-IT"/>
              </w:rPr>
              <w:t>-</w:t>
            </w:r>
          </w:p>
        </w:tc>
        <w:tc>
          <w:tcPr>
            <w:tcW w:w="720" w:type="dxa"/>
            <w:noWrap/>
            <w:vAlign w:val="center"/>
          </w:tcPr>
          <w:p w14:paraId="1737D72C" w14:textId="77777777" w:rsidR="00FB21D4" w:rsidRPr="004611D4" w:rsidRDefault="00FB21D4" w:rsidP="00FB21D4">
            <w:pPr>
              <w:ind w:firstLine="6"/>
              <w:jc w:val="center"/>
              <w:rPr>
                <w:lang w:eastAsia="it-IT"/>
              </w:rPr>
            </w:pPr>
          </w:p>
        </w:tc>
        <w:tc>
          <w:tcPr>
            <w:tcW w:w="720" w:type="dxa"/>
            <w:noWrap/>
            <w:vAlign w:val="center"/>
          </w:tcPr>
          <w:p w14:paraId="5446797E" w14:textId="77777777" w:rsidR="00FB21D4" w:rsidRPr="004611D4" w:rsidRDefault="00FB21D4" w:rsidP="00FB21D4">
            <w:pPr>
              <w:ind w:firstLine="6"/>
              <w:jc w:val="center"/>
              <w:rPr>
                <w:lang w:eastAsia="it-IT"/>
              </w:rPr>
            </w:pPr>
          </w:p>
        </w:tc>
        <w:tc>
          <w:tcPr>
            <w:tcW w:w="720" w:type="dxa"/>
            <w:noWrap/>
            <w:vAlign w:val="center"/>
          </w:tcPr>
          <w:p w14:paraId="2EAFADB1" w14:textId="77777777" w:rsidR="00FB21D4" w:rsidRPr="004611D4" w:rsidRDefault="00FB21D4" w:rsidP="00FB21D4">
            <w:pPr>
              <w:ind w:firstLine="6"/>
              <w:jc w:val="center"/>
              <w:rPr>
                <w:lang w:eastAsia="it-IT"/>
              </w:rPr>
            </w:pPr>
          </w:p>
        </w:tc>
        <w:tc>
          <w:tcPr>
            <w:tcW w:w="720" w:type="dxa"/>
            <w:noWrap/>
            <w:vAlign w:val="center"/>
          </w:tcPr>
          <w:p w14:paraId="24A72DC1" w14:textId="77777777" w:rsidR="00FB21D4" w:rsidRPr="004611D4" w:rsidRDefault="00FB21D4" w:rsidP="00FB21D4">
            <w:pPr>
              <w:ind w:firstLine="6"/>
              <w:jc w:val="center"/>
              <w:rPr>
                <w:lang w:eastAsia="it-IT"/>
              </w:rPr>
            </w:pPr>
          </w:p>
        </w:tc>
        <w:tc>
          <w:tcPr>
            <w:tcW w:w="720" w:type="dxa"/>
            <w:vAlign w:val="center"/>
          </w:tcPr>
          <w:p w14:paraId="3C92FF68" w14:textId="77777777" w:rsidR="00FB21D4" w:rsidRPr="004611D4" w:rsidRDefault="00FB21D4" w:rsidP="00FB21D4">
            <w:pPr>
              <w:ind w:firstLine="6"/>
              <w:jc w:val="center"/>
              <w:rPr>
                <w:lang w:eastAsia="it-IT"/>
              </w:rPr>
            </w:pPr>
          </w:p>
        </w:tc>
        <w:tc>
          <w:tcPr>
            <w:tcW w:w="720" w:type="dxa"/>
            <w:vAlign w:val="center"/>
          </w:tcPr>
          <w:p w14:paraId="6E5D1EC2" w14:textId="77777777" w:rsidR="00FB21D4" w:rsidRPr="004611D4" w:rsidRDefault="00FB21D4" w:rsidP="00FB21D4">
            <w:pPr>
              <w:ind w:firstLine="6"/>
              <w:jc w:val="center"/>
              <w:rPr>
                <w:lang w:eastAsia="it-IT"/>
              </w:rPr>
            </w:pPr>
          </w:p>
        </w:tc>
        <w:tc>
          <w:tcPr>
            <w:tcW w:w="1022" w:type="dxa"/>
            <w:vAlign w:val="center"/>
          </w:tcPr>
          <w:p w14:paraId="0571DA7D" w14:textId="77777777" w:rsidR="00FB21D4" w:rsidRPr="004611D4" w:rsidRDefault="00FB21D4" w:rsidP="00FB21D4">
            <w:pPr>
              <w:ind w:firstLine="6"/>
              <w:jc w:val="center"/>
              <w:rPr>
                <w:lang w:eastAsia="it-IT"/>
              </w:rPr>
            </w:pPr>
          </w:p>
        </w:tc>
        <w:tc>
          <w:tcPr>
            <w:tcW w:w="1022" w:type="dxa"/>
            <w:vAlign w:val="center"/>
          </w:tcPr>
          <w:p w14:paraId="7BD790FF" w14:textId="77777777" w:rsidR="00FB21D4" w:rsidRPr="004611D4" w:rsidRDefault="00FB21D4" w:rsidP="00FB21D4">
            <w:pPr>
              <w:ind w:firstLine="6"/>
              <w:jc w:val="center"/>
              <w:rPr>
                <w:lang w:eastAsia="it-IT"/>
              </w:rPr>
            </w:pPr>
          </w:p>
        </w:tc>
        <w:tc>
          <w:tcPr>
            <w:tcW w:w="723" w:type="dxa"/>
          </w:tcPr>
          <w:p w14:paraId="17E2918E" w14:textId="77777777" w:rsidR="00FB21D4" w:rsidRPr="004611D4" w:rsidRDefault="00FB21D4" w:rsidP="00FB21D4">
            <w:pPr>
              <w:ind w:firstLine="6"/>
              <w:jc w:val="center"/>
              <w:rPr>
                <w:lang w:eastAsia="it-IT"/>
              </w:rPr>
            </w:pPr>
          </w:p>
        </w:tc>
        <w:tc>
          <w:tcPr>
            <w:tcW w:w="723" w:type="dxa"/>
          </w:tcPr>
          <w:p w14:paraId="69F6C56E" w14:textId="77777777" w:rsidR="00FB21D4" w:rsidRPr="004611D4" w:rsidRDefault="00FB21D4" w:rsidP="00FB21D4">
            <w:pPr>
              <w:ind w:firstLine="6"/>
              <w:jc w:val="center"/>
              <w:rPr>
                <w:lang w:eastAsia="it-IT"/>
              </w:rPr>
            </w:pPr>
          </w:p>
        </w:tc>
      </w:tr>
      <w:tr w:rsidR="004611D4" w:rsidRPr="004611D4" w14:paraId="6D170191" w14:textId="77777777" w:rsidTr="00CF55F2">
        <w:trPr>
          <w:gridAfter w:val="1"/>
          <w:wAfter w:w="9" w:type="dxa"/>
          <w:trHeight w:val="360"/>
        </w:trPr>
        <w:tc>
          <w:tcPr>
            <w:tcW w:w="2434" w:type="dxa"/>
            <w:shd w:val="clear" w:color="auto" w:fill="auto"/>
            <w:vAlign w:val="center"/>
            <w:hideMark/>
          </w:tcPr>
          <w:p w14:paraId="32547694" w14:textId="77777777" w:rsidR="00FB21D4" w:rsidRPr="004611D4" w:rsidRDefault="00FB21D4" w:rsidP="00FB21D4">
            <w:pPr>
              <w:rPr>
                <w:lang w:eastAsia="it-IT"/>
              </w:rPr>
            </w:pPr>
            <w:r w:rsidRPr="004611D4">
              <w:rPr>
                <w:lang w:eastAsia="it-IT"/>
              </w:rPr>
              <w:t>5. T1 Conduct Disorder</w:t>
            </w:r>
          </w:p>
        </w:tc>
        <w:tc>
          <w:tcPr>
            <w:tcW w:w="1008" w:type="dxa"/>
            <w:shd w:val="clear" w:color="auto" w:fill="auto"/>
            <w:vAlign w:val="center"/>
          </w:tcPr>
          <w:p w14:paraId="6D55D365" w14:textId="77777777" w:rsidR="00FB21D4" w:rsidRPr="004611D4" w:rsidRDefault="00FB21D4" w:rsidP="00FB21D4">
            <w:pPr>
              <w:ind w:firstLine="6"/>
              <w:jc w:val="center"/>
              <w:rPr>
                <w:b/>
                <w:bCs/>
                <w:lang w:eastAsia="it-IT"/>
              </w:rPr>
            </w:pPr>
            <w:r w:rsidRPr="004611D4">
              <w:rPr>
                <w:b/>
                <w:bCs/>
                <w:lang w:eastAsia="it-IT"/>
              </w:rPr>
              <w:t>.44</w:t>
            </w:r>
            <w:r w:rsidRPr="004611D4">
              <w:rPr>
                <w:vertAlign w:val="superscript"/>
                <w:lang w:eastAsia="it-IT"/>
              </w:rPr>
              <w:t>c</w:t>
            </w:r>
          </w:p>
        </w:tc>
        <w:tc>
          <w:tcPr>
            <w:tcW w:w="1008" w:type="dxa"/>
            <w:shd w:val="clear" w:color="auto" w:fill="auto"/>
            <w:vAlign w:val="center"/>
          </w:tcPr>
          <w:p w14:paraId="109BBC69" w14:textId="77777777" w:rsidR="00FB21D4" w:rsidRPr="004611D4" w:rsidRDefault="00FB21D4" w:rsidP="00FB21D4">
            <w:pPr>
              <w:ind w:firstLine="6"/>
              <w:jc w:val="center"/>
              <w:rPr>
                <w:b/>
                <w:bCs/>
                <w:lang w:eastAsia="it-IT"/>
              </w:rPr>
            </w:pPr>
            <w:r w:rsidRPr="004611D4">
              <w:rPr>
                <w:b/>
                <w:bCs/>
                <w:lang w:eastAsia="it-IT"/>
              </w:rPr>
              <w:t>.40</w:t>
            </w:r>
            <w:r w:rsidRPr="004611D4">
              <w:rPr>
                <w:vertAlign w:val="superscript"/>
                <w:lang w:eastAsia="it-IT"/>
              </w:rPr>
              <w:t>c</w:t>
            </w:r>
          </w:p>
        </w:tc>
        <w:tc>
          <w:tcPr>
            <w:tcW w:w="1008" w:type="dxa"/>
            <w:shd w:val="clear" w:color="auto" w:fill="auto"/>
            <w:vAlign w:val="center"/>
          </w:tcPr>
          <w:p w14:paraId="4197BF38" w14:textId="77777777" w:rsidR="00FB21D4" w:rsidRPr="004611D4" w:rsidRDefault="00FB21D4" w:rsidP="00FB21D4">
            <w:pPr>
              <w:ind w:firstLine="6"/>
              <w:jc w:val="center"/>
              <w:rPr>
                <w:b/>
                <w:bCs/>
                <w:lang w:eastAsia="it-IT"/>
              </w:rPr>
            </w:pPr>
            <w:r w:rsidRPr="004611D4">
              <w:rPr>
                <w:b/>
                <w:bCs/>
                <w:lang w:eastAsia="it-IT"/>
              </w:rPr>
              <w:t>.30</w:t>
            </w:r>
            <w:r w:rsidRPr="004611D4">
              <w:rPr>
                <w:vertAlign w:val="superscript"/>
                <w:lang w:eastAsia="it-IT"/>
              </w:rPr>
              <w:t>c</w:t>
            </w:r>
          </w:p>
        </w:tc>
        <w:tc>
          <w:tcPr>
            <w:tcW w:w="1008" w:type="dxa"/>
            <w:shd w:val="clear" w:color="auto" w:fill="auto"/>
            <w:vAlign w:val="center"/>
          </w:tcPr>
          <w:p w14:paraId="758F8E39" w14:textId="77777777" w:rsidR="00FB21D4" w:rsidRPr="004611D4" w:rsidRDefault="00FB21D4" w:rsidP="00FB21D4">
            <w:pPr>
              <w:ind w:firstLine="6"/>
              <w:jc w:val="center"/>
              <w:rPr>
                <w:lang w:eastAsia="it-IT"/>
              </w:rPr>
            </w:pPr>
            <w:r w:rsidRPr="004611D4">
              <w:rPr>
                <w:b/>
                <w:bCs/>
                <w:lang w:eastAsia="it-IT"/>
              </w:rPr>
              <w:t>.23</w:t>
            </w:r>
            <w:r w:rsidRPr="004611D4">
              <w:rPr>
                <w:vertAlign w:val="superscript"/>
                <w:lang w:eastAsia="it-IT"/>
              </w:rPr>
              <w:t>c</w:t>
            </w:r>
          </w:p>
        </w:tc>
        <w:tc>
          <w:tcPr>
            <w:tcW w:w="720" w:type="dxa"/>
            <w:shd w:val="clear" w:color="auto" w:fill="auto"/>
            <w:noWrap/>
            <w:vAlign w:val="center"/>
            <w:hideMark/>
          </w:tcPr>
          <w:p w14:paraId="1F501A78" w14:textId="77777777" w:rsidR="00FB21D4" w:rsidRPr="004611D4" w:rsidRDefault="00FB21D4" w:rsidP="00FB21D4">
            <w:pPr>
              <w:ind w:firstLine="6"/>
              <w:jc w:val="center"/>
              <w:rPr>
                <w:lang w:eastAsia="it-IT"/>
              </w:rPr>
            </w:pPr>
            <w:r w:rsidRPr="004611D4">
              <w:rPr>
                <w:lang w:eastAsia="it-IT"/>
              </w:rPr>
              <w:t>-</w:t>
            </w:r>
          </w:p>
        </w:tc>
        <w:tc>
          <w:tcPr>
            <w:tcW w:w="720" w:type="dxa"/>
            <w:shd w:val="clear" w:color="auto" w:fill="auto"/>
            <w:noWrap/>
            <w:vAlign w:val="center"/>
          </w:tcPr>
          <w:p w14:paraId="5F142783" w14:textId="77777777" w:rsidR="00FB21D4" w:rsidRPr="004611D4" w:rsidRDefault="00FB21D4" w:rsidP="00FB21D4">
            <w:pPr>
              <w:ind w:firstLine="6"/>
              <w:jc w:val="center"/>
              <w:rPr>
                <w:lang w:eastAsia="it-IT"/>
              </w:rPr>
            </w:pPr>
          </w:p>
        </w:tc>
        <w:tc>
          <w:tcPr>
            <w:tcW w:w="720" w:type="dxa"/>
            <w:shd w:val="clear" w:color="auto" w:fill="auto"/>
            <w:noWrap/>
            <w:vAlign w:val="center"/>
          </w:tcPr>
          <w:p w14:paraId="233CB617" w14:textId="77777777" w:rsidR="00FB21D4" w:rsidRPr="004611D4" w:rsidRDefault="00FB21D4" w:rsidP="00FB21D4">
            <w:pPr>
              <w:ind w:firstLine="6"/>
              <w:jc w:val="center"/>
              <w:rPr>
                <w:lang w:eastAsia="it-IT"/>
              </w:rPr>
            </w:pPr>
          </w:p>
        </w:tc>
        <w:tc>
          <w:tcPr>
            <w:tcW w:w="720" w:type="dxa"/>
            <w:shd w:val="clear" w:color="auto" w:fill="auto"/>
            <w:noWrap/>
            <w:vAlign w:val="center"/>
          </w:tcPr>
          <w:p w14:paraId="6B22609A" w14:textId="77777777" w:rsidR="00FB21D4" w:rsidRPr="004611D4" w:rsidRDefault="00FB21D4" w:rsidP="00FB21D4">
            <w:pPr>
              <w:ind w:firstLine="6"/>
              <w:jc w:val="center"/>
              <w:rPr>
                <w:lang w:eastAsia="it-IT"/>
              </w:rPr>
            </w:pPr>
          </w:p>
        </w:tc>
        <w:tc>
          <w:tcPr>
            <w:tcW w:w="720" w:type="dxa"/>
            <w:shd w:val="clear" w:color="auto" w:fill="auto"/>
            <w:vAlign w:val="center"/>
          </w:tcPr>
          <w:p w14:paraId="20E0E264" w14:textId="77777777" w:rsidR="00FB21D4" w:rsidRPr="004611D4" w:rsidRDefault="00FB21D4" w:rsidP="00FB21D4">
            <w:pPr>
              <w:ind w:firstLine="6"/>
              <w:jc w:val="center"/>
              <w:rPr>
                <w:lang w:eastAsia="it-IT"/>
              </w:rPr>
            </w:pPr>
          </w:p>
        </w:tc>
        <w:tc>
          <w:tcPr>
            <w:tcW w:w="720" w:type="dxa"/>
            <w:shd w:val="clear" w:color="auto" w:fill="auto"/>
            <w:vAlign w:val="center"/>
          </w:tcPr>
          <w:p w14:paraId="6E59E646" w14:textId="77777777" w:rsidR="00FB21D4" w:rsidRPr="004611D4" w:rsidRDefault="00FB21D4" w:rsidP="00FB21D4">
            <w:pPr>
              <w:ind w:firstLine="6"/>
              <w:jc w:val="center"/>
              <w:rPr>
                <w:lang w:eastAsia="it-IT"/>
              </w:rPr>
            </w:pPr>
          </w:p>
        </w:tc>
        <w:tc>
          <w:tcPr>
            <w:tcW w:w="1022" w:type="dxa"/>
            <w:shd w:val="clear" w:color="auto" w:fill="auto"/>
            <w:vAlign w:val="center"/>
          </w:tcPr>
          <w:p w14:paraId="09E4045E" w14:textId="77777777" w:rsidR="00FB21D4" w:rsidRPr="004611D4" w:rsidRDefault="00FB21D4" w:rsidP="00FB21D4">
            <w:pPr>
              <w:ind w:firstLine="6"/>
              <w:jc w:val="center"/>
              <w:rPr>
                <w:lang w:eastAsia="it-IT"/>
              </w:rPr>
            </w:pPr>
          </w:p>
        </w:tc>
        <w:tc>
          <w:tcPr>
            <w:tcW w:w="1022" w:type="dxa"/>
            <w:shd w:val="clear" w:color="auto" w:fill="auto"/>
            <w:vAlign w:val="center"/>
          </w:tcPr>
          <w:p w14:paraId="0B884439" w14:textId="77777777" w:rsidR="00FB21D4" w:rsidRPr="004611D4" w:rsidRDefault="00FB21D4" w:rsidP="00FB21D4">
            <w:pPr>
              <w:ind w:firstLine="6"/>
              <w:jc w:val="center"/>
              <w:rPr>
                <w:lang w:eastAsia="it-IT"/>
              </w:rPr>
            </w:pPr>
          </w:p>
        </w:tc>
        <w:tc>
          <w:tcPr>
            <w:tcW w:w="723" w:type="dxa"/>
            <w:shd w:val="clear" w:color="auto" w:fill="auto"/>
          </w:tcPr>
          <w:p w14:paraId="05ADE96C" w14:textId="77777777" w:rsidR="00FB21D4" w:rsidRPr="004611D4" w:rsidRDefault="00FB21D4" w:rsidP="00FB21D4">
            <w:pPr>
              <w:ind w:firstLine="6"/>
              <w:jc w:val="center"/>
              <w:rPr>
                <w:lang w:eastAsia="it-IT"/>
              </w:rPr>
            </w:pPr>
          </w:p>
        </w:tc>
        <w:tc>
          <w:tcPr>
            <w:tcW w:w="723" w:type="dxa"/>
            <w:shd w:val="clear" w:color="auto" w:fill="auto"/>
          </w:tcPr>
          <w:p w14:paraId="7BE075E0" w14:textId="77777777" w:rsidR="00FB21D4" w:rsidRPr="004611D4" w:rsidRDefault="00FB21D4" w:rsidP="00FB21D4">
            <w:pPr>
              <w:ind w:firstLine="6"/>
              <w:jc w:val="center"/>
              <w:rPr>
                <w:lang w:eastAsia="it-IT"/>
              </w:rPr>
            </w:pPr>
          </w:p>
        </w:tc>
      </w:tr>
      <w:tr w:rsidR="004611D4" w:rsidRPr="004611D4" w14:paraId="76C21BD5" w14:textId="77777777" w:rsidTr="00CF55F2">
        <w:trPr>
          <w:gridAfter w:val="1"/>
          <w:wAfter w:w="9" w:type="dxa"/>
          <w:trHeight w:val="360"/>
        </w:trPr>
        <w:tc>
          <w:tcPr>
            <w:tcW w:w="2434" w:type="dxa"/>
            <w:shd w:val="clear" w:color="auto" w:fill="auto"/>
            <w:vAlign w:val="center"/>
            <w:hideMark/>
          </w:tcPr>
          <w:p w14:paraId="26A406CC" w14:textId="77777777" w:rsidR="00FB21D4" w:rsidRPr="004611D4" w:rsidRDefault="00FB21D4" w:rsidP="00FB21D4">
            <w:pPr>
              <w:rPr>
                <w:lang w:eastAsia="it-IT"/>
              </w:rPr>
            </w:pPr>
            <w:r w:rsidRPr="004611D4">
              <w:rPr>
                <w:lang w:eastAsia="it-IT"/>
              </w:rPr>
              <w:t>6. T2 Conduct Disorder</w:t>
            </w:r>
          </w:p>
        </w:tc>
        <w:tc>
          <w:tcPr>
            <w:tcW w:w="1008" w:type="dxa"/>
            <w:shd w:val="clear" w:color="auto" w:fill="auto"/>
            <w:vAlign w:val="center"/>
          </w:tcPr>
          <w:p w14:paraId="7DA581F8" w14:textId="77777777" w:rsidR="00FB21D4" w:rsidRPr="004611D4" w:rsidRDefault="00FB21D4" w:rsidP="00FB21D4">
            <w:pPr>
              <w:ind w:firstLine="6"/>
              <w:jc w:val="center"/>
              <w:rPr>
                <w:b/>
                <w:bCs/>
                <w:lang w:eastAsia="it-IT"/>
              </w:rPr>
            </w:pPr>
            <w:r w:rsidRPr="004611D4">
              <w:rPr>
                <w:b/>
                <w:bCs/>
                <w:lang w:eastAsia="it-IT"/>
              </w:rPr>
              <w:t>.35</w:t>
            </w:r>
            <w:r w:rsidRPr="004611D4">
              <w:rPr>
                <w:vertAlign w:val="superscript"/>
                <w:lang w:eastAsia="it-IT"/>
              </w:rPr>
              <w:t>c</w:t>
            </w:r>
          </w:p>
        </w:tc>
        <w:tc>
          <w:tcPr>
            <w:tcW w:w="1008" w:type="dxa"/>
            <w:shd w:val="clear" w:color="auto" w:fill="auto"/>
            <w:vAlign w:val="center"/>
          </w:tcPr>
          <w:p w14:paraId="5177FA55" w14:textId="77777777" w:rsidR="00FB21D4" w:rsidRPr="004611D4" w:rsidRDefault="00FB21D4" w:rsidP="00FB21D4">
            <w:pPr>
              <w:ind w:firstLine="6"/>
              <w:jc w:val="center"/>
              <w:rPr>
                <w:b/>
                <w:bCs/>
                <w:lang w:eastAsia="it-IT"/>
              </w:rPr>
            </w:pPr>
            <w:r w:rsidRPr="004611D4">
              <w:rPr>
                <w:b/>
                <w:bCs/>
                <w:lang w:eastAsia="it-IT"/>
              </w:rPr>
              <w:t>.50</w:t>
            </w:r>
            <w:r w:rsidRPr="004611D4">
              <w:rPr>
                <w:vertAlign w:val="superscript"/>
                <w:lang w:eastAsia="it-IT"/>
              </w:rPr>
              <w:t>c</w:t>
            </w:r>
          </w:p>
        </w:tc>
        <w:tc>
          <w:tcPr>
            <w:tcW w:w="1008" w:type="dxa"/>
            <w:shd w:val="clear" w:color="auto" w:fill="auto"/>
            <w:vAlign w:val="center"/>
          </w:tcPr>
          <w:p w14:paraId="02CB76CF" w14:textId="77777777" w:rsidR="00FB21D4" w:rsidRPr="004611D4" w:rsidRDefault="00FB21D4" w:rsidP="00FB21D4">
            <w:pPr>
              <w:ind w:firstLine="6"/>
              <w:jc w:val="center"/>
              <w:rPr>
                <w:b/>
                <w:bCs/>
                <w:lang w:eastAsia="it-IT"/>
              </w:rPr>
            </w:pPr>
            <w:r w:rsidRPr="004611D4">
              <w:rPr>
                <w:b/>
                <w:bCs/>
                <w:lang w:eastAsia="it-IT"/>
              </w:rPr>
              <w:t>.24</w:t>
            </w:r>
            <w:r w:rsidRPr="004611D4">
              <w:rPr>
                <w:vertAlign w:val="superscript"/>
                <w:lang w:eastAsia="it-IT"/>
              </w:rPr>
              <w:t>c</w:t>
            </w:r>
          </w:p>
        </w:tc>
        <w:tc>
          <w:tcPr>
            <w:tcW w:w="1008" w:type="dxa"/>
            <w:shd w:val="clear" w:color="auto" w:fill="auto"/>
            <w:vAlign w:val="center"/>
          </w:tcPr>
          <w:p w14:paraId="52999434" w14:textId="77777777" w:rsidR="00FB21D4" w:rsidRPr="004611D4" w:rsidRDefault="00FB21D4" w:rsidP="00FB21D4">
            <w:pPr>
              <w:ind w:firstLine="6"/>
              <w:jc w:val="center"/>
              <w:rPr>
                <w:lang w:eastAsia="it-IT"/>
              </w:rPr>
            </w:pPr>
            <w:r w:rsidRPr="004611D4">
              <w:rPr>
                <w:b/>
                <w:bCs/>
                <w:lang w:eastAsia="it-IT"/>
              </w:rPr>
              <w:t>.31</w:t>
            </w:r>
            <w:r w:rsidRPr="004611D4">
              <w:rPr>
                <w:vertAlign w:val="superscript"/>
                <w:lang w:eastAsia="it-IT"/>
              </w:rPr>
              <w:t>c</w:t>
            </w:r>
          </w:p>
        </w:tc>
        <w:tc>
          <w:tcPr>
            <w:tcW w:w="720" w:type="dxa"/>
            <w:shd w:val="clear" w:color="auto" w:fill="auto"/>
            <w:noWrap/>
            <w:vAlign w:val="center"/>
          </w:tcPr>
          <w:p w14:paraId="68D760CA" w14:textId="77777777" w:rsidR="00FB21D4" w:rsidRPr="004611D4" w:rsidRDefault="00FB21D4" w:rsidP="00FB21D4">
            <w:pPr>
              <w:ind w:firstLine="6"/>
              <w:jc w:val="center"/>
              <w:rPr>
                <w:lang w:eastAsia="it-IT"/>
              </w:rPr>
            </w:pPr>
            <w:r w:rsidRPr="004611D4">
              <w:rPr>
                <w:b/>
                <w:bCs/>
                <w:lang w:eastAsia="it-IT"/>
              </w:rPr>
              <w:t>.41</w:t>
            </w:r>
            <w:r w:rsidRPr="004611D4">
              <w:rPr>
                <w:vertAlign w:val="superscript"/>
                <w:lang w:eastAsia="it-IT"/>
              </w:rPr>
              <w:t>c</w:t>
            </w:r>
          </w:p>
        </w:tc>
        <w:tc>
          <w:tcPr>
            <w:tcW w:w="720" w:type="dxa"/>
            <w:shd w:val="clear" w:color="auto" w:fill="auto"/>
            <w:noWrap/>
            <w:vAlign w:val="center"/>
          </w:tcPr>
          <w:p w14:paraId="29A90452" w14:textId="77777777" w:rsidR="00FB21D4" w:rsidRPr="004611D4" w:rsidRDefault="00FB21D4" w:rsidP="00FB21D4">
            <w:pPr>
              <w:ind w:firstLine="6"/>
              <w:jc w:val="center"/>
              <w:rPr>
                <w:lang w:eastAsia="it-IT"/>
              </w:rPr>
            </w:pPr>
            <w:r w:rsidRPr="004611D4">
              <w:rPr>
                <w:lang w:eastAsia="it-IT"/>
              </w:rPr>
              <w:t>-</w:t>
            </w:r>
          </w:p>
        </w:tc>
        <w:tc>
          <w:tcPr>
            <w:tcW w:w="720" w:type="dxa"/>
            <w:shd w:val="clear" w:color="auto" w:fill="auto"/>
            <w:noWrap/>
            <w:vAlign w:val="center"/>
          </w:tcPr>
          <w:p w14:paraId="54177695" w14:textId="77777777" w:rsidR="00FB21D4" w:rsidRPr="004611D4" w:rsidRDefault="00FB21D4" w:rsidP="00FB21D4">
            <w:pPr>
              <w:ind w:firstLine="6"/>
              <w:jc w:val="center"/>
              <w:rPr>
                <w:lang w:eastAsia="it-IT"/>
              </w:rPr>
            </w:pPr>
          </w:p>
        </w:tc>
        <w:tc>
          <w:tcPr>
            <w:tcW w:w="720" w:type="dxa"/>
            <w:shd w:val="clear" w:color="auto" w:fill="auto"/>
            <w:noWrap/>
            <w:vAlign w:val="center"/>
          </w:tcPr>
          <w:p w14:paraId="232D2632" w14:textId="77777777" w:rsidR="00FB21D4" w:rsidRPr="004611D4" w:rsidRDefault="00FB21D4" w:rsidP="00FB21D4">
            <w:pPr>
              <w:ind w:firstLine="6"/>
              <w:jc w:val="center"/>
              <w:rPr>
                <w:lang w:eastAsia="it-IT"/>
              </w:rPr>
            </w:pPr>
          </w:p>
        </w:tc>
        <w:tc>
          <w:tcPr>
            <w:tcW w:w="720" w:type="dxa"/>
            <w:shd w:val="clear" w:color="auto" w:fill="auto"/>
            <w:vAlign w:val="center"/>
          </w:tcPr>
          <w:p w14:paraId="161F0D81" w14:textId="77777777" w:rsidR="00FB21D4" w:rsidRPr="004611D4" w:rsidRDefault="00FB21D4" w:rsidP="00FB21D4">
            <w:pPr>
              <w:ind w:firstLine="6"/>
              <w:jc w:val="center"/>
              <w:rPr>
                <w:lang w:eastAsia="it-IT"/>
              </w:rPr>
            </w:pPr>
          </w:p>
        </w:tc>
        <w:tc>
          <w:tcPr>
            <w:tcW w:w="720" w:type="dxa"/>
            <w:shd w:val="clear" w:color="auto" w:fill="auto"/>
            <w:vAlign w:val="center"/>
          </w:tcPr>
          <w:p w14:paraId="4055D053" w14:textId="77777777" w:rsidR="00FB21D4" w:rsidRPr="004611D4" w:rsidRDefault="00FB21D4" w:rsidP="00FB21D4">
            <w:pPr>
              <w:ind w:firstLine="6"/>
              <w:jc w:val="center"/>
              <w:rPr>
                <w:lang w:eastAsia="it-IT"/>
              </w:rPr>
            </w:pPr>
          </w:p>
        </w:tc>
        <w:tc>
          <w:tcPr>
            <w:tcW w:w="1022" w:type="dxa"/>
            <w:shd w:val="clear" w:color="auto" w:fill="auto"/>
            <w:vAlign w:val="center"/>
          </w:tcPr>
          <w:p w14:paraId="3725DE6A" w14:textId="77777777" w:rsidR="00FB21D4" w:rsidRPr="004611D4" w:rsidRDefault="00FB21D4" w:rsidP="00FB21D4">
            <w:pPr>
              <w:ind w:firstLine="6"/>
              <w:jc w:val="center"/>
              <w:rPr>
                <w:lang w:eastAsia="it-IT"/>
              </w:rPr>
            </w:pPr>
          </w:p>
        </w:tc>
        <w:tc>
          <w:tcPr>
            <w:tcW w:w="1022" w:type="dxa"/>
            <w:shd w:val="clear" w:color="auto" w:fill="auto"/>
            <w:vAlign w:val="center"/>
          </w:tcPr>
          <w:p w14:paraId="42D24F51" w14:textId="77777777" w:rsidR="00FB21D4" w:rsidRPr="004611D4" w:rsidRDefault="00FB21D4" w:rsidP="00FB21D4">
            <w:pPr>
              <w:ind w:firstLine="6"/>
              <w:jc w:val="center"/>
              <w:rPr>
                <w:lang w:eastAsia="it-IT"/>
              </w:rPr>
            </w:pPr>
          </w:p>
        </w:tc>
        <w:tc>
          <w:tcPr>
            <w:tcW w:w="723" w:type="dxa"/>
            <w:shd w:val="clear" w:color="auto" w:fill="auto"/>
          </w:tcPr>
          <w:p w14:paraId="1939A2DB" w14:textId="77777777" w:rsidR="00FB21D4" w:rsidRPr="004611D4" w:rsidRDefault="00FB21D4" w:rsidP="00FB21D4">
            <w:pPr>
              <w:ind w:firstLine="6"/>
              <w:jc w:val="center"/>
              <w:rPr>
                <w:lang w:eastAsia="it-IT"/>
              </w:rPr>
            </w:pPr>
          </w:p>
        </w:tc>
        <w:tc>
          <w:tcPr>
            <w:tcW w:w="723" w:type="dxa"/>
            <w:shd w:val="clear" w:color="auto" w:fill="auto"/>
          </w:tcPr>
          <w:p w14:paraId="53296986" w14:textId="77777777" w:rsidR="00FB21D4" w:rsidRPr="004611D4" w:rsidRDefault="00FB21D4" w:rsidP="00FB21D4">
            <w:pPr>
              <w:ind w:firstLine="6"/>
              <w:jc w:val="center"/>
              <w:rPr>
                <w:lang w:eastAsia="it-IT"/>
              </w:rPr>
            </w:pPr>
          </w:p>
        </w:tc>
      </w:tr>
      <w:tr w:rsidR="004611D4" w:rsidRPr="004611D4" w14:paraId="25D085C1" w14:textId="77777777" w:rsidTr="00CF55F2">
        <w:trPr>
          <w:gridAfter w:val="1"/>
          <w:wAfter w:w="9" w:type="dxa"/>
          <w:trHeight w:val="360"/>
        </w:trPr>
        <w:tc>
          <w:tcPr>
            <w:tcW w:w="2434" w:type="dxa"/>
            <w:shd w:val="clear" w:color="auto" w:fill="auto"/>
            <w:vAlign w:val="center"/>
            <w:hideMark/>
          </w:tcPr>
          <w:p w14:paraId="0FB2B8A3" w14:textId="77777777" w:rsidR="00FB21D4" w:rsidRPr="004611D4" w:rsidRDefault="00FB21D4" w:rsidP="00FB21D4">
            <w:pPr>
              <w:rPr>
                <w:lang w:eastAsia="it-IT"/>
              </w:rPr>
            </w:pPr>
            <w:r w:rsidRPr="004611D4">
              <w:rPr>
                <w:lang w:eastAsia="it-IT"/>
              </w:rPr>
              <w:t>7. T1 ADHD</w:t>
            </w:r>
          </w:p>
        </w:tc>
        <w:tc>
          <w:tcPr>
            <w:tcW w:w="1008" w:type="dxa"/>
            <w:shd w:val="clear" w:color="auto" w:fill="auto"/>
            <w:vAlign w:val="center"/>
          </w:tcPr>
          <w:p w14:paraId="5661FB3D" w14:textId="77777777" w:rsidR="00FB21D4" w:rsidRPr="004611D4" w:rsidRDefault="00FB21D4" w:rsidP="00FB21D4">
            <w:pPr>
              <w:ind w:firstLine="6"/>
              <w:jc w:val="center"/>
              <w:rPr>
                <w:b/>
                <w:bCs/>
                <w:lang w:eastAsia="it-IT"/>
              </w:rPr>
            </w:pPr>
            <w:r w:rsidRPr="004611D4">
              <w:rPr>
                <w:b/>
                <w:bCs/>
                <w:lang w:eastAsia="it-IT"/>
              </w:rPr>
              <w:t>.38</w:t>
            </w:r>
            <w:r w:rsidRPr="004611D4">
              <w:rPr>
                <w:vertAlign w:val="superscript"/>
                <w:lang w:eastAsia="it-IT"/>
              </w:rPr>
              <w:t>c</w:t>
            </w:r>
          </w:p>
        </w:tc>
        <w:tc>
          <w:tcPr>
            <w:tcW w:w="1008" w:type="dxa"/>
            <w:shd w:val="clear" w:color="auto" w:fill="auto"/>
            <w:vAlign w:val="center"/>
          </w:tcPr>
          <w:p w14:paraId="07F02B94" w14:textId="77777777" w:rsidR="00FB21D4" w:rsidRPr="004611D4" w:rsidRDefault="00FB21D4" w:rsidP="00FB21D4">
            <w:pPr>
              <w:ind w:firstLine="6"/>
              <w:jc w:val="center"/>
              <w:rPr>
                <w:b/>
                <w:bCs/>
                <w:lang w:eastAsia="it-IT"/>
              </w:rPr>
            </w:pPr>
            <w:r w:rsidRPr="004611D4">
              <w:rPr>
                <w:b/>
                <w:bCs/>
                <w:lang w:eastAsia="it-IT"/>
              </w:rPr>
              <w:t>.32</w:t>
            </w:r>
            <w:r w:rsidRPr="004611D4">
              <w:rPr>
                <w:vertAlign w:val="superscript"/>
                <w:lang w:eastAsia="it-IT"/>
              </w:rPr>
              <w:t>c</w:t>
            </w:r>
          </w:p>
        </w:tc>
        <w:tc>
          <w:tcPr>
            <w:tcW w:w="1008" w:type="dxa"/>
            <w:shd w:val="clear" w:color="auto" w:fill="auto"/>
            <w:vAlign w:val="center"/>
          </w:tcPr>
          <w:p w14:paraId="23C48D22" w14:textId="77777777" w:rsidR="00FB21D4" w:rsidRPr="004611D4" w:rsidRDefault="00FB21D4" w:rsidP="00FB21D4">
            <w:pPr>
              <w:ind w:firstLine="6"/>
              <w:jc w:val="center"/>
              <w:rPr>
                <w:lang w:eastAsia="it-IT"/>
              </w:rPr>
            </w:pPr>
            <w:r w:rsidRPr="004611D4">
              <w:rPr>
                <w:lang w:eastAsia="it-IT"/>
              </w:rPr>
              <w:t>.15</w:t>
            </w:r>
            <w:r w:rsidRPr="004611D4">
              <w:rPr>
                <w:vertAlign w:val="superscript"/>
                <w:lang w:eastAsia="it-IT"/>
              </w:rPr>
              <w:t>c</w:t>
            </w:r>
          </w:p>
        </w:tc>
        <w:tc>
          <w:tcPr>
            <w:tcW w:w="1008" w:type="dxa"/>
            <w:shd w:val="clear" w:color="auto" w:fill="auto"/>
            <w:vAlign w:val="center"/>
          </w:tcPr>
          <w:p w14:paraId="466705F3"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c</w:t>
            </w:r>
          </w:p>
        </w:tc>
        <w:tc>
          <w:tcPr>
            <w:tcW w:w="720" w:type="dxa"/>
            <w:shd w:val="clear" w:color="auto" w:fill="auto"/>
            <w:noWrap/>
            <w:vAlign w:val="center"/>
            <w:hideMark/>
          </w:tcPr>
          <w:p w14:paraId="795C28BF" w14:textId="77777777" w:rsidR="00FB21D4" w:rsidRPr="004611D4" w:rsidRDefault="00FB21D4" w:rsidP="00FB21D4">
            <w:pPr>
              <w:ind w:firstLine="6"/>
              <w:jc w:val="center"/>
              <w:rPr>
                <w:lang w:eastAsia="it-IT"/>
              </w:rPr>
            </w:pPr>
            <w:r w:rsidRPr="004611D4">
              <w:rPr>
                <w:b/>
                <w:bCs/>
                <w:lang w:eastAsia="it-IT"/>
              </w:rPr>
              <w:t>.27</w:t>
            </w:r>
            <w:r w:rsidRPr="004611D4">
              <w:rPr>
                <w:vertAlign w:val="superscript"/>
                <w:lang w:eastAsia="it-IT"/>
              </w:rPr>
              <w:t>c</w:t>
            </w:r>
          </w:p>
        </w:tc>
        <w:tc>
          <w:tcPr>
            <w:tcW w:w="720" w:type="dxa"/>
            <w:shd w:val="clear" w:color="auto" w:fill="auto"/>
            <w:noWrap/>
            <w:vAlign w:val="center"/>
            <w:hideMark/>
          </w:tcPr>
          <w:p w14:paraId="5F940FAF" w14:textId="77777777" w:rsidR="00FB21D4" w:rsidRPr="004611D4" w:rsidRDefault="00FB21D4" w:rsidP="00FB21D4">
            <w:pPr>
              <w:ind w:firstLine="6"/>
              <w:jc w:val="center"/>
              <w:rPr>
                <w:lang w:eastAsia="it-IT"/>
              </w:rPr>
            </w:pPr>
            <w:r w:rsidRPr="004611D4">
              <w:rPr>
                <w:b/>
                <w:bCs/>
                <w:lang w:eastAsia="it-IT"/>
              </w:rPr>
              <w:t>.20</w:t>
            </w:r>
            <w:r w:rsidRPr="004611D4">
              <w:rPr>
                <w:vertAlign w:val="superscript"/>
                <w:lang w:eastAsia="it-IT"/>
              </w:rPr>
              <w:t>c</w:t>
            </w:r>
          </w:p>
        </w:tc>
        <w:tc>
          <w:tcPr>
            <w:tcW w:w="720" w:type="dxa"/>
            <w:shd w:val="clear" w:color="auto" w:fill="auto"/>
            <w:noWrap/>
            <w:vAlign w:val="center"/>
            <w:hideMark/>
          </w:tcPr>
          <w:p w14:paraId="4E2AA6C8" w14:textId="77777777" w:rsidR="00FB21D4" w:rsidRPr="004611D4" w:rsidRDefault="00FB21D4" w:rsidP="00FB21D4">
            <w:pPr>
              <w:ind w:firstLine="6"/>
              <w:jc w:val="center"/>
              <w:rPr>
                <w:lang w:eastAsia="it-IT"/>
              </w:rPr>
            </w:pPr>
            <w:r w:rsidRPr="004611D4">
              <w:rPr>
                <w:lang w:eastAsia="it-IT"/>
              </w:rPr>
              <w:t>-</w:t>
            </w:r>
          </w:p>
        </w:tc>
        <w:tc>
          <w:tcPr>
            <w:tcW w:w="720" w:type="dxa"/>
            <w:shd w:val="clear" w:color="auto" w:fill="auto"/>
            <w:noWrap/>
            <w:vAlign w:val="center"/>
            <w:hideMark/>
          </w:tcPr>
          <w:p w14:paraId="554D2A4F" w14:textId="77777777" w:rsidR="00FB21D4" w:rsidRPr="004611D4" w:rsidRDefault="00FB21D4" w:rsidP="00FB21D4">
            <w:pPr>
              <w:ind w:firstLine="6"/>
              <w:jc w:val="center"/>
              <w:rPr>
                <w:lang w:eastAsia="it-IT"/>
              </w:rPr>
            </w:pPr>
          </w:p>
        </w:tc>
        <w:tc>
          <w:tcPr>
            <w:tcW w:w="720" w:type="dxa"/>
            <w:shd w:val="clear" w:color="auto" w:fill="auto"/>
            <w:vAlign w:val="center"/>
          </w:tcPr>
          <w:p w14:paraId="0C5D08DF" w14:textId="77777777" w:rsidR="00FB21D4" w:rsidRPr="004611D4" w:rsidRDefault="00FB21D4" w:rsidP="00FB21D4">
            <w:pPr>
              <w:ind w:firstLine="6"/>
              <w:jc w:val="center"/>
              <w:rPr>
                <w:lang w:eastAsia="it-IT"/>
              </w:rPr>
            </w:pPr>
          </w:p>
        </w:tc>
        <w:tc>
          <w:tcPr>
            <w:tcW w:w="720" w:type="dxa"/>
            <w:shd w:val="clear" w:color="auto" w:fill="auto"/>
            <w:vAlign w:val="center"/>
          </w:tcPr>
          <w:p w14:paraId="682A0343" w14:textId="77777777" w:rsidR="00FB21D4" w:rsidRPr="004611D4" w:rsidRDefault="00FB21D4" w:rsidP="00FB21D4">
            <w:pPr>
              <w:ind w:firstLine="6"/>
              <w:jc w:val="center"/>
              <w:rPr>
                <w:lang w:eastAsia="it-IT"/>
              </w:rPr>
            </w:pPr>
          </w:p>
        </w:tc>
        <w:tc>
          <w:tcPr>
            <w:tcW w:w="1022" w:type="dxa"/>
            <w:shd w:val="clear" w:color="auto" w:fill="auto"/>
            <w:vAlign w:val="center"/>
          </w:tcPr>
          <w:p w14:paraId="2ECC20A5" w14:textId="77777777" w:rsidR="00FB21D4" w:rsidRPr="004611D4" w:rsidRDefault="00FB21D4" w:rsidP="00FB21D4">
            <w:pPr>
              <w:ind w:firstLine="6"/>
              <w:jc w:val="center"/>
              <w:rPr>
                <w:lang w:eastAsia="it-IT"/>
              </w:rPr>
            </w:pPr>
          </w:p>
        </w:tc>
        <w:tc>
          <w:tcPr>
            <w:tcW w:w="1022" w:type="dxa"/>
            <w:shd w:val="clear" w:color="auto" w:fill="auto"/>
            <w:vAlign w:val="center"/>
          </w:tcPr>
          <w:p w14:paraId="680D24B8" w14:textId="77777777" w:rsidR="00FB21D4" w:rsidRPr="004611D4" w:rsidRDefault="00FB21D4" w:rsidP="00FB21D4">
            <w:pPr>
              <w:ind w:firstLine="6"/>
              <w:jc w:val="center"/>
              <w:rPr>
                <w:lang w:eastAsia="it-IT"/>
              </w:rPr>
            </w:pPr>
          </w:p>
        </w:tc>
        <w:tc>
          <w:tcPr>
            <w:tcW w:w="723" w:type="dxa"/>
            <w:shd w:val="clear" w:color="auto" w:fill="auto"/>
          </w:tcPr>
          <w:p w14:paraId="5B468B52" w14:textId="77777777" w:rsidR="00FB21D4" w:rsidRPr="004611D4" w:rsidRDefault="00FB21D4" w:rsidP="00FB21D4">
            <w:pPr>
              <w:ind w:firstLine="6"/>
              <w:jc w:val="center"/>
              <w:rPr>
                <w:lang w:eastAsia="it-IT"/>
              </w:rPr>
            </w:pPr>
          </w:p>
        </w:tc>
        <w:tc>
          <w:tcPr>
            <w:tcW w:w="723" w:type="dxa"/>
            <w:shd w:val="clear" w:color="auto" w:fill="auto"/>
          </w:tcPr>
          <w:p w14:paraId="3C5BB8E2" w14:textId="77777777" w:rsidR="00FB21D4" w:rsidRPr="004611D4" w:rsidRDefault="00FB21D4" w:rsidP="00FB21D4">
            <w:pPr>
              <w:ind w:firstLine="6"/>
              <w:jc w:val="center"/>
              <w:rPr>
                <w:lang w:eastAsia="it-IT"/>
              </w:rPr>
            </w:pPr>
          </w:p>
        </w:tc>
      </w:tr>
      <w:tr w:rsidR="004611D4" w:rsidRPr="004611D4" w14:paraId="1395B173" w14:textId="77777777" w:rsidTr="00CF55F2">
        <w:trPr>
          <w:gridAfter w:val="1"/>
          <w:wAfter w:w="9" w:type="dxa"/>
          <w:trHeight w:val="360"/>
        </w:trPr>
        <w:tc>
          <w:tcPr>
            <w:tcW w:w="2434" w:type="dxa"/>
            <w:shd w:val="clear" w:color="auto" w:fill="auto"/>
            <w:vAlign w:val="center"/>
            <w:hideMark/>
          </w:tcPr>
          <w:p w14:paraId="4BA7F3D0" w14:textId="77777777" w:rsidR="00FB21D4" w:rsidRPr="004611D4" w:rsidRDefault="00FB21D4" w:rsidP="00FB21D4">
            <w:pPr>
              <w:rPr>
                <w:lang w:eastAsia="it-IT"/>
              </w:rPr>
            </w:pPr>
            <w:r w:rsidRPr="004611D4">
              <w:rPr>
                <w:lang w:eastAsia="it-IT"/>
              </w:rPr>
              <w:t>8. T2 ADHD</w:t>
            </w:r>
          </w:p>
        </w:tc>
        <w:tc>
          <w:tcPr>
            <w:tcW w:w="1008" w:type="dxa"/>
            <w:shd w:val="clear" w:color="auto" w:fill="auto"/>
            <w:vAlign w:val="center"/>
          </w:tcPr>
          <w:p w14:paraId="05413CF8" w14:textId="77777777" w:rsidR="00FB21D4" w:rsidRPr="004611D4" w:rsidRDefault="00FB21D4" w:rsidP="00FB21D4">
            <w:pPr>
              <w:ind w:firstLine="6"/>
              <w:jc w:val="center"/>
              <w:rPr>
                <w:b/>
                <w:bCs/>
                <w:lang w:eastAsia="it-IT"/>
              </w:rPr>
            </w:pPr>
            <w:r w:rsidRPr="004611D4">
              <w:rPr>
                <w:b/>
                <w:bCs/>
                <w:lang w:eastAsia="it-IT"/>
              </w:rPr>
              <w:t>.28</w:t>
            </w:r>
            <w:r w:rsidRPr="004611D4">
              <w:rPr>
                <w:vertAlign w:val="superscript"/>
                <w:lang w:eastAsia="it-IT"/>
              </w:rPr>
              <w:t>c</w:t>
            </w:r>
          </w:p>
        </w:tc>
        <w:tc>
          <w:tcPr>
            <w:tcW w:w="1008" w:type="dxa"/>
            <w:shd w:val="clear" w:color="auto" w:fill="auto"/>
            <w:vAlign w:val="center"/>
          </w:tcPr>
          <w:p w14:paraId="32CCB7BB" w14:textId="77777777" w:rsidR="00FB21D4" w:rsidRPr="004611D4" w:rsidRDefault="00FB21D4" w:rsidP="00FB21D4">
            <w:pPr>
              <w:ind w:firstLine="6"/>
              <w:jc w:val="center"/>
              <w:rPr>
                <w:b/>
                <w:bCs/>
                <w:lang w:eastAsia="it-IT"/>
              </w:rPr>
            </w:pPr>
            <w:r w:rsidRPr="004611D4">
              <w:rPr>
                <w:b/>
                <w:bCs/>
                <w:lang w:eastAsia="it-IT"/>
              </w:rPr>
              <w:t>.42</w:t>
            </w:r>
            <w:r w:rsidRPr="004611D4">
              <w:rPr>
                <w:vertAlign w:val="superscript"/>
                <w:lang w:eastAsia="it-IT"/>
              </w:rPr>
              <w:t>c</w:t>
            </w:r>
          </w:p>
        </w:tc>
        <w:tc>
          <w:tcPr>
            <w:tcW w:w="1008" w:type="dxa"/>
            <w:shd w:val="clear" w:color="auto" w:fill="auto"/>
            <w:vAlign w:val="center"/>
          </w:tcPr>
          <w:p w14:paraId="72B15F44" w14:textId="77777777" w:rsidR="00FB21D4" w:rsidRPr="004611D4" w:rsidRDefault="00FB21D4" w:rsidP="00FB21D4">
            <w:pPr>
              <w:ind w:firstLine="6"/>
              <w:jc w:val="center"/>
              <w:rPr>
                <w:lang w:eastAsia="it-IT"/>
              </w:rPr>
            </w:pPr>
            <w:r w:rsidRPr="004611D4">
              <w:rPr>
                <w:lang w:eastAsia="it-IT"/>
              </w:rPr>
              <w:t>.12</w:t>
            </w:r>
            <w:r w:rsidRPr="004611D4">
              <w:rPr>
                <w:vertAlign w:val="superscript"/>
                <w:lang w:eastAsia="it-IT"/>
              </w:rPr>
              <w:t>c</w:t>
            </w:r>
          </w:p>
        </w:tc>
        <w:tc>
          <w:tcPr>
            <w:tcW w:w="1008" w:type="dxa"/>
            <w:shd w:val="clear" w:color="auto" w:fill="auto"/>
            <w:vAlign w:val="center"/>
          </w:tcPr>
          <w:p w14:paraId="19A0A7D8" w14:textId="77777777" w:rsidR="00FB21D4" w:rsidRPr="004611D4" w:rsidRDefault="00FB21D4" w:rsidP="00FB21D4">
            <w:pPr>
              <w:ind w:firstLine="6"/>
              <w:jc w:val="center"/>
              <w:rPr>
                <w:lang w:eastAsia="it-IT"/>
              </w:rPr>
            </w:pPr>
            <w:r w:rsidRPr="004611D4">
              <w:rPr>
                <w:b/>
                <w:bCs/>
                <w:lang w:eastAsia="it-IT"/>
              </w:rPr>
              <w:t>.22</w:t>
            </w:r>
            <w:r w:rsidRPr="004611D4">
              <w:rPr>
                <w:vertAlign w:val="superscript"/>
                <w:lang w:eastAsia="it-IT"/>
              </w:rPr>
              <w:t>c</w:t>
            </w:r>
          </w:p>
        </w:tc>
        <w:tc>
          <w:tcPr>
            <w:tcW w:w="720" w:type="dxa"/>
            <w:shd w:val="clear" w:color="auto" w:fill="auto"/>
            <w:noWrap/>
            <w:vAlign w:val="center"/>
          </w:tcPr>
          <w:p w14:paraId="4353D1ED" w14:textId="77777777" w:rsidR="00FB21D4" w:rsidRPr="004611D4" w:rsidRDefault="00FB21D4" w:rsidP="00FB21D4">
            <w:pPr>
              <w:ind w:firstLine="6"/>
              <w:jc w:val="center"/>
              <w:rPr>
                <w:lang w:eastAsia="it-IT"/>
              </w:rPr>
            </w:pPr>
            <w:r w:rsidRPr="004611D4">
              <w:rPr>
                <w:b/>
                <w:bCs/>
                <w:lang w:eastAsia="it-IT"/>
              </w:rPr>
              <w:t>.20</w:t>
            </w:r>
            <w:r w:rsidRPr="004611D4">
              <w:rPr>
                <w:vertAlign w:val="superscript"/>
                <w:lang w:eastAsia="it-IT"/>
              </w:rPr>
              <w:t>c</w:t>
            </w:r>
          </w:p>
        </w:tc>
        <w:tc>
          <w:tcPr>
            <w:tcW w:w="720" w:type="dxa"/>
            <w:shd w:val="clear" w:color="auto" w:fill="auto"/>
            <w:noWrap/>
            <w:vAlign w:val="center"/>
          </w:tcPr>
          <w:p w14:paraId="01A93D61" w14:textId="77777777" w:rsidR="00FB21D4" w:rsidRPr="004611D4" w:rsidRDefault="00FB21D4" w:rsidP="00FB21D4">
            <w:pPr>
              <w:ind w:firstLine="6"/>
              <w:jc w:val="center"/>
              <w:rPr>
                <w:lang w:eastAsia="it-IT"/>
              </w:rPr>
            </w:pPr>
            <w:r w:rsidRPr="004611D4">
              <w:rPr>
                <w:b/>
                <w:bCs/>
                <w:lang w:eastAsia="it-IT"/>
              </w:rPr>
              <w:t>.31</w:t>
            </w:r>
            <w:r w:rsidRPr="004611D4">
              <w:rPr>
                <w:vertAlign w:val="superscript"/>
                <w:lang w:eastAsia="it-IT"/>
              </w:rPr>
              <w:t>c</w:t>
            </w:r>
          </w:p>
        </w:tc>
        <w:tc>
          <w:tcPr>
            <w:tcW w:w="720" w:type="dxa"/>
            <w:shd w:val="clear" w:color="auto" w:fill="auto"/>
            <w:noWrap/>
            <w:vAlign w:val="center"/>
            <w:hideMark/>
          </w:tcPr>
          <w:p w14:paraId="54A46244" w14:textId="77777777" w:rsidR="00FB21D4" w:rsidRPr="004611D4" w:rsidRDefault="00FB21D4" w:rsidP="00FB21D4">
            <w:pPr>
              <w:ind w:firstLine="6"/>
              <w:jc w:val="center"/>
              <w:rPr>
                <w:lang w:eastAsia="it-IT"/>
              </w:rPr>
            </w:pPr>
            <w:r w:rsidRPr="004611D4">
              <w:rPr>
                <w:b/>
                <w:bCs/>
                <w:lang w:eastAsia="it-IT"/>
              </w:rPr>
              <w:t>.42</w:t>
            </w:r>
            <w:r w:rsidRPr="004611D4">
              <w:rPr>
                <w:vertAlign w:val="superscript"/>
                <w:lang w:eastAsia="it-IT"/>
              </w:rPr>
              <w:t>c</w:t>
            </w:r>
          </w:p>
        </w:tc>
        <w:tc>
          <w:tcPr>
            <w:tcW w:w="720" w:type="dxa"/>
            <w:shd w:val="clear" w:color="auto" w:fill="auto"/>
            <w:noWrap/>
            <w:vAlign w:val="center"/>
            <w:hideMark/>
          </w:tcPr>
          <w:p w14:paraId="415AB51A" w14:textId="77777777" w:rsidR="00FB21D4" w:rsidRPr="004611D4" w:rsidRDefault="00FB21D4" w:rsidP="00FB21D4">
            <w:pPr>
              <w:ind w:firstLine="6"/>
              <w:jc w:val="center"/>
              <w:rPr>
                <w:lang w:eastAsia="it-IT"/>
              </w:rPr>
            </w:pPr>
            <w:r w:rsidRPr="004611D4">
              <w:rPr>
                <w:lang w:eastAsia="it-IT"/>
              </w:rPr>
              <w:t>-</w:t>
            </w:r>
          </w:p>
        </w:tc>
        <w:tc>
          <w:tcPr>
            <w:tcW w:w="720" w:type="dxa"/>
            <w:shd w:val="clear" w:color="auto" w:fill="auto"/>
            <w:vAlign w:val="center"/>
          </w:tcPr>
          <w:p w14:paraId="4FE2890D" w14:textId="77777777" w:rsidR="00FB21D4" w:rsidRPr="004611D4" w:rsidRDefault="00FB21D4" w:rsidP="00FB21D4">
            <w:pPr>
              <w:ind w:firstLine="6"/>
              <w:jc w:val="center"/>
              <w:rPr>
                <w:lang w:eastAsia="it-IT"/>
              </w:rPr>
            </w:pPr>
          </w:p>
        </w:tc>
        <w:tc>
          <w:tcPr>
            <w:tcW w:w="720" w:type="dxa"/>
            <w:shd w:val="clear" w:color="auto" w:fill="auto"/>
            <w:vAlign w:val="center"/>
          </w:tcPr>
          <w:p w14:paraId="40B0930F" w14:textId="77777777" w:rsidR="00FB21D4" w:rsidRPr="004611D4" w:rsidRDefault="00FB21D4" w:rsidP="00FB21D4">
            <w:pPr>
              <w:ind w:firstLine="6"/>
              <w:jc w:val="center"/>
              <w:rPr>
                <w:lang w:eastAsia="it-IT"/>
              </w:rPr>
            </w:pPr>
          </w:p>
        </w:tc>
        <w:tc>
          <w:tcPr>
            <w:tcW w:w="1022" w:type="dxa"/>
            <w:shd w:val="clear" w:color="auto" w:fill="auto"/>
            <w:vAlign w:val="center"/>
          </w:tcPr>
          <w:p w14:paraId="51069066" w14:textId="77777777" w:rsidR="00FB21D4" w:rsidRPr="004611D4" w:rsidRDefault="00FB21D4" w:rsidP="00FB21D4">
            <w:pPr>
              <w:ind w:firstLine="6"/>
              <w:jc w:val="center"/>
              <w:rPr>
                <w:lang w:eastAsia="it-IT"/>
              </w:rPr>
            </w:pPr>
          </w:p>
        </w:tc>
        <w:tc>
          <w:tcPr>
            <w:tcW w:w="1022" w:type="dxa"/>
            <w:shd w:val="clear" w:color="auto" w:fill="auto"/>
            <w:vAlign w:val="center"/>
          </w:tcPr>
          <w:p w14:paraId="03DE6CC1" w14:textId="77777777" w:rsidR="00FB21D4" w:rsidRPr="004611D4" w:rsidRDefault="00FB21D4" w:rsidP="00FB21D4">
            <w:pPr>
              <w:ind w:firstLine="6"/>
              <w:jc w:val="center"/>
              <w:rPr>
                <w:lang w:eastAsia="it-IT"/>
              </w:rPr>
            </w:pPr>
          </w:p>
        </w:tc>
        <w:tc>
          <w:tcPr>
            <w:tcW w:w="723" w:type="dxa"/>
            <w:shd w:val="clear" w:color="auto" w:fill="auto"/>
          </w:tcPr>
          <w:p w14:paraId="06FED779" w14:textId="77777777" w:rsidR="00FB21D4" w:rsidRPr="004611D4" w:rsidRDefault="00FB21D4" w:rsidP="00FB21D4">
            <w:pPr>
              <w:ind w:firstLine="6"/>
              <w:jc w:val="center"/>
              <w:rPr>
                <w:lang w:eastAsia="it-IT"/>
              </w:rPr>
            </w:pPr>
          </w:p>
        </w:tc>
        <w:tc>
          <w:tcPr>
            <w:tcW w:w="723" w:type="dxa"/>
            <w:shd w:val="clear" w:color="auto" w:fill="auto"/>
          </w:tcPr>
          <w:p w14:paraId="799CE8A3" w14:textId="77777777" w:rsidR="00FB21D4" w:rsidRPr="004611D4" w:rsidRDefault="00FB21D4" w:rsidP="00FB21D4">
            <w:pPr>
              <w:ind w:firstLine="6"/>
              <w:jc w:val="center"/>
              <w:rPr>
                <w:lang w:eastAsia="it-IT"/>
              </w:rPr>
            </w:pPr>
          </w:p>
        </w:tc>
      </w:tr>
      <w:tr w:rsidR="004611D4" w:rsidRPr="004611D4" w14:paraId="5070EFF7" w14:textId="77777777" w:rsidTr="00CF55F2">
        <w:trPr>
          <w:gridAfter w:val="1"/>
          <w:wAfter w:w="9" w:type="dxa"/>
          <w:trHeight w:val="360"/>
        </w:trPr>
        <w:tc>
          <w:tcPr>
            <w:tcW w:w="2434" w:type="dxa"/>
            <w:shd w:val="clear" w:color="auto" w:fill="auto"/>
            <w:vAlign w:val="center"/>
          </w:tcPr>
          <w:p w14:paraId="70C5428B" w14:textId="77777777" w:rsidR="00FB21D4" w:rsidRPr="004611D4" w:rsidRDefault="00FB21D4" w:rsidP="00FB21D4">
            <w:pPr>
              <w:rPr>
                <w:lang w:eastAsia="it-IT"/>
              </w:rPr>
            </w:pPr>
            <w:r w:rsidRPr="004611D4">
              <w:rPr>
                <w:lang w:eastAsia="it-IT"/>
              </w:rPr>
              <w:t>9. T1 AUD</w:t>
            </w:r>
          </w:p>
        </w:tc>
        <w:tc>
          <w:tcPr>
            <w:tcW w:w="1008" w:type="dxa"/>
            <w:shd w:val="clear" w:color="auto" w:fill="auto"/>
            <w:vAlign w:val="center"/>
          </w:tcPr>
          <w:p w14:paraId="5A96D06C" w14:textId="77777777" w:rsidR="00FB21D4" w:rsidRPr="004611D4" w:rsidRDefault="00FB21D4" w:rsidP="00FB21D4">
            <w:pPr>
              <w:ind w:firstLine="6"/>
              <w:jc w:val="center"/>
              <w:rPr>
                <w:b/>
                <w:bCs/>
                <w:lang w:eastAsia="it-IT"/>
              </w:rPr>
            </w:pPr>
            <w:r w:rsidRPr="004611D4">
              <w:rPr>
                <w:b/>
                <w:bCs/>
                <w:lang w:eastAsia="it-IT"/>
              </w:rPr>
              <w:t>.37</w:t>
            </w:r>
            <w:r w:rsidRPr="004611D4">
              <w:rPr>
                <w:vertAlign w:val="superscript"/>
                <w:lang w:eastAsia="it-IT"/>
              </w:rPr>
              <w:t>c</w:t>
            </w:r>
          </w:p>
        </w:tc>
        <w:tc>
          <w:tcPr>
            <w:tcW w:w="1008" w:type="dxa"/>
            <w:shd w:val="clear" w:color="auto" w:fill="auto"/>
            <w:vAlign w:val="center"/>
          </w:tcPr>
          <w:p w14:paraId="66C697DF" w14:textId="77777777" w:rsidR="00FB21D4" w:rsidRPr="004611D4" w:rsidRDefault="00FB21D4" w:rsidP="00FB21D4">
            <w:pPr>
              <w:ind w:firstLine="6"/>
              <w:jc w:val="center"/>
              <w:rPr>
                <w:b/>
                <w:bCs/>
                <w:lang w:eastAsia="it-IT"/>
              </w:rPr>
            </w:pPr>
            <w:r w:rsidRPr="004611D4">
              <w:rPr>
                <w:b/>
                <w:bCs/>
                <w:lang w:eastAsia="it-IT"/>
              </w:rPr>
              <w:t>.24</w:t>
            </w:r>
            <w:r w:rsidRPr="004611D4">
              <w:rPr>
                <w:vertAlign w:val="superscript"/>
                <w:lang w:eastAsia="it-IT"/>
              </w:rPr>
              <w:t>c</w:t>
            </w:r>
          </w:p>
        </w:tc>
        <w:tc>
          <w:tcPr>
            <w:tcW w:w="1008" w:type="dxa"/>
            <w:shd w:val="clear" w:color="auto" w:fill="auto"/>
            <w:vAlign w:val="center"/>
          </w:tcPr>
          <w:p w14:paraId="6BBD41A4" w14:textId="77777777" w:rsidR="00FB21D4" w:rsidRPr="004611D4" w:rsidRDefault="00FB21D4" w:rsidP="00FB21D4">
            <w:pPr>
              <w:ind w:firstLine="6"/>
              <w:jc w:val="center"/>
              <w:rPr>
                <w:lang w:eastAsia="it-IT"/>
              </w:rPr>
            </w:pPr>
            <w:r w:rsidRPr="004611D4">
              <w:rPr>
                <w:b/>
                <w:bCs/>
                <w:lang w:eastAsia="it-IT"/>
              </w:rPr>
              <w:t>.21</w:t>
            </w:r>
            <w:r w:rsidRPr="004611D4">
              <w:rPr>
                <w:vertAlign w:val="superscript"/>
                <w:lang w:eastAsia="it-IT"/>
              </w:rPr>
              <w:t>c</w:t>
            </w:r>
          </w:p>
        </w:tc>
        <w:tc>
          <w:tcPr>
            <w:tcW w:w="1008" w:type="dxa"/>
            <w:shd w:val="clear" w:color="auto" w:fill="auto"/>
            <w:vAlign w:val="center"/>
          </w:tcPr>
          <w:p w14:paraId="568C258A" w14:textId="77777777" w:rsidR="00FB21D4" w:rsidRPr="004611D4" w:rsidRDefault="00FB21D4" w:rsidP="00FB21D4">
            <w:pPr>
              <w:ind w:firstLine="6"/>
              <w:jc w:val="center"/>
              <w:rPr>
                <w:lang w:eastAsia="it-IT"/>
              </w:rPr>
            </w:pPr>
            <w:r w:rsidRPr="004611D4">
              <w:rPr>
                <w:lang w:eastAsia="it-IT"/>
              </w:rPr>
              <w:t>.14</w:t>
            </w:r>
            <w:r w:rsidRPr="004611D4">
              <w:rPr>
                <w:vertAlign w:val="superscript"/>
                <w:lang w:eastAsia="it-IT"/>
              </w:rPr>
              <w:t>c</w:t>
            </w:r>
          </w:p>
        </w:tc>
        <w:tc>
          <w:tcPr>
            <w:tcW w:w="720" w:type="dxa"/>
            <w:shd w:val="clear" w:color="auto" w:fill="auto"/>
            <w:noWrap/>
            <w:vAlign w:val="center"/>
          </w:tcPr>
          <w:p w14:paraId="59890DCD" w14:textId="77777777" w:rsidR="00FB21D4" w:rsidRPr="004611D4" w:rsidRDefault="00FB21D4" w:rsidP="00FB21D4">
            <w:pPr>
              <w:ind w:firstLine="6"/>
              <w:jc w:val="center"/>
              <w:rPr>
                <w:lang w:eastAsia="it-IT"/>
              </w:rPr>
            </w:pPr>
            <w:r w:rsidRPr="004611D4">
              <w:rPr>
                <w:b/>
                <w:bCs/>
                <w:lang w:eastAsia="it-IT"/>
              </w:rPr>
              <w:t>.32</w:t>
            </w:r>
            <w:r w:rsidRPr="004611D4">
              <w:rPr>
                <w:vertAlign w:val="superscript"/>
                <w:lang w:eastAsia="it-IT"/>
              </w:rPr>
              <w:t>c</w:t>
            </w:r>
          </w:p>
        </w:tc>
        <w:tc>
          <w:tcPr>
            <w:tcW w:w="720" w:type="dxa"/>
            <w:shd w:val="clear" w:color="auto" w:fill="auto"/>
            <w:noWrap/>
            <w:vAlign w:val="center"/>
          </w:tcPr>
          <w:p w14:paraId="79E3562C" w14:textId="77777777" w:rsidR="00FB21D4" w:rsidRPr="004611D4" w:rsidRDefault="00FB21D4" w:rsidP="00FB21D4">
            <w:pPr>
              <w:ind w:firstLine="6"/>
              <w:jc w:val="center"/>
              <w:rPr>
                <w:lang w:eastAsia="it-IT"/>
              </w:rPr>
            </w:pPr>
            <w:r w:rsidRPr="004611D4">
              <w:rPr>
                <w:b/>
                <w:bCs/>
                <w:lang w:eastAsia="it-IT"/>
              </w:rPr>
              <w:t>.21</w:t>
            </w:r>
            <w:r w:rsidRPr="004611D4">
              <w:rPr>
                <w:vertAlign w:val="superscript"/>
                <w:lang w:eastAsia="it-IT"/>
              </w:rPr>
              <w:t>c</w:t>
            </w:r>
          </w:p>
        </w:tc>
        <w:tc>
          <w:tcPr>
            <w:tcW w:w="720" w:type="dxa"/>
            <w:shd w:val="clear" w:color="auto" w:fill="auto"/>
            <w:noWrap/>
            <w:vAlign w:val="center"/>
          </w:tcPr>
          <w:p w14:paraId="216DDAFC" w14:textId="77777777" w:rsidR="00FB21D4" w:rsidRPr="004611D4" w:rsidRDefault="00FB21D4" w:rsidP="00FB21D4">
            <w:pPr>
              <w:ind w:firstLine="6"/>
              <w:jc w:val="center"/>
              <w:rPr>
                <w:lang w:eastAsia="it-IT"/>
              </w:rPr>
            </w:pPr>
            <w:r w:rsidRPr="004611D4">
              <w:rPr>
                <w:lang w:eastAsia="it-IT"/>
              </w:rPr>
              <w:t>.10</w:t>
            </w:r>
            <w:r w:rsidRPr="004611D4">
              <w:rPr>
                <w:vertAlign w:val="superscript"/>
                <w:lang w:eastAsia="it-IT"/>
              </w:rPr>
              <w:t>c</w:t>
            </w:r>
          </w:p>
        </w:tc>
        <w:tc>
          <w:tcPr>
            <w:tcW w:w="720" w:type="dxa"/>
            <w:shd w:val="clear" w:color="auto" w:fill="auto"/>
            <w:noWrap/>
            <w:vAlign w:val="center"/>
          </w:tcPr>
          <w:p w14:paraId="0E76B8E9" w14:textId="77777777" w:rsidR="00FB21D4" w:rsidRPr="004611D4" w:rsidRDefault="00FB21D4" w:rsidP="00FB21D4">
            <w:pPr>
              <w:ind w:firstLine="6"/>
              <w:jc w:val="center"/>
              <w:rPr>
                <w:lang w:eastAsia="it-IT"/>
              </w:rPr>
            </w:pPr>
            <w:r w:rsidRPr="004611D4">
              <w:rPr>
                <w:lang w:eastAsia="it-IT"/>
              </w:rPr>
              <w:t>.06</w:t>
            </w:r>
            <w:r w:rsidRPr="004611D4">
              <w:rPr>
                <w:vertAlign w:val="superscript"/>
                <w:lang w:eastAsia="it-IT"/>
              </w:rPr>
              <w:t>c</w:t>
            </w:r>
          </w:p>
        </w:tc>
        <w:tc>
          <w:tcPr>
            <w:tcW w:w="720" w:type="dxa"/>
            <w:shd w:val="clear" w:color="auto" w:fill="auto"/>
            <w:vAlign w:val="center"/>
          </w:tcPr>
          <w:p w14:paraId="7BA0816E" w14:textId="77777777" w:rsidR="00FB21D4" w:rsidRPr="004611D4" w:rsidRDefault="00FB21D4" w:rsidP="00FB21D4">
            <w:pPr>
              <w:ind w:firstLine="6"/>
              <w:jc w:val="center"/>
              <w:rPr>
                <w:lang w:eastAsia="it-IT"/>
              </w:rPr>
            </w:pPr>
            <w:r w:rsidRPr="004611D4">
              <w:rPr>
                <w:lang w:eastAsia="it-IT"/>
              </w:rPr>
              <w:t>-</w:t>
            </w:r>
          </w:p>
        </w:tc>
        <w:tc>
          <w:tcPr>
            <w:tcW w:w="720" w:type="dxa"/>
            <w:shd w:val="clear" w:color="auto" w:fill="auto"/>
            <w:vAlign w:val="center"/>
          </w:tcPr>
          <w:p w14:paraId="57926167" w14:textId="77777777" w:rsidR="00FB21D4" w:rsidRPr="004611D4" w:rsidRDefault="00FB21D4" w:rsidP="00FB21D4">
            <w:pPr>
              <w:ind w:firstLine="6"/>
              <w:jc w:val="center"/>
              <w:rPr>
                <w:lang w:eastAsia="it-IT"/>
              </w:rPr>
            </w:pPr>
          </w:p>
        </w:tc>
        <w:tc>
          <w:tcPr>
            <w:tcW w:w="1022" w:type="dxa"/>
            <w:shd w:val="clear" w:color="auto" w:fill="auto"/>
            <w:vAlign w:val="center"/>
          </w:tcPr>
          <w:p w14:paraId="25AFA3C8" w14:textId="77777777" w:rsidR="00FB21D4" w:rsidRPr="004611D4" w:rsidRDefault="00FB21D4" w:rsidP="00FB21D4">
            <w:pPr>
              <w:ind w:firstLine="6"/>
              <w:jc w:val="center"/>
              <w:rPr>
                <w:lang w:eastAsia="it-IT"/>
              </w:rPr>
            </w:pPr>
          </w:p>
        </w:tc>
        <w:tc>
          <w:tcPr>
            <w:tcW w:w="1022" w:type="dxa"/>
            <w:shd w:val="clear" w:color="auto" w:fill="auto"/>
            <w:vAlign w:val="center"/>
          </w:tcPr>
          <w:p w14:paraId="5E2AF0B1" w14:textId="77777777" w:rsidR="00FB21D4" w:rsidRPr="004611D4" w:rsidRDefault="00FB21D4" w:rsidP="00FB21D4">
            <w:pPr>
              <w:ind w:firstLine="6"/>
              <w:jc w:val="center"/>
              <w:rPr>
                <w:lang w:eastAsia="it-IT"/>
              </w:rPr>
            </w:pPr>
          </w:p>
        </w:tc>
        <w:tc>
          <w:tcPr>
            <w:tcW w:w="723" w:type="dxa"/>
            <w:shd w:val="clear" w:color="auto" w:fill="auto"/>
          </w:tcPr>
          <w:p w14:paraId="3060A99E" w14:textId="77777777" w:rsidR="00FB21D4" w:rsidRPr="004611D4" w:rsidRDefault="00FB21D4" w:rsidP="00FB21D4">
            <w:pPr>
              <w:ind w:firstLine="6"/>
              <w:jc w:val="center"/>
              <w:rPr>
                <w:lang w:eastAsia="it-IT"/>
              </w:rPr>
            </w:pPr>
          </w:p>
        </w:tc>
        <w:tc>
          <w:tcPr>
            <w:tcW w:w="723" w:type="dxa"/>
            <w:shd w:val="clear" w:color="auto" w:fill="auto"/>
          </w:tcPr>
          <w:p w14:paraId="0757DAC8" w14:textId="77777777" w:rsidR="00FB21D4" w:rsidRPr="004611D4" w:rsidRDefault="00FB21D4" w:rsidP="00FB21D4">
            <w:pPr>
              <w:ind w:firstLine="6"/>
              <w:jc w:val="center"/>
              <w:rPr>
                <w:lang w:eastAsia="it-IT"/>
              </w:rPr>
            </w:pPr>
          </w:p>
        </w:tc>
      </w:tr>
      <w:tr w:rsidR="004611D4" w:rsidRPr="004611D4" w14:paraId="75BE3F5A" w14:textId="77777777" w:rsidTr="00CF55F2">
        <w:trPr>
          <w:gridAfter w:val="1"/>
          <w:wAfter w:w="9" w:type="dxa"/>
          <w:trHeight w:val="360"/>
        </w:trPr>
        <w:tc>
          <w:tcPr>
            <w:tcW w:w="2434" w:type="dxa"/>
            <w:shd w:val="clear" w:color="auto" w:fill="auto"/>
            <w:vAlign w:val="center"/>
          </w:tcPr>
          <w:p w14:paraId="17B2B13F" w14:textId="77777777" w:rsidR="00FB21D4" w:rsidRPr="004611D4" w:rsidRDefault="00FB21D4" w:rsidP="00FB21D4">
            <w:pPr>
              <w:rPr>
                <w:lang w:eastAsia="it-IT"/>
              </w:rPr>
            </w:pPr>
            <w:r w:rsidRPr="004611D4">
              <w:rPr>
                <w:lang w:eastAsia="it-IT"/>
              </w:rPr>
              <w:t>10. T2 AUD</w:t>
            </w:r>
          </w:p>
        </w:tc>
        <w:tc>
          <w:tcPr>
            <w:tcW w:w="1008" w:type="dxa"/>
            <w:shd w:val="clear" w:color="auto" w:fill="auto"/>
            <w:vAlign w:val="center"/>
          </w:tcPr>
          <w:p w14:paraId="3D46818C" w14:textId="77777777" w:rsidR="00FB21D4" w:rsidRPr="004611D4" w:rsidRDefault="00FB21D4" w:rsidP="00FB21D4">
            <w:pPr>
              <w:ind w:firstLine="6"/>
              <w:jc w:val="center"/>
              <w:rPr>
                <w:b/>
                <w:bCs/>
                <w:lang w:eastAsia="it-IT"/>
              </w:rPr>
            </w:pPr>
            <w:r w:rsidRPr="004611D4">
              <w:rPr>
                <w:b/>
                <w:bCs/>
                <w:lang w:eastAsia="it-IT"/>
              </w:rPr>
              <w:t>.30</w:t>
            </w:r>
            <w:r w:rsidRPr="004611D4">
              <w:rPr>
                <w:vertAlign w:val="superscript"/>
                <w:lang w:eastAsia="it-IT"/>
              </w:rPr>
              <w:t>c</w:t>
            </w:r>
          </w:p>
        </w:tc>
        <w:tc>
          <w:tcPr>
            <w:tcW w:w="1008" w:type="dxa"/>
            <w:shd w:val="clear" w:color="auto" w:fill="auto"/>
            <w:vAlign w:val="center"/>
          </w:tcPr>
          <w:p w14:paraId="54E4B286" w14:textId="77777777" w:rsidR="00FB21D4" w:rsidRPr="004611D4" w:rsidRDefault="00FB21D4" w:rsidP="00FB21D4">
            <w:pPr>
              <w:ind w:firstLine="6"/>
              <w:jc w:val="center"/>
              <w:rPr>
                <w:b/>
                <w:bCs/>
                <w:lang w:eastAsia="it-IT"/>
              </w:rPr>
            </w:pPr>
            <w:r w:rsidRPr="004611D4">
              <w:rPr>
                <w:b/>
                <w:bCs/>
                <w:lang w:eastAsia="it-IT"/>
              </w:rPr>
              <w:t>.41</w:t>
            </w:r>
            <w:r w:rsidRPr="004611D4">
              <w:rPr>
                <w:vertAlign w:val="superscript"/>
                <w:lang w:eastAsia="it-IT"/>
              </w:rPr>
              <w:t>c</w:t>
            </w:r>
          </w:p>
        </w:tc>
        <w:tc>
          <w:tcPr>
            <w:tcW w:w="1008" w:type="dxa"/>
            <w:shd w:val="clear" w:color="auto" w:fill="auto"/>
            <w:vAlign w:val="center"/>
          </w:tcPr>
          <w:p w14:paraId="64A19046" w14:textId="77777777" w:rsidR="00FB21D4" w:rsidRPr="004611D4" w:rsidRDefault="00FB21D4" w:rsidP="00FB21D4">
            <w:pPr>
              <w:ind w:firstLine="6"/>
              <w:jc w:val="center"/>
              <w:rPr>
                <w:lang w:eastAsia="it-IT"/>
              </w:rPr>
            </w:pPr>
            <w:r w:rsidRPr="004611D4">
              <w:rPr>
                <w:lang w:eastAsia="it-IT"/>
              </w:rPr>
              <w:t>.13</w:t>
            </w:r>
            <w:r w:rsidRPr="004611D4">
              <w:rPr>
                <w:vertAlign w:val="superscript"/>
                <w:lang w:eastAsia="it-IT"/>
              </w:rPr>
              <w:t>c</w:t>
            </w:r>
          </w:p>
        </w:tc>
        <w:tc>
          <w:tcPr>
            <w:tcW w:w="1008" w:type="dxa"/>
            <w:shd w:val="clear" w:color="auto" w:fill="auto"/>
            <w:vAlign w:val="center"/>
          </w:tcPr>
          <w:p w14:paraId="2528C637"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c</w:t>
            </w:r>
          </w:p>
        </w:tc>
        <w:tc>
          <w:tcPr>
            <w:tcW w:w="720" w:type="dxa"/>
            <w:shd w:val="clear" w:color="auto" w:fill="auto"/>
            <w:noWrap/>
            <w:vAlign w:val="center"/>
          </w:tcPr>
          <w:p w14:paraId="2848FE54" w14:textId="77777777" w:rsidR="00FB21D4" w:rsidRPr="004611D4" w:rsidRDefault="00FB21D4" w:rsidP="00FB21D4">
            <w:pPr>
              <w:ind w:firstLine="6"/>
              <w:jc w:val="center"/>
              <w:rPr>
                <w:lang w:eastAsia="it-IT"/>
              </w:rPr>
            </w:pPr>
            <w:r w:rsidRPr="004611D4">
              <w:rPr>
                <w:b/>
                <w:bCs/>
                <w:lang w:eastAsia="it-IT"/>
              </w:rPr>
              <w:t>.24</w:t>
            </w:r>
            <w:r w:rsidRPr="004611D4">
              <w:rPr>
                <w:vertAlign w:val="superscript"/>
                <w:lang w:eastAsia="it-IT"/>
              </w:rPr>
              <w:t>c</w:t>
            </w:r>
          </w:p>
        </w:tc>
        <w:tc>
          <w:tcPr>
            <w:tcW w:w="720" w:type="dxa"/>
            <w:shd w:val="clear" w:color="auto" w:fill="auto"/>
            <w:noWrap/>
            <w:vAlign w:val="center"/>
          </w:tcPr>
          <w:p w14:paraId="1351A7E6" w14:textId="77777777" w:rsidR="00FB21D4" w:rsidRPr="004611D4" w:rsidRDefault="00FB21D4" w:rsidP="00FB21D4">
            <w:pPr>
              <w:ind w:firstLine="6"/>
              <w:jc w:val="center"/>
              <w:rPr>
                <w:lang w:eastAsia="it-IT"/>
              </w:rPr>
            </w:pPr>
            <w:r w:rsidRPr="004611D4">
              <w:rPr>
                <w:b/>
                <w:lang w:eastAsia="it-IT"/>
              </w:rPr>
              <w:t>.34</w:t>
            </w:r>
            <w:r w:rsidRPr="004611D4">
              <w:rPr>
                <w:vertAlign w:val="superscript"/>
                <w:lang w:eastAsia="it-IT"/>
              </w:rPr>
              <w:t>c</w:t>
            </w:r>
          </w:p>
        </w:tc>
        <w:tc>
          <w:tcPr>
            <w:tcW w:w="720" w:type="dxa"/>
            <w:shd w:val="clear" w:color="auto" w:fill="auto"/>
            <w:noWrap/>
            <w:vAlign w:val="center"/>
          </w:tcPr>
          <w:p w14:paraId="3EA2CBB1" w14:textId="77777777" w:rsidR="00FB21D4" w:rsidRPr="004611D4" w:rsidRDefault="00FB21D4" w:rsidP="00FB21D4">
            <w:pPr>
              <w:ind w:firstLine="6"/>
              <w:jc w:val="center"/>
              <w:rPr>
                <w:lang w:eastAsia="it-IT"/>
              </w:rPr>
            </w:pPr>
            <w:r w:rsidRPr="004611D4">
              <w:rPr>
                <w:lang w:eastAsia="it-IT"/>
              </w:rPr>
              <w:t>.12</w:t>
            </w:r>
            <w:r w:rsidRPr="004611D4">
              <w:rPr>
                <w:vertAlign w:val="superscript"/>
                <w:lang w:eastAsia="it-IT"/>
              </w:rPr>
              <w:t>c</w:t>
            </w:r>
          </w:p>
        </w:tc>
        <w:tc>
          <w:tcPr>
            <w:tcW w:w="720" w:type="dxa"/>
            <w:shd w:val="clear" w:color="auto" w:fill="auto"/>
            <w:noWrap/>
            <w:vAlign w:val="center"/>
          </w:tcPr>
          <w:p w14:paraId="066D146E"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c</w:t>
            </w:r>
          </w:p>
        </w:tc>
        <w:tc>
          <w:tcPr>
            <w:tcW w:w="720" w:type="dxa"/>
            <w:shd w:val="clear" w:color="auto" w:fill="auto"/>
            <w:vAlign w:val="center"/>
          </w:tcPr>
          <w:p w14:paraId="21B56C3F" w14:textId="77777777" w:rsidR="00FB21D4" w:rsidRPr="004611D4" w:rsidRDefault="00FB21D4" w:rsidP="00FB21D4">
            <w:pPr>
              <w:ind w:firstLine="6"/>
              <w:jc w:val="center"/>
              <w:rPr>
                <w:lang w:eastAsia="it-IT"/>
              </w:rPr>
            </w:pPr>
            <w:r w:rsidRPr="004611D4">
              <w:rPr>
                <w:b/>
                <w:bCs/>
                <w:lang w:eastAsia="it-IT"/>
              </w:rPr>
              <w:t>.43</w:t>
            </w:r>
            <w:r w:rsidRPr="004611D4">
              <w:rPr>
                <w:vertAlign w:val="superscript"/>
                <w:lang w:eastAsia="it-IT"/>
              </w:rPr>
              <w:t>c</w:t>
            </w:r>
          </w:p>
        </w:tc>
        <w:tc>
          <w:tcPr>
            <w:tcW w:w="720" w:type="dxa"/>
            <w:shd w:val="clear" w:color="auto" w:fill="auto"/>
            <w:vAlign w:val="center"/>
          </w:tcPr>
          <w:p w14:paraId="48066DC6" w14:textId="77777777" w:rsidR="00FB21D4" w:rsidRPr="004611D4" w:rsidRDefault="00FB21D4" w:rsidP="00FB21D4">
            <w:pPr>
              <w:ind w:firstLine="6"/>
              <w:jc w:val="center"/>
              <w:rPr>
                <w:lang w:eastAsia="it-IT"/>
              </w:rPr>
            </w:pPr>
            <w:r w:rsidRPr="004611D4">
              <w:rPr>
                <w:lang w:eastAsia="it-IT"/>
              </w:rPr>
              <w:t>-</w:t>
            </w:r>
          </w:p>
        </w:tc>
        <w:tc>
          <w:tcPr>
            <w:tcW w:w="1022" w:type="dxa"/>
            <w:shd w:val="clear" w:color="auto" w:fill="auto"/>
            <w:vAlign w:val="center"/>
          </w:tcPr>
          <w:p w14:paraId="39AE2A4F" w14:textId="77777777" w:rsidR="00FB21D4" w:rsidRPr="004611D4" w:rsidRDefault="00FB21D4" w:rsidP="00FB21D4">
            <w:pPr>
              <w:ind w:firstLine="6"/>
              <w:jc w:val="center"/>
              <w:rPr>
                <w:lang w:eastAsia="it-IT"/>
              </w:rPr>
            </w:pPr>
          </w:p>
        </w:tc>
        <w:tc>
          <w:tcPr>
            <w:tcW w:w="1022" w:type="dxa"/>
            <w:shd w:val="clear" w:color="auto" w:fill="auto"/>
            <w:vAlign w:val="center"/>
          </w:tcPr>
          <w:p w14:paraId="6999E952" w14:textId="77777777" w:rsidR="00FB21D4" w:rsidRPr="004611D4" w:rsidRDefault="00FB21D4" w:rsidP="00FB21D4">
            <w:pPr>
              <w:ind w:firstLine="6"/>
              <w:jc w:val="center"/>
              <w:rPr>
                <w:lang w:eastAsia="it-IT"/>
              </w:rPr>
            </w:pPr>
          </w:p>
        </w:tc>
        <w:tc>
          <w:tcPr>
            <w:tcW w:w="723" w:type="dxa"/>
            <w:shd w:val="clear" w:color="auto" w:fill="auto"/>
          </w:tcPr>
          <w:p w14:paraId="5098D9B6" w14:textId="77777777" w:rsidR="00FB21D4" w:rsidRPr="004611D4" w:rsidRDefault="00FB21D4" w:rsidP="00FB21D4">
            <w:pPr>
              <w:ind w:firstLine="6"/>
              <w:jc w:val="center"/>
              <w:rPr>
                <w:lang w:eastAsia="it-IT"/>
              </w:rPr>
            </w:pPr>
          </w:p>
        </w:tc>
        <w:tc>
          <w:tcPr>
            <w:tcW w:w="723" w:type="dxa"/>
            <w:shd w:val="clear" w:color="auto" w:fill="auto"/>
          </w:tcPr>
          <w:p w14:paraId="12E4FCAD" w14:textId="77777777" w:rsidR="00FB21D4" w:rsidRPr="004611D4" w:rsidRDefault="00FB21D4" w:rsidP="00FB21D4">
            <w:pPr>
              <w:ind w:firstLine="6"/>
              <w:jc w:val="center"/>
              <w:rPr>
                <w:lang w:eastAsia="it-IT"/>
              </w:rPr>
            </w:pPr>
          </w:p>
        </w:tc>
      </w:tr>
      <w:tr w:rsidR="004611D4" w:rsidRPr="004611D4" w14:paraId="1266355A" w14:textId="77777777" w:rsidTr="00CF55F2">
        <w:trPr>
          <w:gridAfter w:val="1"/>
          <w:wAfter w:w="9" w:type="dxa"/>
          <w:trHeight w:val="360"/>
        </w:trPr>
        <w:tc>
          <w:tcPr>
            <w:tcW w:w="2434" w:type="dxa"/>
            <w:shd w:val="clear" w:color="auto" w:fill="auto"/>
            <w:vAlign w:val="center"/>
          </w:tcPr>
          <w:p w14:paraId="1E915CFA" w14:textId="77777777" w:rsidR="00FB21D4" w:rsidRPr="004611D4" w:rsidRDefault="00FB21D4" w:rsidP="00FB21D4">
            <w:pPr>
              <w:rPr>
                <w:lang w:eastAsia="it-IT"/>
              </w:rPr>
            </w:pPr>
            <w:r w:rsidRPr="004611D4">
              <w:rPr>
                <w:lang w:eastAsia="it-IT"/>
              </w:rPr>
              <w:t>11. T1 Externalizing</w:t>
            </w:r>
          </w:p>
        </w:tc>
        <w:tc>
          <w:tcPr>
            <w:tcW w:w="1008" w:type="dxa"/>
            <w:shd w:val="clear" w:color="auto" w:fill="auto"/>
            <w:vAlign w:val="center"/>
          </w:tcPr>
          <w:p w14:paraId="49A8B145" w14:textId="77777777" w:rsidR="00FB21D4" w:rsidRPr="004611D4" w:rsidRDefault="00FB21D4" w:rsidP="00FB21D4">
            <w:pPr>
              <w:ind w:firstLine="6"/>
              <w:jc w:val="center"/>
              <w:rPr>
                <w:b/>
                <w:bCs/>
                <w:lang w:eastAsia="it-IT"/>
              </w:rPr>
            </w:pPr>
            <w:r w:rsidRPr="004611D4">
              <w:rPr>
                <w:b/>
                <w:bCs/>
                <w:lang w:eastAsia="it-IT"/>
              </w:rPr>
              <w:t>.46</w:t>
            </w:r>
            <w:r w:rsidRPr="004611D4">
              <w:rPr>
                <w:vertAlign w:val="superscript"/>
                <w:lang w:eastAsia="it-IT"/>
              </w:rPr>
              <w:t>b</w:t>
            </w:r>
          </w:p>
        </w:tc>
        <w:tc>
          <w:tcPr>
            <w:tcW w:w="1008" w:type="dxa"/>
            <w:shd w:val="clear" w:color="auto" w:fill="auto"/>
            <w:vAlign w:val="center"/>
          </w:tcPr>
          <w:p w14:paraId="67A584B9" w14:textId="77777777" w:rsidR="00FB21D4" w:rsidRPr="004611D4" w:rsidRDefault="00FB21D4" w:rsidP="00FB21D4">
            <w:pPr>
              <w:ind w:firstLine="6"/>
              <w:jc w:val="center"/>
              <w:rPr>
                <w:b/>
                <w:bCs/>
                <w:lang w:eastAsia="it-IT"/>
              </w:rPr>
            </w:pPr>
            <w:r w:rsidRPr="004611D4">
              <w:rPr>
                <w:b/>
                <w:bCs/>
                <w:lang w:eastAsia="it-IT"/>
              </w:rPr>
              <w:t>.32</w:t>
            </w:r>
            <w:r w:rsidRPr="004611D4">
              <w:rPr>
                <w:vertAlign w:val="superscript"/>
                <w:lang w:eastAsia="it-IT"/>
              </w:rPr>
              <w:t>b</w:t>
            </w:r>
          </w:p>
        </w:tc>
        <w:tc>
          <w:tcPr>
            <w:tcW w:w="1008" w:type="dxa"/>
            <w:shd w:val="clear" w:color="auto" w:fill="auto"/>
            <w:vAlign w:val="center"/>
          </w:tcPr>
          <w:p w14:paraId="53E1932F" w14:textId="77777777" w:rsidR="00FB21D4" w:rsidRPr="004611D4" w:rsidRDefault="00FB21D4" w:rsidP="00FB21D4">
            <w:pPr>
              <w:ind w:firstLine="6"/>
              <w:jc w:val="center"/>
              <w:rPr>
                <w:lang w:eastAsia="it-IT"/>
              </w:rPr>
            </w:pPr>
            <w:r w:rsidRPr="004611D4">
              <w:rPr>
                <w:b/>
                <w:bCs/>
                <w:lang w:eastAsia="it-IT"/>
              </w:rPr>
              <w:t>.25</w:t>
            </w:r>
            <w:r w:rsidRPr="004611D4">
              <w:rPr>
                <w:vertAlign w:val="superscript"/>
                <w:lang w:eastAsia="it-IT"/>
              </w:rPr>
              <w:t>b</w:t>
            </w:r>
          </w:p>
        </w:tc>
        <w:tc>
          <w:tcPr>
            <w:tcW w:w="1008" w:type="dxa"/>
            <w:shd w:val="clear" w:color="auto" w:fill="auto"/>
            <w:vAlign w:val="center"/>
          </w:tcPr>
          <w:p w14:paraId="0FD85415"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b</w:t>
            </w:r>
          </w:p>
        </w:tc>
        <w:tc>
          <w:tcPr>
            <w:tcW w:w="720" w:type="dxa"/>
            <w:shd w:val="clear" w:color="auto" w:fill="auto"/>
            <w:noWrap/>
            <w:vAlign w:val="center"/>
          </w:tcPr>
          <w:p w14:paraId="791E7394" w14:textId="77777777" w:rsidR="00FB21D4" w:rsidRPr="004611D4" w:rsidRDefault="00FB21D4" w:rsidP="00FB21D4">
            <w:pPr>
              <w:ind w:firstLine="6"/>
              <w:jc w:val="center"/>
              <w:rPr>
                <w:b/>
                <w:bCs/>
                <w:lang w:eastAsia="it-IT"/>
              </w:rPr>
            </w:pPr>
            <w:r w:rsidRPr="004611D4">
              <w:rPr>
                <w:b/>
                <w:bCs/>
                <w:lang w:eastAsia="it-IT"/>
              </w:rPr>
              <w:t>.59</w:t>
            </w:r>
            <w:r w:rsidRPr="004611D4">
              <w:rPr>
                <w:vertAlign w:val="superscript"/>
                <w:lang w:eastAsia="it-IT"/>
              </w:rPr>
              <w:t>c</w:t>
            </w:r>
          </w:p>
        </w:tc>
        <w:tc>
          <w:tcPr>
            <w:tcW w:w="720" w:type="dxa"/>
            <w:shd w:val="clear" w:color="auto" w:fill="auto"/>
            <w:noWrap/>
            <w:vAlign w:val="center"/>
          </w:tcPr>
          <w:p w14:paraId="2044FFAF" w14:textId="77777777" w:rsidR="00FB21D4" w:rsidRPr="004611D4" w:rsidRDefault="00FB21D4" w:rsidP="00FB21D4">
            <w:pPr>
              <w:ind w:firstLine="6"/>
              <w:jc w:val="center"/>
              <w:rPr>
                <w:b/>
                <w:lang w:eastAsia="it-IT"/>
              </w:rPr>
            </w:pPr>
            <w:r w:rsidRPr="004611D4">
              <w:rPr>
                <w:b/>
                <w:bCs/>
                <w:lang w:eastAsia="it-IT"/>
              </w:rPr>
              <w:t>.32</w:t>
            </w:r>
            <w:r w:rsidRPr="004611D4">
              <w:rPr>
                <w:vertAlign w:val="superscript"/>
                <w:lang w:eastAsia="it-IT"/>
              </w:rPr>
              <w:t>c</w:t>
            </w:r>
          </w:p>
        </w:tc>
        <w:tc>
          <w:tcPr>
            <w:tcW w:w="720" w:type="dxa"/>
            <w:shd w:val="clear" w:color="auto" w:fill="auto"/>
            <w:noWrap/>
            <w:vAlign w:val="center"/>
          </w:tcPr>
          <w:p w14:paraId="1211AD6D" w14:textId="77777777" w:rsidR="00FB21D4" w:rsidRPr="004611D4" w:rsidRDefault="00FB21D4" w:rsidP="00FB21D4">
            <w:pPr>
              <w:ind w:firstLine="6"/>
              <w:jc w:val="center"/>
              <w:rPr>
                <w:lang w:eastAsia="it-IT"/>
              </w:rPr>
            </w:pPr>
            <w:r w:rsidRPr="004611D4">
              <w:rPr>
                <w:b/>
                <w:bCs/>
                <w:lang w:eastAsia="it-IT"/>
              </w:rPr>
              <w:t>.26</w:t>
            </w:r>
            <w:r w:rsidRPr="004611D4">
              <w:rPr>
                <w:vertAlign w:val="superscript"/>
                <w:lang w:eastAsia="it-IT"/>
              </w:rPr>
              <w:t>c</w:t>
            </w:r>
          </w:p>
        </w:tc>
        <w:tc>
          <w:tcPr>
            <w:tcW w:w="720" w:type="dxa"/>
            <w:shd w:val="clear" w:color="auto" w:fill="auto"/>
            <w:noWrap/>
            <w:vAlign w:val="center"/>
          </w:tcPr>
          <w:p w14:paraId="4B36E1B3" w14:textId="77777777" w:rsidR="00FB21D4" w:rsidRPr="004611D4" w:rsidRDefault="00FB21D4" w:rsidP="00FB21D4">
            <w:pPr>
              <w:ind w:firstLine="6"/>
              <w:jc w:val="center"/>
              <w:rPr>
                <w:lang w:eastAsia="it-IT"/>
              </w:rPr>
            </w:pPr>
            <w:r w:rsidRPr="004611D4">
              <w:rPr>
                <w:lang w:eastAsia="it-IT"/>
              </w:rPr>
              <w:t>.15</w:t>
            </w:r>
            <w:r w:rsidRPr="004611D4">
              <w:rPr>
                <w:vertAlign w:val="superscript"/>
                <w:lang w:eastAsia="it-IT"/>
              </w:rPr>
              <w:t>c</w:t>
            </w:r>
          </w:p>
        </w:tc>
        <w:tc>
          <w:tcPr>
            <w:tcW w:w="720" w:type="dxa"/>
            <w:shd w:val="clear" w:color="auto" w:fill="auto"/>
            <w:vAlign w:val="center"/>
          </w:tcPr>
          <w:p w14:paraId="137D6539" w14:textId="77777777" w:rsidR="00FB21D4" w:rsidRPr="004611D4" w:rsidRDefault="00FB21D4" w:rsidP="00FB21D4">
            <w:pPr>
              <w:ind w:firstLine="6"/>
              <w:jc w:val="center"/>
              <w:rPr>
                <w:b/>
                <w:bCs/>
                <w:lang w:eastAsia="it-IT"/>
              </w:rPr>
            </w:pPr>
            <w:r w:rsidRPr="004611D4">
              <w:rPr>
                <w:b/>
                <w:bCs/>
                <w:lang w:eastAsia="it-IT"/>
              </w:rPr>
              <w:t>.89</w:t>
            </w:r>
            <w:r w:rsidRPr="004611D4">
              <w:rPr>
                <w:vertAlign w:val="superscript"/>
                <w:lang w:eastAsia="it-IT"/>
              </w:rPr>
              <w:t>c</w:t>
            </w:r>
          </w:p>
        </w:tc>
        <w:tc>
          <w:tcPr>
            <w:tcW w:w="720" w:type="dxa"/>
            <w:shd w:val="clear" w:color="auto" w:fill="auto"/>
            <w:vAlign w:val="center"/>
          </w:tcPr>
          <w:p w14:paraId="4CA10357" w14:textId="77777777" w:rsidR="00FB21D4" w:rsidRPr="004611D4" w:rsidRDefault="00FB21D4" w:rsidP="00FB21D4">
            <w:pPr>
              <w:ind w:firstLine="6"/>
              <w:jc w:val="center"/>
              <w:rPr>
                <w:lang w:eastAsia="it-IT"/>
              </w:rPr>
            </w:pPr>
            <w:r w:rsidRPr="004611D4">
              <w:rPr>
                <w:b/>
                <w:bCs/>
                <w:lang w:eastAsia="it-IT"/>
              </w:rPr>
              <w:t>.44</w:t>
            </w:r>
            <w:r w:rsidRPr="004611D4">
              <w:rPr>
                <w:vertAlign w:val="superscript"/>
                <w:lang w:eastAsia="it-IT"/>
              </w:rPr>
              <w:t>c</w:t>
            </w:r>
          </w:p>
        </w:tc>
        <w:tc>
          <w:tcPr>
            <w:tcW w:w="1022" w:type="dxa"/>
            <w:shd w:val="clear" w:color="auto" w:fill="auto"/>
            <w:vAlign w:val="center"/>
          </w:tcPr>
          <w:p w14:paraId="5809ECF5" w14:textId="77777777" w:rsidR="00FB21D4" w:rsidRPr="004611D4" w:rsidRDefault="00FB21D4" w:rsidP="00FB21D4">
            <w:pPr>
              <w:ind w:firstLine="6"/>
              <w:jc w:val="center"/>
              <w:rPr>
                <w:lang w:eastAsia="it-IT"/>
              </w:rPr>
            </w:pPr>
            <w:r w:rsidRPr="004611D4">
              <w:rPr>
                <w:lang w:eastAsia="it-IT"/>
              </w:rPr>
              <w:t>-</w:t>
            </w:r>
          </w:p>
        </w:tc>
        <w:tc>
          <w:tcPr>
            <w:tcW w:w="1022" w:type="dxa"/>
            <w:shd w:val="clear" w:color="auto" w:fill="auto"/>
            <w:vAlign w:val="center"/>
          </w:tcPr>
          <w:p w14:paraId="0FD4505E" w14:textId="77777777" w:rsidR="00FB21D4" w:rsidRPr="004611D4" w:rsidRDefault="00FB21D4" w:rsidP="00FB21D4">
            <w:pPr>
              <w:ind w:firstLine="6"/>
              <w:jc w:val="center"/>
              <w:rPr>
                <w:lang w:eastAsia="it-IT"/>
              </w:rPr>
            </w:pPr>
          </w:p>
        </w:tc>
        <w:tc>
          <w:tcPr>
            <w:tcW w:w="723" w:type="dxa"/>
            <w:shd w:val="clear" w:color="auto" w:fill="auto"/>
          </w:tcPr>
          <w:p w14:paraId="5F1BE610" w14:textId="77777777" w:rsidR="00FB21D4" w:rsidRPr="004611D4" w:rsidRDefault="00FB21D4" w:rsidP="00FB21D4">
            <w:pPr>
              <w:ind w:firstLine="6"/>
              <w:jc w:val="center"/>
              <w:rPr>
                <w:lang w:eastAsia="it-IT"/>
              </w:rPr>
            </w:pPr>
          </w:p>
        </w:tc>
        <w:tc>
          <w:tcPr>
            <w:tcW w:w="723" w:type="dxa"/>
            <w:shd w:val="clear" w:color="auto" w:fill="auto"/>
          </w:tcPr>
          <w:p w14:paraId="4C55CB54" w14:textId="77777777" w:rsidR="00FB21D4" w:rsidRPr="004611D4" w:rsidRDefault="00FB21D4" w:rsidP="00FB21D4">
            <w:pPr>
              <w:ind w:firstLine="6"/>
              <w:jc w:val="center"/>
              <w:rPr>
                <w:lang w:eastAsia="it-IT"/>
              </w:rPr>
            </w:pPr>
          </w:p>
        </w:tc>
      </w:tr>
      <w:tr w:rsidR="004611D4" w:rsidRPr="004611D4" w14:paraId="741227D2" w14:textId="77777777" w:rsidTr="00CF55F2">
        <w:trPr>
          <w:gridAfter w:val="1"/>
          <w:wAfter w:w="9" w:type="dxa"/>
          <w:trHeight w:val="360"/>
        </w:trPr>
        <w:tc>
          <w:tcPr>
            <w:tcW w:w="2434" w:type="dxa"/>
            <w:shd w:val="clear" w:color="auto" w:fill="auto"/>
            <w:vAlign w:val="center"/>
          </w:tcPr>
          <w:p w14:paraId="76197D62" w14:textId="77777777" w:rsidR="00FB21D4" w:rsidRPr="004611D4" w:rsidRDefault="00FB21D4" w:rsidP="00FB21D4">
            <w:pPr>
              <w:rPr>
                <w:lang w:eastAsia="it-IT"/>
              </w:rPr>
            </w:pPr>
            <w:r w:rsidRPr="004611D4">
              <w:rPr>
                <w:lang w:eastAsia="it-IT"/>
              </w:rPr>
              <w:t>12. T2 Externalizing</w:t>
            </w:r>
          </w:p>
        </w:tc>
        <w:tc>
          <w:tcPr>
            <w:tcW w:w="1008" w:type="dxa"/>
            <w:shd w:val="clear" w:color="auto" w:fill="auto"/>
            <w:vAlign w:val="center"/>
          </w:tcPr>
          <w:p w14:paraId="4AEC0193" w14:textId="77777777" w:rsidR="00FB21D4" w:rsidRPr="004611D4" w:rsidRDefault="00FB21D4" w:rsidP="00FB21D4">
            <w:pPr>
              <w:ind w:firstLine="6"/>
              <w:jc w:val="center"/>
              <w:rPr>
                <w:b/>
                <w:bCs/>
                <w:lang w:eastAsia="it-IT"/>
              </w:rPr>
            </w:pPr>
            <w:r w:rsidRPr="004611D4">
              <w:rPr>
                <w:b/>
                <w:bCs/>
                <w:lang w:eastAsia="it-IT"/>
              </w:rPr>
              <w:t>.33</w:t>
            </w:r>
            <w:r w:rsidRPr="004611D4">
              <w:rPr>
                <w:vertAlign w:val="superscript"/>
                <w:lang w:eastAsia="it-IT"/>
              </w:rPr>
              <w:t>b</w:t>
            </w:r>
          </w:p>
        </w:tc>
        <w:tc>
          <w:tcPr>
            <w:tcW w:w="1008" w:type="dxa"/>
            <w:shd w:val="clear" w:color="auto" w:fill="auto"/>
            <w:vAlign w:val="center"/>
          </w:tcPr>
          <w:p w14:paraId="5B0550AC" w14:textId="77777777" w:rsidR="00FB21D4" w:rsidRPr="004611D4" w:rsidRDefault="00FB21D4" w:rsidP="00FB21D4">
            <w:pPr>
              <w:ind w:firstLine="6"/>
              <w:jc w:val="center"/>
              <w:rPr>
                <w:b/>
                <w:bCs/>
                <w:lang w:eastAsia="it-IT"/>
              </w:rPr>
            </w:pPr>
            <w:r w:rsidRPr="004611D4">
              <w:rPr>
                <w:b/>
                <w:bCs/>
                <w:lang w:eastAsia="it-IT"/>
              </w:rPr>
              <w:t>.48</w:t>
            </w:r>
            <w:r w:rsidRPr="004611D4">
              <w:rPr>
                <w:vertAlign w:val="superscript"/>
                <w:lang w:eastAsia="it-IT"/>
              </w:rPr>
              <w:t>b</w:t>
            </w:r>
          </w:p>
        </w:tc>
        <w:tc>
          <w:tcPr>
            <w:tcW w:w="1008" w:type="dxa"/>
            <w:shd w:val="clear" w:color="auto" w:fill="auto"/>
            <w:vAlign w:val="center"/>
          </w:tcPr>
          <w:p w14:paraId="75F4C261" w14:textId="77777777" w:rsidR="00FB21D4" w:rsidRPr="004611D4" w:rsidRDefault="00FB21D4" w:rsidP="00FB21D4">
            <w:pPr>
              <w:ind w:firstLine="6"/>
              <w:jc w:val="center"/>
              <w:rPr>
                <w:lang w:eastAsia="it-IT"/>
              </w:rPr>
            </w:pPr>
            <w:r w:rsidRPr="004611D4">
              <w:rPr>
                <w:lang w:eastAsia="it-IT"/>
              </w:rPr>
              <w:t>.17</w:t>
            </w:r>
            <w:r w:rsidRPr="004611D4">
              <w:rPr>
                <w:vertAlign w:val="superscript"/>
                <w:lang w:eastAsia="it-IT"/>
              </w:rPr>
              <w:t>b</w:t>
            </w:r>
          </w:p>
        </w:tc>
        <w:tc>
          <w:tcPr>
            <w:tcW w:w="1008" w:type="dxa"/>
            <w:shd w:val="clear" w:color="auto" w:fill="auto"/>
            <w:vAlign w:val="center"/>
          </w:tcPr>
          <w:p w14:paraId="49D1F2A8" w14:textId="77777777" w:rsidR="00FB21D4" w:rsidRPr="004611D4" w:rsidRDefault="00FB21D4" w:rsidP="00FB21D4">
            <w:pPr>
              <w:ind w:firstLine="6"/>
              <w:jc w:val="center"/>
              <w:rPr>
                <w:lang w:eastAsia="it-IT"/>
              </w:rPr>
            </w:pPr>
            <w:r w:rsidRPr="004611D4">
              <w:rPr>
                <w:b/>
                <w:bCs/>
                <w:lang w:eastAsia="it-IT"/>
              </w:rPr>
              <w:t>.21</w:t>
            </w:r>
            <w:r w:rsidRPr="004611D4">
              <w:rPr>
                <w:vertAlign w:val="superscript"/>
                <w:lang w:eastAsia="it-IT"/>
              </w:rPr>
              <w:t>b</w:t>
            </w:r>
          </w:p>
        </w:tc>
        <w:tc>
          <w:tcPr>
            <w:tcW w:w="720" w:type="dxa"/>
            <w:shd w:val="clear" w:color="auto" w:fill="auto"/>
            <w:noWrap/>
            <w:vAlign w:val="center"/>
          </w:tcPr>
          <w:p w14:paraId="1656F4C5" w14:textId="77777777" w:rsidR="00FB21D4" w:rsidRPr="004611D4" w:rsidRDefault="00FB21D4" w:rsidP="00FB21D4">
            <w:pPr>
              <w:ind w:firstLine="6"/>
              <w:jc w:val="center"/>
              <w:rPr>
                <w:b/>
                <w:bCs/>
                <w:lang w:eastAsia="it-IT"/>
              </w:rPr>
            </w:pPr>
            <w:r w:rsidRPr="004611D4">
              <w:rPr>
                <w:b/>
                <w:bCs/>
                <w:lang w:eastAsia="it-IT"/>
              </w:rPr>
              <w:t>.30</w:t>
            </w:r>
            <w:r w:rsidRPr="004611D4">
              <w:rPr>
                <w:vertAlign w:val="superscript"/>
                <w:lang w:eastAsia="it-IT"/>
              </w:rPr>
              <w:t>c</w:t>
            </w:r>
          </w:p>
        </w:tc>
        <w:tc>
          <w:tcPr>
            <w:tcW w:w="720" w:type="dxa"/>
            <w:shd w:val="clear" w:color="auto" w:fill="auto"/>
            <w:noWrap/>
            <w:vAlign w:val="center"/>
          </w:tcPr>
          <w:p w14:paraId="20F8E5F6" w14:textId="77777777" w:rsidR="00FB21D4" w:rsidRPr="004611D4" w:rsidRDefault="00FB21D4" w:rsidP="00FB21D4">
            <w:pPr>
              <w:ind w:firstLine="6"/>
              <w:jc w:val="center"/>
              <w:rPr>
                <w:b/>
                <w:lang w:eastAsia="it-IT"/>
              </w:rPr>
            </w:pPr>
            <w:r w:rsidRPr="004611D4">
              <w:rPr>
                <w:b/>
                <w:bCs/>
                <w:lang w:eastAsia="it-IT"/>
              </w:rPr>
              <w:t>.48</w:t>
            </w:r>
            <w:r w:rsidRPr="004611D4">
              <w:rPr>
                <w:vertAlign w:val="superscript"/>
                <w:lang w:eastAsia="it-IT"/>
              </w:rPr>
              <w:t>c</w:t>
            </w:r>
          </w:p>
        </w:tc>
        <w:tc>
          <w:tcPr>
            <w:tcW w:w="720" w:type="dxa"/>
            <w:shd w:val="clear" w:color="auto" w:fill="auto"/>
            <w:noWrap/>
            <w:vAlign w:val="center"/>
          </w:tcPr>
          <w:p w14:paraId="079AD148" w14:textId="77777777" w:rsidR="00FB21D4" w:rsidRPr="004611D4" w:rsidRDefault="00FB21D4" w:rsidP="00FB21D4">
            <w:pPr>
              <w:ind w:firstLine="6"/>
              <w:jc w:val="center"/>
              <w:rPr>
                <w:lang w:eastAsia="it-IT"/>
              </w:rPr>
            </w:pPr>
            <w:r w:rsidRPr="004611D4">
              <w:rPr>
                <w:lang w:eastAsia="it-IT"/>
              </w:rPr>
              <w:t>.17</w:t>
            </w:r>
            <w:r w:rsidRPr="004611D4">
              <w:rPr>
                <w:vertAlign w:val="superscript"/>
                <w:lang w:eastAsia="it-IT"/>
              </w:rPr>
              <w:t>c</w:t>
            </w:r>
          </w:p>
        </w:tc>
        <w:tc>
          <w:tcPr>
            <w:tcW w:w="720" w:type="dxa"/>
            <w:shd w:val="clear" w:color="auto" w:fill="auto"/>
            <w:noWrap/>
            <w:vAlign w:val="center"/>
          </w:tcPr>
          <w:p w14:paraId="595B7280" w14:textId="77777777" w:rsidR="00FB21D4" w:rsidRPr="004611D4" w:rsidRDefault="00FB21D4" w:rsidP="00FB21D4">
            <w:pPr>
              <w:ind w:firstLine="6"/>
              <w:jc w:val="center"/>
              <w:rPr>
                <w:lang w:eastAsia="it-IT"/>
              </w:rPr>
            </w:pPr>
            <w:r w:rsidRPr="004611D4">
              <w:rPr>
                <w:b/>
                <w:bCs/>
                <w:lang w:eastAsia="it-IT"/>
              </w:rPr>
              <w:t>.24</w:t>
            </w:r>
            <w:r w:rsidRPr="004611D4">
              <w:rPr>
                <w:vertAlign w:val="superscript"/>
                <w:lang w:eastAsia="it-IT"/>
              </w:rPr>
              <w:t>c</w:t>
            </w:r>
          </w:p>
        </w:tc>
        <w:tc>
          <w:tcPr>
            <w:tcW w:w="720" w:type="dxa"/>
            <w:shd w:val="clear" w:color="auto" w:fill="auto"/>
            <w:vAlign w:val="center"/>
          </w:tcPr>
          <w:p w14:paraId="24446CF2" w14:textId="77777777" w:rsidR="00FB21D4" w:rsidRPr="004611D4" w:rsidRDefault="00FB21D4" w:rsidP="00FB21D4">
            <w:pPr>
              <w:ind w:firstLine="6"/>
              <w:jc w:val="center"/>
              <w:rPr>
                <w:b/>
                <w:bCs/>
                <w:lang w:eastAsia="it-IT"/>
              </w:rPr>
            </w:pPr>
            <w:r w:rsidRPr="004611D4">
              <w:rPr>
                <w:b/>
                <w:bCs/>
                <w:lang w:eastAsia="it-IT"/>
              </w:rPr>
              <w:t>.42</w:t>
            </w:r>
            <w:r w:rsidRPr="004611D4">
              <w:rPr>
                <w:vertAlign w:val="superscript"/>
                <w:lang w:eastAsia="it-IT"/>
              </w:rPr>
              <w:t>c</w:t>
            </w:r>
          </w:p>
        </w:tc>
        <w:tc>
          <w:tcPr>
            <w:tcW w:w="720" w:type="dxa"/>
            <w:shd w:val="clear" w:color="auto" w:fill="auto"/>
            <w:vAlign w:val="center"/>
          </w:tcPr>
          <w:p w14:paraId="70144E96" w14:textId="77777777" w:rsidR="00FB21D4" w:rsidRPr="004611D4" w:rsidRDefault="00FB21D4" w:rsidP="00FB21D4">
            <w:pPr>
              <w:ind w:firstLine="6"/>
              <w:jc w:val="center"/>
              <w:rPr>
                <w:lang w:eastAsia="it-IT"/>
              </w:rPr>
            </w:pPr>
            <w:r w:rsidRPr="004611D4">
              <w:rPr>
                <w:b/>
                <w:bCs/>
                <w:lang w:eastAsia="it-IT"/>
              </w:rPr>
              <w:t>.96</w:t>
            </w:r>
            <w:r w:rsidRPr="004611D4">
              <w:rPr>
                <w:vertAlign w:val="superscript"/>
                <w:lang w:eastAsia="it-IT"/>
              </w:rPr>
              <w:t>c</w:t>
            </w:r>
          </w:p>
        </w:tc>
        <w:tc>
          <w:tcPr>
            <w:tcW w:w="1022" w:type="dxa"/>
            <w:shd w:val="clear" w:color="auto" w:fill="auto"/>
            <w:vAlign w:val="center"/>
          </w:tcPr>
          <w:p w14:paraId="5617C60E" w14:textId="77777777" w:rsidR="00FB21D4" w:rsidRPr="004611D4" w:rsidRDefault="00FB21D4" w:rsidP="00FB21D4">
            <w:pPr>
              <w:ind w:firstLine="6"/>
              <w:jc w:val="center"/>
              <w:rPr>
                <w:lang w:eastAsia="it-IT"/>
              </w:rPr>
            </w:pPr>
            <w:r w:rsidRPr="004611D4">
              <w:rPr>
                <w:b/>
                <w:bCs/>
                <w:lang w:eastAsia="it-IT"/>
              </w:rPr>
              <w:t>.45</w:t>
            </w:r>
            <w:r w:rsidRPr="004611D4">
              <w:rPr>
                <w:vertAlign w:val="superscript"/>
                <w:lang w:eastAsia="it-IT"/>
              </w:rPr>
              <w:t>b</w:t>
            </w:r>
          </w:p>
        </w:tc>
        <w:tc>
          <w:tcPr>
            <w:tcW w:w="1022" w:type="dxa"/>
            <w:shd w:val="clear" w:color="auto" w:fill="auto"/>
            <w:vAlign w:val="center"/>
          </w:tcPr>
          <w:p w14:paraId="6915E0C6" w14:textId="77777777" w:rsidR="00FB21D4" w:rsidRPr="004611D4" w:rsidRDefault="00FB21D4" w:rsidP="00FB21D4">
            <w:pPr>
              <w:ind w:firstLine="6"/>
              <w:jc w:val="center"/>
              <w:rPr>
                <w:lang w:eastAsia="it-IT"/>
              </w:rPr>
            </w:pPr>
            <w:r w:rsidRPr="004611D4">
              <w:rPr>
                <w:lang w:eastAsia="it-IT"/>
              </w:rPr>
              <w:t>-</w:t>
            </w:r>
          </w:p>
        </w:tc>
        <w:tc>
          <w:tcPr>
            <w:tcW w:w="723" w:type="dxa"/>
            <w:shd w:val="clear" w:color="auto" w:fill="auto"/>
          </w:tcPr>
          <w:p w14:paraId="075CF608" w14:textId="77777777" w:rsidR="00FB21D4" w:rsidRPr="004611D4" w:rsidRDefault="00FB21D4" w:rsidP="00FB21D4">
            <w:pPr>
              <w:ind w:firstLine="6"/>
              <w:jc w:val="center"/>
              <w:rPr>
                <w:lang w:eastAsia="it-IT"/>
              </w:rPr>
            </w:pPr>
          </w:p>
        </w:tc>
        <w:tc>
          <w:tcPr>
            <w:tcW w:w="723" w:type="dxa"/>
            <w:shd w:val="clear" w:color="auto" w:fill="auto"/>
          </w:tcPr>
          <w:p w14:paraId="14574C2D" w14:textId="77777777" w:rsidR="00FB21D4" w:rsidRPr="004611D4" w:rsidRDefault="00FB21D4" w:rsidP="00FB21D4">
            <w:pPr>
              <w:ind w:firstLine="6"/>
              <w:jc w:val="center"/>
              <w:rPr>
                <w:lang w:eastAsia="it-IT"/>
              </w:rPr>
            </w:pPr>
          </w:p>
        </w:tc>
      </w:tr>
      <w:tr w:rsidR="004611D4" w:rsidRPr="004611D4" w14:paraId="07EB271D" w14:textId="77777777" w:rsidTr="00CF55F2">
        <w:trPr>
          <w:gridAfter w:val="1"/>
          <w:wAfter w:w="9" w:type="dxa"/>
          <w:trHeight w:val="360"/>
        </w:trPr>
        <w:tc>
          <w:tcPr>
            <w:tcW w:w="2434" w:type="dxa"/>
            <w:shd w:val="clear" w:color="auto" w:fill="auto"/>
            <w:vAlign w:val="center"/>
          </w:tcPr>
          <w:p w14:paraId="778E9C72" w14:textId="77777777" w:rsidR="00FB21D4" w:rsidRPr="004611D4" w:rsidRDefault="00FB21D4" w:rsidP="00FB21D4">
            <w:pPr>
              <w:rPr>
                <w:lang w:eastAsia="it-IT"/>
              </w:rPr>
            </w:pPr>
            <w:bookmarkStart w:id="21" w:name="_Hlk34165970"/>
            <w:r w:rsidRPr="004611D4">
              <w:rPr>
                <w:lang w:eastAsia="it-IT"/>
              </w:rPr>
              <w:t>13. T1 Illicit Drug</w:t>
            </w:r>
          </w:p>
        </w:tc>
        <w:tc>
          <w:tcPr>
            <w:tcW w:w="1008" w:type="dxa"/>
            <w:shd w:val="clear" w:color="auto" w:fill="auto"/>
            <w:vAlign w:val="center"/>
          </w:tcPr>
          <w:p w14:paraId="3514B6AE" w14:textId="77777777" w:rsidR="00FB21D4" w:rsidRPr="004611D4" w:rsidRDefault="00FB21D4" w:rsidP="00FB21D4">
            <w:pPr>
              <w:ind w:firstLine="6"/>
              <w:jc w:val="center"/>
              <w:rPr>
                <w:b/>
                <w:bCs/>
                <w:vertAlign w:val="superscript"/>
                <w:lang w:eastAsia="it-IT"/>
              </w:rPr>
            </w:pPr>
            <w:bookmarkStart w:id="22" w:name="OLE_LINK48"/>
            <w:bookmarkStart w:id="23" w:name="OLE_LINK51"/>
            <w:r w:rsidRPr="004611D4">
              <w:rPr>
                <w:b/>
                <w:bCs/>
                <w:lang w:eastAsia="it-IT"/>
              </w:rPr>
              <w:t>.22</w:t>
            </w:r>
            <w:bookmarkEnd w:id="22"/>
            <w:bookmarkEnd w:id="23"/>
            <w:r w:rsidRPr="004611D4">
              <w:rPr>
                <w:vertAlign w:val="superscript"/>
                <w:lang w:eastAsia="it-IT"/>
              </w:rPr>
              <w:t>d</w:t>
            </w:r>
          </w:p>
        </w:tc>
        <w:tc>
          <w:tcPr>
            <w:tcW w:w="1008" w:type="dxa"/>
            <w:shd w:val="clear" w:color="auto" w:fill="auto"/>
            <w:vAlign w:val="center"/>
          </w:tcPr>
          <w:p w14:paraId="76B0EF06" w14:textId="77777777" w:rsidR="00FB21D4" w:rsidRPr="004611D4" w:rsidRDefault="00FB21D4" w:rsidP="00FB21D4">
            <w:pPr>
              <w:ind w:firstLine="6"/>
              <w:jc w:val="center"/>
              <w:rPr>
                <w:b/>
                <w:bCs/>
                <w:lang w:eastAsia="it-IT"/>
              </w:rPr>
            </w:pPr>
            <w:r w:rsidRPr="004611D4">
              <w:rPr>
                <w:b/>
                <w:bCs/>
                <w:lang w:eastAsia="it-IT"/>
              </w:rPr>
              <w:t>.21</w:t>
            </w:r>
            <w:r w:rsidRPr="004611D4">
              <w:rPr>
                <w:vertAlign w:val="superscript"/>
                <w:lang w:eastAsia="it-IT"/>
              </w:rPr>
              <w:t>d</w:t>
            </w:r>
          </w:p>
        </w:tc>
        <w:tc>
          <w:tcPr>
            <w:tcW w:w="1008" w:type="dxa"/>
            <w:shd w:val="clear" w:color="auto" w:fill="auto"/>
            <w:vAlign w:val="center"/>
          </w:tcPr>
          <w:p w14:paraId="7CCEB3C2" w14:textId="77777777" w:rsidR="00FB21D4" w:rsidRPr="004611D4" w:rsidRDefault="00FB21D4" w:rsidP="00FB21D4">
            <w:pPr>
              <w:ind w:firstLine="6"/>
              <w:jc w:val="center"/>
              <w:rPr>
                <w:lang w:eastAsia="it-IT"/>
              </w:rPr>
            </w:pPr>
            <w:r w:rsidRPr="004611D4">
              <w:rPr>
                <w:lang w:eastAsia="it-IT"/>
              </w:rPr>
              <w:t>.13</w:t>
            </w:r>
            <w:r w:rsidRPr="004611D4">
              <w:rPr>
                <w:vertAlign w:val="superscript"/>
                <w:lang w:eastAsia="it-IT"/>
              </w:rPr>
              <w:t>d</w:t>
            </w:r>
          </w:p>
        </w:tc>
        <w:tc>
          <w:tcPr>
            <w:tcW w:w="1008" w:type="dxa"/>
            <w:shd w:val="clear" w:color="auto" w:fill="auto"/>
            <w:vAlign w:val="center"/>
          </w:tcPr>
          <w:p w14:paraId="20D31FFA" w14:textId="77777777" w:rsidR="00FB21D4" w:rsidRPr="004611D4" w:rsidRDefault="00FB21D4" w:rsidP="00FB21D4">
            <w:pPr>
              <w:ind w:firstLine="6"/>
              <w:jc w:val="center"/>
              <w:rPr>
                <w:lang w:eastAsia="it-IT"/>
              </w:rPr>
            </w:pPr>
            <w:r w:rsidRPr="004611D4">
              <w:rPr>
                <w:lang w:eastAsia="it-IT"/>
              </w:rPr>
              <w:t>.11</w:t>
            </w:r>
            <w:r w:rsidRPr="004611D4">
              <w:rPr>
                <w:vertAlign w:val="superscript"/>
                <w:lang w:eastAsia="it-IT"/>
              </w:rPr>
              <w:t>d</w:t>
            </w:r>
          </w:p>
        </w:tc>
        <w:tc>
          <w:tcPr>
            <w:tcW w:w="720" w:type="dxa"/>
            <w:shd w:val="clear" w:color="auto" w:fill="auto"/>
            <w:noWrap/>
            <w:vAlign w:val="center"/>
          </w:tcPr>
          <w:p w14:paraId="5E7E6F18" w14:textId="77777777" w:rsidR="00FB21D4" w:rsidRPr="004611D4" w:rsidRDefault="00FB21D4" w:rsidP="00FB21D4">
            <w:pPr>
              <w:ind w:firstLine="6"/>
              <w:jc w:val="center"/>
              <w:rPr>
                <w:lang w:eastAsia="it-IT"/>
              </w:rPr>
            </w:pPr>
            <w:r w:rsidRPr="004611D4">
              <w:rPr>
                <w:b/>
                <w:lang w:eastAsia="it-IT"/>
              </w:rPr>
              <w:t>.24</w:t>
            </w:r>
            <w:r w:rsidRPr="004611D4">
              <w:rPr>
                <w:vertAlign w:val="superscript"/>
                <w:lang w:eastAsia="it-IT"/>
              </w:rPr>
              <w:t>d</w:t>
            </w:r>
          </w:p>
        </w:tc>
        <w:tc>
          <w:tcPr>
            <w:tcW w:w="720" w:type="dxa"/>
            <w:shd w:val="clear" w:color="auto" w:fill="auto"/>
            <w:noWrap/>
            <w:vAlign w:val="center"/>
          </w:tcPr>
          <w:p w14:paraId="3378CB2E"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d</w:t>
            </w:r>
          </w:p>
        </w:tc>
        <w:tc>
          <w:tcPr>
            <w:tcW w:w="720" w:type="dxa"/>
            <w:shd w:val="clear" w:color="auto" w:fill="auto"/>
            <w:noWrap/>
            <w:vAlign w:val="center"/>
          </w:tcPr>
          <w:p w14:paraId="3C1766EC" w14:textId="77777777" w:rsidR="00FB21D4" w:rsidRPr="004611D4" w:rsidRDefault="00FB21D4" w:rsidP="00FB21D4">
            <w:pPr>
              <w:ind w:firstLine="6"/>
              <w:jc w:val="center"/>
              <w:rPr>
                <w:lang w:eastAsia="it-IT"/>
              </w:rPr>
            </w:pPr>
            <w:r w:rsidRPr="004611D4">
              <w:rPr>
                <w:lang w:eastAsia="it-IT"/>
              </w:rPr>
              <w:t>.06</w:t>
            </w:r>
            <w:r w:rsidRPr="004611D4">
              <w:rPr>
                <w:vertAlign w:val="superscript"/>
                <w:lang w:eastAsia="it-IT"/>
              </w:rPr>
              <w:t>d</w:t>
            </w:r>
          </w:p>
        </w:tc>
        <w:tc>
          <w:tcPr>
            <w:tcW w:w="720" w:type="dxa"/>
            <w:shd w:val="clear" w:color="auto" w:fill="auto"/>
            <w:noWrap/>
            <w:vAlign w:val="center"/>
          </w:tcPr>
          <w:p w14:paraId="68D442F3" w14:textId="77777777" w:rsidR="00FB21D4" w:rsidRPr="004611D4" w:rsidRDefault="00FB21D4" w:rsidP="00FB21D4">
            <w:pPr>
              <w:ind w:firstLine="6"/>
              <w:jc w:val="center"/>
              <w:rPr>
                <w:lang w:eastAsia="it-IT"/>
              </w:rPr>
            </w:pPr>
            <w:r w:rsidRPr="004611D4">
              <w:rPr>
                <w:lang w:eastAsia="it-IT"/>
              </w:rPr>
              <w:t>.06</w:t>
            </w:r>
            <w:r w:rsidRPr="004611D4">
              <w:rPr>
                <w:vertAlign w:val="superscript"/>
                <w:lang w:eastAsia="it-IT"/>
              </w:rPr>
              <w:t>d</w:t>
            </w:r>
          </w:p>
        </w:tc>
        <w:tc>
          <w:tcPr>
            <w:tcW w:w="720" w:type="dxa"/>
            <w:shd w:val="clear" w:color="auto" w:fill="auto"/>
            <w:vAlign w:val="center"/>
          </w:tcPr>
          <w:p w14:paraId="32194E9A" w14:textId="77777777" w:rsidR="00FB21D4" w:rsidRPr="004611D4" w:rsidRDefault="00FB21D4" w:rsidP="00FB21D4">
            <w:pPr>
              <w:ind w:firstLine="6"/>
              <w:jc w:val="center"/>
              <w:rPr>
                <w:lang w:eastAsia="it-IT"/>
              </w:rPr>
            </w:pPr>
            <w:r w:rsidRPr="004611D4">
              <w:rPr>
                <w:b/>
                <w:bCs/>
                <w:lang w:eastAsia="it-IT"/>
              </w:rPr>
              <w:t>.34</w:t>
            </w:r>
            <w:r w:rsidRPr="004611D4">
              <w:rPr>
                <w:vertAlign w:val="superscript"/>
                <w:lang w:eastAsia="it-IT"/>
              </w:rPr>
              <w:t>d</w:t>
            </w:r>
          </w:p>
        </w:tc>
        <w:tc>
          <w:tcPr>
            <w:tcW w:w="720" w:type="dxa"/>
            <w:shd w:val="clear" w:color="auto" w:fill="auto"/>
            <w:vAlign w:val="center"/>
          </w:tcPr>
          <w:p w14:paraId="0FE93A1F" w14:textId="77777777" w:rsidR="00FB21D4" w:rsidRPr="004611D4" w:rsidRDefault="00FB21D4" w:rsidP="00FB21D4">
            <w:pPr>
              <w:ind w:firstLine="6"/>
              <w:jc w:val="center"/>
              <w:rPr>
                <w:lang w:eastAsia="it-IT"/>
              </w:rPr>
            </w:pPr>
            <w:r w:rsidRPr="004611D4">
              <w:rPr>
                <w:b/>
                <w:bCs/>
                <w:lang w:eastAsia="it-IT"/>
              </w:rPr>
              <w:t>.19</w:t>
            </w:r>
            <w:r w:rsidRPr="004611D4">
              <w:rPr>
                <w:vertAlign w:val="superscript"/>
                <w:lang w:eastAsia="it-IT"/>
              </w:rPr>
              <w:t>d</w:t>
            </w:r>
          </w:p>
        </w:tc>
        <w:tc>
          <w:tcPr>
            <w:tcW w:w="1022" w:type="dxa"/>
            <w:shd w:val="clear" w:color="auto" w:fill="auto"/>
            <w:vAlign w:val="center"/>
          </w:tcPr>
          <w:p w14:paraId="01677861" w14:textId="77777777" w:rsidR="00FB21D4" w:rsidRPr="004611D4" w:rsidRDefault="00FB21D4" w:rsidP="00FB21D4">
            <w:pPr>
              <w:ind w:firstLine="6"/>
              <w:jc w:val="center"/>
              <w:rPr>
                <w:lang w:eastAsia="it-IT"/>
              </w:rPr>
            </w:pPr>
            <w:r w:rsidRPr="004611D4">
              <w:rPr>
                <w:b/>
                <w:bCs/>
                <w:lang w:eastAsia="it-IT"/>
              </w:rPr>
              <w:t>.37</w:t>
            </w:r>
            <w:r w:rsidRPr="004611D4">
              <w:rPr>
                <w:vertAlign w:val="superscript"/>
                <w:lang w:eastAsia="it-IT"/>
              </w:rPr>
              <w:t>d</w:t>
            </w:r>
          </w:p>
        </w:tc>
        <w:tc>
          <w:tcPr>
            <w:tcW w:w="1022" w:type="dxa"/>
            <w:shd w:val="clear" w:color="auto" w:fill="auto"/>
            <w:vAlign w:val="center"/>
          </w:tcPr>
          <w:p w14:paraId="7981CECB" w14:textId="77777777" w:rsidR="00FB21D4" w:rsidRPr="004611D4" w:rsidRDefault="00FB21D4" w:rsidP="00FB21D4">
            <w:pPr>
              <w:ind w:firstLine="6"/>
              <w:jc w:val="center"/>
              <w:rPr>
                <w:lang w:eastAsia="it-IT"/>
              </w:rPr>
            </w:pPr>
            <w:r w:rsidRPr="004611D4">
              <w:rPr>
                <w:b/>
                <w:bCs/>
                <w:lang w:eastAsia="it-IT"/>
              </w:rPr>
              <w:t>.22</w:t>
            </w:r>
            <w:r w:rsidRPr="004611D4">
              <w:rPr>
                <w:vertAlign w:val="superscript"/>
                <w:lang w:eastAsia="it-IT"/>
              </w:rPr>
              <w:t>d</w:t>
            </w:r>
          </w:p>
        </w:tc>
        <w:tc>
          <w:tcPr>
            <w:tcW w:w="723" w:type="dxa"/>
            <w:shd w:val="clear" w:color="auto" w:fill="auto"/>
            <w:vAlign w:val="center"/>
          </w:tcPr>
          <w:p w14:paraId="03E72C60" w14:textId="77777777" w:rsidR="00FB21D4" w:rsidRPr="004611D4" w:rsidRDefault="00FB21D4" w:rsidP="00FB21D4">
            <w:pPr>
              <w:ind w:firstLine="6"/>
              <w:jc w:val="center"/>
              <w:rPr>
                <w:lang w:eastAsia="it-IT"/>
              </w:rPr>
            </w:pPr>
            <w:r w:rsidRPr="004611D4">
              <w:rPr>
                <w:lang w:eastAsia="it-IT"/>
              </w:rPr>
              <w:t>-</w:t>
            </w:r>
          </w:p>
        </w:tc>
        <w:tc>
          <w:tcPr>
            <w:tcW w:w="723" w:type="dxa"/>
            <w:shd w:val="clear" w:color="auto" w:fill="auto"/>
            <w:vAlign w:val="center"/>
          </w:tcPr>
          <w:p w14:paraId="569E09CF" w14:textId="77777777" w:rsidR="00FB21D4" w:rsidRPr="004611D4" w:rsidRDefault="00FB21D4" w:rsidP="00FB21D4">
            <w:pPr>
              <w:ind w:firstLine="6"/>
              <w:jc w:val="center"/>
              <w:rPr>
                <w:lang w:eastAsia="it-IT"/>
              </w:rPr>
            </w:pPr>
          </w:p>
        </w:tc>
      </w:tr>
      <w:bookmarkEnd w:id="21"/>
      <w:tr w:rsidR="004611D4" w:rsidRPr="004611D4" w14:paraId="65633099" w14:textId="77777777" w:rsidTr="00CF55F2">
        <w:trPr>
          <w:gridAfter w:val="1"/>
          <w:wAfter w:w="9" w:type="dxa"/>
          <w:trHeight w:val="360"/>
        </w:trPr>
        <w:tc>
          <w:tcPr>
            <w:tcW w:w="2434" w:type="dxa"/>
            <w:shd w:val="clear" w:color="auto" w:fill="auto"/>
            <w:vAlign w:val="center"/>
          </w:tcPr>
          <w:p w14:paraId="63484000" w14:textId="77777777" w:rsidR="00FB21D4" w:rsidRPr="004611D4" w:rsidRDefault="00FB21D4" w:rsidP="00FB21D4">
            <w:pPr>
              <w:rPr>
                <w:lang w:eastAsia="it-IT"/>
              </w:rPr>
            </w:pPr>
            <w:r w:rsidRPr="004611D4">
              <w:rPr>
                <w:lang w:eastAsia="it-IT"/>
              </w:rPr>
              <w:t>14. T2 Illicit Drug</w:t>
            </w:r>
          </w:p>
        </w:tc>
        <w:tc>
          <w:tcPr>
            <w:tcW w:w="1008" w:type="dxa"/>
            <w:shd w:val="clear" w:color="auto" w:fill="auto"/>
            <w:vAlign w:val="center"/>
          </w:tcPr>
          <w:p w14:paraId="65CC303E" w14:textId="77777777" w:rsidR="00FB21D4" w:rsidRPr="004611D4" w:rsidRDefault="00FB21D4" w:rsidP="00FB21D4">
            <w:pPr>
              <w:ind w:firstLine="6"/>
              <w:jc w:val="center"/>
              <w:rPr>
                <w:b/>
                <w:bCs/>
                <w:lang w:eastAsia="it-IT"/>
              </w:rPr>
            </w:pPr>
            <w:r w:rsidRPr="004611D4">
              <w:rPr>
                <w:b/>
                <w:bCs/>
                <w:lang w:eastAsia="it-IT"/>
              </w:rPr>
              <w:t>.25</w:t>
            </w:r>
            <w:r w:rsidRPr="004611D4">
              <w:rPr>
                <w:vertAlign w:val="superscript"/>
                <w:lang w:eastAsia="it-IT"/>
              </w:rPr>
              <w:t>d</w:t>
            </w:r>
          </w:p>
        </w:tc>
        <w:tc>
          <w:tcPr>
            <w:tcW w:w="1008" w:type="dxa"/>
            <w:shd w:val="clear" w:color="auto" w:fill="auto"/>
            <w:vAlign w:val="center"/>
          </w:tcPr>
          <w:p w14:paraId="6563981B" w14:textId="77777777" w:rsidR="00FB21D4" w:rsidRPr="004611D4" w:rsidRDefault="00FB21D4" w:rsidP="00FB21D4">
            <w:pPr>
              <w:ind w:firstLine="6"/>
              <w:jc w:val="center"/>
              <w:rPr>
                <w:b/>
                <w:bCs/>
                <w:lang w:eastAsia="it-IT"/>
              </w:rPr>
            </w:pPr>
            <w:r w:rsidRPr="004611D4">
              <w:rPr>
                <w:b/>
                <w:bCs/>
                <w:lang w:eastAsia="it-IT"/>
              </w:rPr>
              <w:t>.33</w:t>
            </w:r>
            <w:r w:rsidRPr="004611D4">
              <w:rPr>
                <w:vertAlign w:val="superscript"/>
                <w:lang w:eastAsia="it-IT"/>
              </w:rPr>
              <w:t>d</w:t>
            </w:r>
          </w:p>
        </w:tc>
        <w:tc>
          <w:tcPr>
            <w:tcW w:w="1008" w:type="dxa"/>
            <w:shd w:val="clear" w:color="auto" w:fill="auto"/>
            <w:vAlign w:val="center"/>
          </w:tcPr>
          <w:p w14:paraId="38CF3EFE" w14:textId="77777777" w:rsidR="00FB21D4" w:rsidRPr="004611D4" w:rsidRDefault="00FB21D4" w:rsidP="00FB21D4">
            <w:pPr>
              <w:ind w:firstLine="6"/>
              <w:jc w:val="center"/>
              <w:rPr>
                <w:lang w:eastAsia="it-IT"/>
              </w:rPr>
            </w:pPr>
            <w:r w:rsidRPr="004611D4">
              <w:rPr>
                <w:lang w:eastAsia="it-IT"/>
              </w:rPr>
              <w:t>.15</w:t>
            </w:r>
            <w:r w:rsidRPr="004611D4">
              <w:rPr>
                <w:vertAlign w:val="superscript"/>
                <w:lang w:eastAsia="it-IT"/>
              </w:rPr>
              <w:t>d</w:t>
            </w:r>
          </w:p>
        </w:tc>
        <w:tc>
          <w:tcPr>
            <w:tcW w:w="1008" w:type="dxa"/>
            <w:shd w:val="clear" w:color="auto" w:fill="auto"/>
            <w:vAlign w:val="center"/>
          </w:tcPr>
          <w:p w14:paraId="01B0616E"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d</w:t>
            </w:r>
          </w:p>
        </w:tc>
        <w:tc>
          <w:tcPr>
            <w:tcW w:w="720" w:type="dxa"/>
            <w:shd w:val="clear" w:color="auto" w:fill="auto"/>
            <w:noWrap/>
            <w:vAlign w:val="center"/>
          </w:tcPr>
          <w:p w14:paraId="6696738E" w14:textId="77777777" w:rsidR="00FB21D4" w:rsidRPr="004611D4" w:rsidRDefault="00FB21D4" w:rsidP="00FB21D4">
            <w:pPr>
              <w:ind w:firstLine="6"/>
              <w:jc w:val="center"/>
              <w:rPr>
                <w:lang w:eastAsia="it-IT"/>
              </w:rPr>
            </w:pPr>
            <w:r w:rsidRPr="004611D4">
              <w:rPr>
                <w:b/>
                <w:bCs/>
                <w:lang w:eastAsia="it-IT"/>
              </w:rPr>
              <w:t>.26</w:t>
            </w:r>
            <w:r w:rsidRPr="004611D4">
              <w:rPr>
                <w:vertAlign w:val="superscript"/>
                <w:lang w:eastAsia="it-IT"/>
              </w:rPr>
              <w:t>d</w:t>
            </w:r>
          </w:p>
        </w:tc>
        <w:tc>
          <w:tcPr>
            <w:tcW w:w="720" w:type="dxa"/>
            <w:shd w:val="clear" w:color="auto" w:fill="auto"/>
            <w:noWrap/>
            <w:vAlign w:val="center"/>
          </w:tcPr>
          <w:p w14:paraId="34DBEA14" w14:textId="77777777" w:rsidR="00FB21D4" w:rsidRPr="004611D4" w:rsidRDefault="00FB21D4" w:rsidP="00FB21D4">
            <w:pPr>
              <w:ind w:firstLine="6"/>
              <w:jc w:val="center"/>
              <w:rPr>
                <w:lang w:eastAsia="it-IT"/>
              </w:rPr>
            </w:pPr>
            <w:r w:rsidRPr="004611D4">
              <w:rPr>
                <w:b/>
                <w:bCs/>
                <w:lang w:eastAsia="it-IT"/>
              </w:rPr>
              <w:t>.32</w:t>
            </w:r>
            <w:r w:rsidRPr="004611D4">
              <w:rPr>
                <w:vertAlign w:val="superscript"/>
                <w:lang w:eastAsia="it-IT"/>
              </w:rPr>
              <w:t>d</w:t>
            </w:r>
          </w:p>
        </w:tc>
        <w:tc>
          <w:tcPr>
            <w:tcW w:w="720" w:type="dxa"/>
            <w:shd w:val="clear" w:color="auto" w:fill="auto"/>
            <w:noWrap/>
            <w:vAlign w:val="center"/>
          </w:tcPr>
          <w:p w14:paraId="73AFC36D" w14:textId="77777777" w:rsidR="00FB21D4" w:rsidRPr="004611D4" w:rsidRDefault="00FB21D4" w:rsidP="00FB21D4">
            <w:pPr>
              <w:ind w:firstLine="6"/>
              <w:jc w:val="center"/>
              <w:rPr>
                <w:lang w:eastAsia="it-IT"/>
              </w:rPr>
            </w:pPr>
            <w:r w:rsidRPr="004611D4">
              <w:rPr>
                <w:lang w:eastAsia="it-IT"/>
              </w:rPr>
              <w:t>.08</w:t>
            </w:r>
            <w:r w:rsidRPr="004611D4">
              <w:rPr>
                <w:vertAlign w:val="superscript"/>
                <w:lang w:eastAsia="it-IT"/>
              </w:rPr>
              <w:t>d</w:t>
            </w:r>
          </w:p>
        </w:tc>
        <w:tc>
          <w:tcPr>
            <w:tcW w:w="720" w:type="dxa"/>
            <w:shd w:val="clear" w:color="auto" w:fill="auto"/>
            <w:noWrap/>
            <w:vAlign w:val="center"/>
          </w:tcPr>
          <w:p w14:paraId="38E91559" w14:textId="77777777" w:rsidR="00FB21D4" w:rsidRPr="004611D4" w:rsidRDefault="00FB21D4" w:rsidP="00FB21D4">
            <w:pPr>
              <w:ind w:firstLine="6"/>
              <w:jc w:val="center"/>
              <w:rPr>
                <w:lang w:eastAsia="it-IT"/>
              </w:rPr>
            </w:pPr>
            <w:r w:rsidRPr="004611D4">
              <w:rPr>
                <w:lang w:eastAsia="it-IT"/>
              </w:rPr>
              <w:t>.16</w:t>
            </w:r>
            <w:r w:rsidRPr="004611D4">
              <w:rPr>
                <w:vertAlign w:val="superscript"/>
                <w:lang w:eastAsia="it-IT"/>
              </w:rPr>
              <w:t>d</w:t>
            </w:r>
          </w:p>
        </w:tc>
        <w:tc>
          <w:tcPr>
            <w:tcW w:w="720" w:type="dxa"/>
            <w:shd w:val="clear" w:color="auto" w:fill="auto"/>
            <w:vAlign w:val="center"/>
          </w:tcPr>
          <w:p w14:paraId="60E4CEC6" w14:textId="77777777" w:rsidR="00FB21D4" w:rsidRPr="004611D4" w:rsidRDefault="00FB21D4" w:rsidP="00FB21D4">
            <w:pPr>
              <w:ind w:firstLine="6"/>
              <w:jc w:val="center"/>
              <w:rPr>
                <w:lang w:eastAsia="it-IT"/>
              </w:rPr>
            </w:pPr>
            <w:r w:rsidRPr="004611D4">
              <w:rPr>
                <w:b/>
                <w:bCs/>
                <w:lang w:eastAsia="it-IT"/>
              </w:rPr>
              <w:t>.30</w:t>
            </w:r>
            <w:r w:rsidRPr="004611D4">
              <w:rPr>
                <w:vertAlign w:val="superscript"/>
                <w:lang w:eastAsia="it-IT"/>
              </w:rPr>
              <w:t>d</w:t>
            </w:r>
          </w:p>
        </w:tc>
        <w:tc>
          <w:tcPr>
            <w:tcW w:w="720" w:type="dxa"/>
            <w:shd w:val="clear" w:color="auto" w:fill="auto"/>
            <w:vAlign w:val="center"/>
          </w:tcPr>
          <w:p w14:paraId="44DD5ACB" w14:textId="77777777" w:rsidR="00FB21D4" w:rsidRPr="004611D4" w:rsidRDefault="00FB21D4" w:rsidP="00FB21D4">
            <w:pPr>
              <w:ind w:firstLine="6"/>
              <w:jc w:val="center"/>
              <w:rPr>
                <w:lang w:eastAsia="it-IT"/>
              </w:rPr>
            </w:pPr>
            <w:r w:rsidRPr="004611D4">
              <w:rPr>
                <w:b/>
                <w:bCs/>
                <w:lang w:eastAsia="it-IT"/>
              </w:rPr>
              <w:t>.46</w:t>
            </w:r>
            <w:r w:rsidRPr="004611D4">
              <w:rPr>
                <w:vertAlign w:val="superscript"/>
                <w:lang w:eastAsia="it-IT"/>
              </w:rPr>
              <w:t>d</w:t>
            </w:r>
          </w:p>
        </w:tc>
        <w:tc>
          <w:tcPr>
            <w:tcW w:w="1022" w:type="dxa"/>
            <w:shd w:val="clear" w:color="auto" w:fill="auto"/>
            <w:vAlign w:val="center"/>
          </w:tcPr>
          <w:p w14:paraId="7AF107EB" w14:textId="77777777" w:rsidR="00FB21D4" w:rsidRPr="004611D4" w:rsidRDefault="00FB21D4" w:rsidP="00FB21D4">
            <w:pPr>
              <w:ind w:firstLine="6"/>
              <w:jc w:val="center"/>
              <w:rPr>
                <w:lang w:eastAsia="it-IT"/>
              </w:rPr>
            </w:pPr>
            <w:r w:rsidRPr="004611D4">
              <w:rPr>
                <w:b/>
                <w:bCs/>
                <w:lang w:eastAsia="it-IT"/>
              </w:rPr>
              <w:t>.36</w:t>
            </w:r>
            <w:r w:rsidRPr="004611D4">
              <w:rPr>
                <w:vertAlign w:val="superscript"/>
                <w:lang w:eastAsia="it-IT"/>
              </w:rPr>
              <w:t>d</w:t>
            </w:r>
          </w:p>
        </w:tc>
        <w:tc>
          <w:tcPr>
            <w:tcW w:w="1022" w:type="dxa"/>
            <w:shd w:val="clear" w:color="auto" w:fill="auto"/>
            <w:vAlign w:val="center"/>
          </w:tcPr>
          <w:p w14:paraId="0BC9AAF9" w14:textId="77777777" w:rsidR="00FB21D4" w:rsidRPr="004611D4" w:rsidRDefault="00FB21D4" w:rsidP="00FB21D4">
            <w:pPr>
              <w:ind w:firstLine="6"/>
              <w:jc w:val="center"/>
              <w:rPr>
                <w:lang w:eastAsia="it-IT"/>
              </w:rPr>
            </w:pPr>
            <w:r w:rsidRPr="004611D4">
              <w:rPr>
                <w:b/>
                <w:bCs/>
                <w:lang w:eastAsia="it-IT"/>
              </w:rPr>
              <w:t>.48</w:t>
            </w:r>
            <w:r w:rsidRPr="004611D4">
              <w:rPr>
                <w:vertAlign w:val="superscript"/>
                <w:lang w:eastAsia="it-IT"/>
              </w:rPr>
              <w:t>d</w:t>
            </w:r>
          </w:p>
        </w:tc>
        <w:tc>
          <w:tcPr>
            <w:tcW w:w="723" w:type="dxa"/>
            <w:shd w:val="clear" w:color="auto" w:fill="auto"/>
            <w:vAlign w:val="center"/>
          </w:tcPr>
          <w:p w14:paraId="52B0DBD0" w14:textId="77777777" w:rsidR="00FB21D4" w:rsidRPr="004611D4" w:rsidRDefault="00FB21D4" w:rsidP="00FB21D4">
            <w:pPr>
              <w:ind w:firstLine="6"/>
              <w:jc w:val="center"/>
              <w:rPr>
                <w:lang w:eastAsia="it-IT"/>
              </w:rPr>
            </w:pPr>
            <w:bookmarkStart w:id="24" w:name="OLE_LINK67"/>
            <w:bookmarkStart w:id="25" w:name="OLE_LINK73"/>
            <w:r w:rsidRPr="004611D4">
              <w:rPr>
                <w:b/>
                <w:bCs/>
                <w:lang w:eastAsia="it-IT"/>
              </w:rPr>
              <w:t>.</w:t>
            </w:r>
            <w:bookmarkEnd w:id="24"/>
            <w:bookmarkEnd w:id="25"/>
            <w:r w:rsidRPr="004611D4">
              <w:rPr>
                <w:b/>
                <w:bCs/>
                <w:lang w:eastAsia="it-IT"/>
              </w:rPr>
              <w:t>31</w:t>
            </w:r>
            <w:r w:rsidRPr="004611D4">
              <w:rPr>
                <w:vertAlign w:val="superscript"/>
                <w:lang w:eastAsia="it-IT"/>
              </w:rPr>
              <w:t>e</w:t>
            </w:r>
          </w:p>
        </w:tc>
        <w:tc>
          <w:tcPr>
            <w:tcW w:w="723" w:type="dxa"/>
            <w:shd w:val="clear" w:color="auto" w:fill="auto"/>
            <w:vAlign w:val="center"/>
          </w:tcPr>
          <w:p w14:paraId="65ED8DBB" w14:textId="77777777" w:rsidR="00FB21D4" w:rsidRPr="004611D4" w:rsidRDefault="00FB21D4" w:rsidP="00FB21D4">
            <w:pPr>
              <w:ind w:firstLine="6"/>
              <w:jc w:val="center"/>
              <w:rPr>
                <w:lang w:eastAsia="it-IT"/>
              </w:rPr>
            </w:pPr>
            <w:r w:rsidRPr="004611D4">
              <w:rPr>
                <w:lang w:eastAsia="it-IT"/>
              </w:rPr>
              <w:t>-</w:t>
            </w:r>
          </w:p>
        </w:tc>
      </w:tr>
      <w:tr w:rsidR="004611D4" w:rsidRPr="004611D4" w14:paraId="1B061559" w14:textId="77777777" w:rsidTr="005E5528">
        <w:trPr>
          <w:gridAfter w:val="1"/>
          <w:wAfter w:w="9" w:type="dxa"/>
          <w:trHeight w:val="576"/>
        </w:trPr>
        <w:tc>
          <w:tcPr>
            <w:tcW w:w="2434" w:type="dxa"/>
            <w:tcBorders>
              <w:top w:val="single" w:sz="4" w:space="0" w:color="auto"/>
              <w:left w:val="nil"/>
              <w:bottom w:val="nil"/>
              <w:right w:val="nil"/>
            </w:tcBorders>
            <w:shd w:val="clear" w:color="auto" w:fill="auto"/>
            <w:vAlign w:val="center"/>
          </w:tcPr>
          <w:p w14:paraId="294C4C7A" w14:textId="77777777" w:rsidR="00FB21D4" w:rsidRPr="004611D4" w:rsidRDefault="00FB21D4" w:rsidP="00FB21D4">
            <w:pPr>
              <w:rPr>
                <w:lang w:eastAsia="it-IT"/>
              </w:rPr>
            </w:pPr>
            <w:r w:rsidRPr="004611D4">
              <w:rPr>
                <w:i/>
                <w:lang w:eastAsia="it-IT"/>
              </w:rPr>
              <w:t>M</w:t>
            </w:r>
            <w:r w:rsidRPr="004611D4">
              <w:rPr>
                <w:lang w:eastAsia="it-IT"/>
              </w:rPr>
              <w:t xml:space="preserve"> (% Zeros)</w:t>
            </w:r>
          </w:p>
        </w:tc>
        <w:tc>
          <w:tcPr>
            <w:tcW w:w="1008" w:type="dxa"/>
            <w:tcBorders>
              <w:top w:val="single" w:sz="4" w:space="0" w:color="auto"/>
              <w:left w:val="nil"/>
              <w:bottom w:val="nil"/>
              <w:right w:val="nil"/>
            </w:tcBorders>
            <w:shd w:val="clear" w:color="auto" w:fill="auto"/>
            <w:vAlign w:val="center"/>
          </w:tcPr>
          <w:p w14:paraId="6F1EB790" w14:textId="77777777" w:rsidR="00FB21D4" w:rsidRPr="004611D4" w:rsidRDefault="00FB21D4" w:rsidP="00FB21D4">
            <w:pPr>
              <w:jc w:val="center"/>
              <w:rPr>
                <w:vertAlign w:val="superscript"/>
                <w:lang w:eastAsia="it-IT"/>
              </w:rPr>
            </w:pPr>
            <w:r w:rsidRPr="004611D4">
              <w:rPr>
                <w:lang w:eastAsia="it-IT"/>
              </w:rPr>
              <w:t>1.28</w:t>
            </w:r>
          </w:p>
        </w:tc>
        <w:tc>
          <w:tcPr>
            <w:tcW w:w="1008" w:type="dxa"/>
            <w:tcBorders>
              <w:top w:val="single" w:sz="4" w:space="0" w:color="auto"/>
              <w:left w:val="nil"/>
              <w:bottom w:val="nil"/>
              <w:right w:val="nil"/>
            </w:tcBorders>
            <w:shd w:val="clear" w:color="auto" w:fill="auto"/>
            <w:vAlign w:val="center"/>
          </w:tcPr>
          <w:p w14:paraId="087507F3" w14:textId="77777777" w:rsidR="00FB21D4" w:rsidRPr="004611D4" w:rsidRDefault="00FB21D4" w:rsidP="00FB21D4">
            <w:pPr>
              <w:jc w:val="center"/>
              <w:rPr>
                <w:lang w:eastAsia="it-IT"/>
              </w:rPr>
            </w:pPr>
            <w:r w:rsidRPr="004611D4">
              <w:rPr>
                <w:lang w:eastAsia="it-IT"/>
              </w:rPr>
              <w:t>1.21</w:t>
            </w:r>
          </w:p>
        </w:tc>
        <w:tc>
          <w:tcPr>
            <w:tcW w:w="1008" w:type="dxa"/>
            <w:tcBorders>
              <w:top w:val="single" w:sz="4" w:space="0" w:color="auto"/>
              <w:left w:val="nil"/>
              <w:bottom w:val="nil"/>
              <w:right w:val="nil"/>
            </w:tcBorders>
            <w:shd w:val="clear" w:color="auto" w:fill="auto"/>
            <w:vAlign w:val="center"/>
          </w:tcPr>
          <w:p w14:paraId="0CBEB9D7" w14:textId="77777777" w:rsidR="00FB21D4" w:rsidRPr="004611D4" w:rsidRDefault="00FB21D4" w:rsidP="00FB21D4">
            <w:pPr>
              <w:jc w:val="center"/>
              <w:rPr>
                <w:lang w:eastAsia="it-IT"/>
              </w:rPr>
            </w:pPr>
            <w:r w:rsidRPr="004611D4">
              <w:rPr>
                <w:lang w:eastAsia="it-IT"/>
              </w:rPr>
              <w:t>.85</w:t>
            </w:r>
          </w:p>
        </w:tc>
        <w:tc>
          <w:tcPr>
            <w:tcW w:w="1008" w:type="dxa"/>
            <w:tcBorders>
              <w:top w:val="single" w:sz="4" w:space="0" w:color="auto"/>
              <w:left w:val="nil"/>
              <w:bottom w:val="nil"/>
              <w:right w:val="nil"/>
            </w:tcBorders>
            <w:shd w:val="clear" w:color="auto" w:fill="auto"/>
            <w:vAlign w:val="center"/>
          </w:tcPr>
          <w:p w14:paraId="0BEC284D" w14:textId="77777777" w:rsidR="00FB21D4" w:rsidRPr="004611D4" w:rsidRDefault="00FB21D4" w:rsidP="00FB21D4">
            <w:pPr>
              <w:jc w:val="center"/>
              <w:rPr>
                <w:lang w:eastAsia="it-IT"/>
              </w:rPr>
            </w:pPr>
            <w:r w:rsidRPr="004611D4">
              <w:rPr>
                <w:lang w:eastAsia="it-IT"/>
              </w:rPr>
              <w:t>.78</w:t>
            </w:r>
          </w:p>
        </w:tc>
        <w:tc>
          <w:tcPr>
            <w:tcW w:w="720" w:type="dxa"/>
            <w:tcBorders>
              <w:top w:val="single" w:sz="4" w:space="0" w:color="auto"/>
              <w:left w:val="nil"/>
              <w:bottom w:val="nil"/>
              <w:right w:val="nil"/>
            </w:tcBorders>
            <w:shd w:val="clear" w:color="auto" w:fill="auto"/>
            <w:noWrap/>
            <w:vAlign w:val="center"/>
          </w:tcPr>
          <w:p w14:paraId="7DD2D87A" w14:textId="77777777" w:rsidR="00FB21D4" w:rsidRPr="004611D4" w:rsidRDefault="00FB21D4" w:rsidP="00FB21D4">
            <w:pPr>
              <w:jc w:val="center"/>
              <w:rPr>
                <w:lang w:eastAsia="it-IT"/>
              </w:rPr>
            </w:pPr>
            <w:r w:rsidRPr="004611D4">
              <w:rPr>
                <w:lang w:eastAsia="it-IT"/>
              </w:rPr>
              <w:t>1.49</w:t>
            </w:r>
          </w:p>
          <w:p w14:paraId="1CC7BD9A" w14:textId="77777777" w:rsidR="00FB21D4" w:rsidRPr="004611D4" w:rsidRDefault="00FB21D4" w:rsidP="00FB21D4">
            <w:pPr>
              <w:jc w:val="center"/>
              <w:rPr>
                <w:lang w:eastAsia="it-IT"/>
              </w:rPr>
            </w:pPr>
            <w:r w:rsidRPr="004611D4">
              <w:rPr>
                <w:sz w:val="20"/>
                <w:lang w:eastAsia="it-IT"/>
              </w:rPr>
              <w:t>(38.4)</w:t>
            </w:r>
          </w:p>
        </w:tc>
        <w:tc>
          <w:tcPr>
            <w:tcW w:w="720" w:type="dxa"/>
            <w:tcBorders>
              <w:top w:val="single" w:sz="4" w:space="0" w:color="auto"/>
              <w:left w:val="nil"/>
              <w:bottom w:val="nil"/>
              <w:right w:val="nil"/>
            </w:tcBorders>
            <w:shd w:val="clear" w:color="auto" w:fill="auto"/>
            <w:noWrap/>
            <w:vAlign w:val="center"/>
          </w:tcPr>
          <w:p w14:paraId="35C18B65" w14:textId="77777777" w:rsidR="00FB21D4" w:rsidRPr="004611D4" w:rsidRDefault="00FB21D4" w:rsidP="00FB21D4">
            <w:pPr>
              <w:jc w:val="center"/>
              <w:rPr>
                <w:lang w:eastAsia="it-IT"/>
              </w:rPr>
            </w:pPr>
            <w:r w:rsidRPr="004611D4">
              <w:rPr>
                <w:lang w:eastAsia="it-IT"/>
              </w:rPr>
              <w:t xml:space="preserve">1.67 </w:t>
            </w:r>
            <w:r w:rsidRPr="004611D4">
              <w:rPr>
                <w:sz w:val="20"/>
                <w:lang w:eastAsia="it-IT"/>
              </w:rPr>
              <w:t>(36.9)</w:t>
            </w:r>
          </w:p>
        </w:tc>
        <w:tc>
          <w:tcPr>
            <w:tcW w:w="720" w:type="dxa"/>
            <w:tcBorders>
              <w:top w:val="single" w:sz="4" w:space="0" w:color="auto"/>
              <w:left w:val="nil"/>
              <w:bottom w:val="nil"/>
              <w:right w:val="nil"/>
            </w:tcBorders>
            <w:shd w:val="clear" w:color="auto" w:fill="auto"/>
            <w:noWrap/>
            <w:vAlign w:val="center"/>
          </w:tcPr>
          <w:p w14:paraId="5D0D8259" w14:textId="77777777" w:rsidR="00FB21D4" w:rsidRPr="004611D4" w:rsidRDefault="00FB21D4" w:rsidP="00FB21D4">
            <w:pPr>
              <w:jc w:val="center"/>
              <w:rPr>
                <w:lang w:eastAsia="it-IT"/>
              </w:rPr>
            </w:pPr>
            <w:r w:rsidRPr="004611D4">
              <w:rPr>
                <w:lang w:eastAsia="it-IT"/>
              </w:rPr>
              <w:t>.87</w:t>
            </w:r>
          </w:p>
          <w:p w14:paraId="6A4E764F" w14:textId="77777777" w:rsidR="00FB21D4" w:rsidRPr="004611D4" w:rsidRDefault="00FB21D4" w:rsidP="00FB21D4">
            <w:pPr>
              <w:jc w:val="center"/>
              <w:rPr>
                <w:lang w:eastAsia="it-IT"/>
              </w:rPr>
            </w:pPr>
            <w:r w:rsidRPr="004611D4">
              <w:rPr>
                <w:sz w:val="20"/>
                <w:lang w:eastAsia="it-IT"/>
              </w:rPr>
              <w:t>(59.1)</w:t>
            </w:r>
          </w:p>
        </w:tc>
        <w:tc>
          <w:tcPr>
            <w:tcW w:w="720" w:type="dxa"/>
            <w:tcBorders>
              <w:top w:val="single" w:sz="4" w:space="0" w:color="auto"/>
              <w:left w:val="nil"/>
              <w:bottom w:val="nil"/>
              <w:right w:val="nil"/>
            </w:tcBorders>
            <w:shd w:val="clear" w:color="auto" w:fill="auto"/>
            <w:noWrap/>
            <w:vAlign w:val="center"/>
          </w:tcPr>
          <w:p w14:paraId="5F1D96B4" w14:textId="77777777" w:rsidR="00FB21D4" w:rsidRPr="004611D4" w:rsidRDefault="00FB21D4" w:rsidP="00FB21D4">
            <w:pPr>
              <w:jc w:val="center"/>
              <w:rPr>
                <w:lang w:eastAsia="it-IT"/>
              </w:rPr>
            </w:pPr>
            <w:r w:rsidRPr="004611D4">
              <w:rPr>
                <w:lang w:eastAsia="it-IT"/>
              </w:rPr>
              <w:t xml:space="preserve">.74 </w:t>
            </w:r>
            <w:r w:rsidRPr="004611D4">
              <w:rPr>
                <w:sz w:val="20"/>
                <w:lang w:eastAsia="it-IT"/>
              </w:rPr>
              <w:t>(65.7)</w:t>
            </w:r>
          </w:p>
        </w:tc>
        <w:tc>
          <w:tcPr>
            <w:tcW w:w="720" w:type="dxa"/>
            <w:tcBorders>
              <w:top w:val="single" w:sz="4" w:space="0" w:color="auto"/>
              <w:left w:val="nil"/>
              <w:bottom w:val="nil"/>
              <w:right w:val="nil"/>
            </w:tcBorders>
            <w:shd w:val="clear" w:color="auto" w:fill="auto"/>
            <w:vAlign w:val="center"/>
          </w:tcPr>
          <w:p w14:paraId="0D2B67B6" w14:textId="77777777" w:rsidR="00FB21D4" w:rsidRPr="004611D4" w:rsidRDefault="00FB21D4" w:rsidP="00FB21D4">
            <w:pPr>
              <w:jc w:val="center"/>
              <w:rPr>
                <w:lang w:eastAsia="it-IT"/>
              </w:rPr>
            </w:pPr>
            <w:r w:rsidRPr="004611D4">
              <w:rPr>
                <w:lang w:eastAsia="it-IT"/>
              </w:rPr>
              <w:t xml:space="preserve">1.53 </w:t>
            </w:r>
            <w:r w:rsidRPr="004611D4">
              <w:rPr>
                <w:sz w:val="20"/>
                <w:lang w:eastAsia="it-IT"/>
              </w:rPr>
              <w:t>(47.8)</w:t>
            </w:r>
          </w:p>
        </w:tc>
        <w:tc>
          <w:tcPr>
            <w:tcW w:w="720" w:type="dxa"/>
            <w:tcBorders>
              <w:top w:val="single" w:sz="4" w:space="0" w:color="auto"/>
              <w:left w:val="nil"/>
              <w:bottom w:val="nil"/>
              <w:right w:val="nil"/>
            </w:tcBorders>
            <w:shd w:val="clear" w:color="auto" w:fill="auto"/>
            <w:vAlign w:val="center"/>
          </w:tcPr>
          <w:p w14:paraId="55366F4F" w14:textId="77777777" w:rsidR="00FB21D4" w:rsidRPr="004611D4" w:rsidRDefault="00FB21D4" w:rsidP="00FB21D4">
            <w:pPr>
              <w:jc w:val="center"/>
              <w:rPr>
                <w:lang w:eastAsia="it-IT"/>
              </w:rPr>
            </w:pPr>
            <w:r w:rsidRPr="004611D4">
              <w:rPr>
                <w:lang w:eastAsia="it-IT"/>
              </w:rPr>
              <w:t xml:space="preserve">3.97 </w:t>
            </w:r>
            <w:r w:rsidRPr="004611D4">
              <w:rPr>
                <w:sz w:val="20"/>
                <w:lang w:eastAsia="it-IT"/>
              </w:rPr>
              <w:t>(17.8)</w:t>
            </w:r>
          </w:p>
        </w:tc>
        <w:tc>
          <w:tcPr>
            <w:tcW w:w="1022" w:type="dxa"/>
            <w:tcBorders>
              <w:top w:val="single" w:sz="4" w:space="0" w:color="auto"/>
              <w:left w:val="nil"/>
              <w:bottom w:val="nil"/>
              <w:right w:val="nil"/>
            </w:tcBorders>
            <w:shd w:val="clear" w:color="auto" w:fill="auto"/>
            <w:vAlign w:val="center"/>
          </w:tcPr>
          <w:p w14:paraId="2458FA66" w14:textId="77777777" w:rsidR="00FB21D4" w:rsidRPr="004611D4" w:rsidRDefault="00FB21D4" w:rsidP="00FB21D4">
            <w:pPr>
              <w:jc w:val="center"/>
              <w:rPr>
                <w:lang w:eastAsia="it-IT"/>
              </w:rPr>
            </w:pPr>
            <w:r w:rsidRPr="004611D4">
              <w:rPr>
                <w:lang w:eastAsia="it-IT"/>
              </w:rPr>
              <w:t>-.06</w:t>
            </w:r>
          </w:p>
        </w:tc>
        <w:tc>
          <w:tcPr>
            <w:tcW w:w="1022" w:type="dxa"/>
            <w:tcBorders>
              <w:top w:val="single" w:sz="4" w:space="0" w:color="auto"/>
              <w:left w:val="nil"/>
              <w:bottom w:val="nil"/>
              <w:right w:val="nil"/>
            </w:tcBorders>
            <w:shd w:val="clear" w:color="auto" w:fill="auto"/>
            <w:vAlign w:val="center"/>
          </w:tcPr>
          <w:p w14:paraId="048AE696" w14:textId="77777777" w:rsidR="00FB21D4" w:rsidRPr="004611D4" w:rsidRDefault="00FB21D4" w:rsidP="00FB21D4">
            <w:pPr>
              <w:jc w:val="center"/>
              <w:rPr>
                <w:lang w:eastAsia="it-IT"/>
              </w:rPr>
            </w:pPr>
            <w:r w:rsidRPr="004611D4">
              <w:rPr>
                <w:lang w:eastAsia="it-IT"/>
              </w:rPr>
              <w:t>-.07</w:t>
            </w:r>
          </w:p>
        </w:tc>
        <w:tc>
          <w:tcPr>
            <w:tcW w:w="723" w:type="dxa"/>
            <w:tcBorders>
              <w:top w:val="single" w:sz="4" w:space="0" w:color="auto"/>
              <w:left w:val="nil"/>
              <w:bottom w:val="nil"/>
              <w:right w:val="nil"/>
            </w:tcBorders>
            <w:shd w:val="clear" w:color="auto" w:fill="auto"/>
            <w:vAlign w:val="center"/>
          </w:tcPr>
          <w:p w14:paraId="5FBCBF90" w14:textId="77777777" w:rsidR="00FB21D4" w:rsidRPr="004611D4" w:rsidRDefault="00FB21D4" w:rsidP="00FB21D4">
            <w:pPr>
              <w:jc w:val="center"/>
              <w:rPr>
                <w:lang w:eastAsia="it-IT"/>
              </w:rPr>
            </w:pPr>
            <w:r w:rsidRPr="004611D4">
              <w:rPr>
                <w:lang w:eastAsia="it-IT"/>
              </w:rPr>
              <w:t xml:space="preserve">.10 </w:t>
            </w:r>
            <w:r w:rsidRPr="004611D4">
              <w:rPr>
                <w:sz w:val="20"/>
                <w:lang w:eastAsia="it-IT"/>
              </w:rPr>
              <w:t>(90.0)</w:t>
            </w:r>
          </w:p>
        </w:tc>
        <w:tc>
          <w:tcPr>
            <w:tcW w:w="723" w:type="dxa"/>
            <w:tcBorders>
              <w:top w:val="single" w:sz="4" w:space="0" w:color="auto"/>
              <w:left w:val="nil"/>
              <w:bottom w:val="nil"/>
              <w:right w:val="nil"/>
            </w:tcBorders>
            <w:shd w:val="clear" w:color="auto" w:fill="auto"/>
            <w:vAlign w:val="center"/>
          </w:tcPr>
          <w:p w14:paraId="670DE48E" w14:textId="77777777" w:rsidR="00FB21D4" w:rsidRPr="004611D4" w:rsidRDefault="00FB21D4" w:rsidP="00FB21D4">
            <w:pPr>
              <w:jc w:val="center"/>
              <w:rPr>
                <w:lang w:eastAsia="it-IT"/>
              </w:rPr>
            </w:pPr>
            <w:r w:rsidRPr="004611D4">
              <w:rPr>
                <w:lang w:eastAsia="it-IT"/>
              </w:rPr>
              <w:t xml:space="preserve">.28 </w:t>
            </w:r>
            <w:r w:rsidRPr="004611D4">
              <w:rPr>
                <w:sz w:val="20"/>
                <w:lang w:eastAsia="it-IT"/>
              </w:rPr>
              <w:t>(72.2)</w:t>
            </w:r>
          </w:p>
        </w:tc>
      </w:tr>
      <w:tr w:rsidR="004611D4" w:rsidRPr="004611D4" w14:paraId="1697B916" w14:textId="77777777" w:rsidTr="005E5528">
        <w:trPr>
          <w:gridAfter w:val="1"/>
          <w:wAfter w:w="9" w:type="dxa"/>
          <w:trHeight w:val="360"/>
        </w:trPr>
        <w:tc>
          <w:tcPr>
            <w:tcW w:w="2434" w:type="dxa"/>
            <w:tcBorders>
              <w:top w:val="nil"/>
              <w:left w:val="nil"/>
              <w:bottom w:val="nil"/>
              <w:right w:val="nil"/>
            </w:tcBorders>
            <w:shd w:val="clear" w:color="auto" w:fill="auto"/>
            <w:vAlign w:val="center"/>
          </w:tcPr>
          <w:p w14:paraId="536DB12D" w14:textId="77777777" w:rsidR="00FB21D4" w:rsidRPr="004611D4" w:rsidRDefault="00FB21D4" w:rsidP="00FB21D4">
            <w:pPr>
              <w:rPr>
                <w:lang w:eastAsia="it-IT"/>
              </w:rPr>
            </w:pPr>
            <w:r w:rsidRPr="004611D4">
              <w:rPr>
                <w:lang w:eastAsia="it-IT"/>
              </w:rPr>
              <w:t>SD</w:t>
            </w:r>
          </w:p>
        </w:tc>
        <w:tc>
          <w:tcPr>
            <w:tcW w:w="1008" w:type="dxa"/>
            <w:tcBorders>
              <w:top w:val="nil"/>
              <w:left w:val="nil"/>
              <w:bottom w:val="nil"/>
              <w:right w:val="nil"/>
            </w:tcBorders>
            <w:shd w:val="clear" w:color="auto" w:fill="auto"/>
            <w:vAlign w:val="center"/>
          </w:tcPr>
          <w:p w14:paraId="3232EDE1" w14:textId="77777777" w:rsidR="00FB21D4" w:rsidRPr="004611D4" w:rsidRDefault="00FB21D4" w:rsidP="00FB21D4">
            <w:pPr>
              <w:jc w:val="center"/>
              <w:rPr>
                <w:lang w:eastAsia="it-IT"/>
              </w:rPr>
            </w:pPr>
            <w:r w:rsidRPr="004611D4">
              <w:rPr>
                <w:lang w:eastAsia="it-IT"/>
              </w:rPr>
              <w:t>.30</w:t>
            </w:r>
          </w:p>
        </w:tc>
        <w:tc>
          <w:tcPr>
            <w:tcW w:w="1008" w:type="dxa"/>
            <w:tcBorders>
              <w:top w:val="nil"/>
              <w:left w:val="nil"/>
              <w:bottom w:val="nil"/>
              <w:right w:val="nil"/>
            </w:tcBorders>
            <w:shd w:val="clear" w:color="auto" w:fill="auto"/>
            <w:vAlign w:val="center"/>
          </w:tcPr>
          <w:p w14:paraId="66DCA51B" w14:textId="77777777" w:rsidR="00FB21D4" w:rsidRPr="004611D4" w:rsidRDefault="00FB21D4" w:rsidP="00FB21D4">
            <w:pPr>
              <w:jc w:val="center"/>
              <w:rPr>
                <w:lang w:eastAsia="it-IT"/>
              </w:rPr>
            </w:pPr>
            <w:r w:rsidRPr="004611D4">
              <w:rPr>
                <w:lang w:eastAsia="it-IT"/>
              </w:rPr>
              <w:t>.31</w:t>
            </w:r>
          </w:p>
        </w:tc>
        <w:tc>
          <w:tcPr>
            <w:tcW w:w="1008" w:type="dxa"/>
            <w:tcBorders>
              <w:top w:val="nil"/>
              <w:left w:val="nil"/>
              <w:bottom w:val="nil"/>
              <w:right w:val="nil"/>
            </w:tcBorders>
            <w:shd w:val="clear" w:color="auto" w:fill="auto"/>
            <w:vAlign w:val="center"/>
          </w:tcPr>
          <w:p w14:paraId="39B6EAE1" w14:textId="77777777" w:rsidR="00FB21D4" w:rsidRPr="004611D4" w:rsidRDefault="00FB21D4" w:rsidP="00FB21D4">
            <w:pPr>
              <w:jc w:val="center"/>
              <w:rPr>
                <w:lang w:eastAsia="it-IT"/>
              </w:rPr>
            </w:pPr>
            <w:r w:rsidRPr="004611D4">
              <w:rPr>
                <w:lang w:eastAsia="it-IT"/>
              </w:rPr>
              <w:t>.30</w:t>
            </w:r>
          </w:p>
        </w:tc>
        <w:tc>
          <w:tcPr>
            <w:tcW w:w="1008" w:type="dxa"/>
            <w:tcBorders>
              <w:top w:val="nil"/>
              <w:left w:val="nil"/>
              <w:bottom w:val="nil"/>
              <w:right w:val="nil"/>
            </w:tcBorders>
            <w:shd w:val="clear" w:color="auto" w:fill="auto"/>
            <w:vAlign w:val="center"/>
          </w:tcPr>
          <w:p w14:paraId="395D8D0F" w14:textId="77777777" w:rsidR="00FB21D4" w:rsidRPr="004611D4" w:rsidRDefault="00FB21D4" w:rsidP="00FB21D4">
            <w:pPr>
              <w:jc w:val="center"/>
              <w:rPr>
                <w:lang w:eastAsia="it-IT"/>
              </w:rPr>
            </w:pPr>
            <w:r w:rsidRPr="004611D4">
              <w:rPr>
                <w:lang w:eastAsia="it-IT"/>
              </w:rPr>
              <w:t>.29</w:t>
            </w:r>
          </w:p>
        </w:tc>
        <w:tc>
          <w:tcPr>
            <w:tcW w:w="720" w:type="dxa"/>
            <w:tcBorders>
              <w:top w:val="nil"/>
              <w:left w:val="nil"/>
              <w:bottom w:val="nil"/>
              <w:right w:val="nil"/>
            </w:tcBorders>
            <w:shd w:val="clear" w:color="auto" w:fill="auto"/>
            <w:noWrap/>
            <w:vAlign w:val="center"/>
          </w:tcPr>
          <w:p w14:paraId="54F951B0" w14:textId="77777777" w:rsidR="00FB21D4" w:rsidRPr="004611D4" w:rsidRDefault="00FB21D4" w:rsidP="00FB21D4">
            <w:pPr>
              <w:jc w:val="center"/>
              <w:rPr>
                <w:lang w:eastAsia="it-IT"/>
              </w:rPr>
            </w:pPr>
            <w:r w:rsidRPr="004611D4">
              <w:rPr>
                <w:lang w:eastAsia="it-IT"/>
              </w:rPr>
              <w:t>1.98</w:t>
            </w:r>
          </w:p>
        </w:tc>
        <w:tc>
          <w:tcPr>
            <w:tcW w:w="720" w:type="dxa"/>
            <w:tcBorders>
              <w:top w:val="nil"/>
              <w:left w:val="nil"/>
              <w:bottom w:val="nil"/>
              <w:right w:val="nil"/>
            </w:tcBorders>
            <w:shd w:val="clear" w:color="auto" w:fill="auto"/>
            <w:noWrap/>
            <w:vAlign w:val="center"/>
          </w:tcPr>
          <w:p w14:paraId="7BBFB396" w14:textId="77777777" w:rsidR="00FB21D4" w:rsidRPr="004611D4" w:rsidRDefault="00FB21D4" w:rsidP="00FB21D4">
            <w:pPr>
              <w:jc w:val="center"/>
              <w:rPr>
                <w:lang w:eastAsia="it-IT"/>
              </w:rPr>
            </w:pPr>
            <w:r w:rsidRPr="004611D4">
              <w:rPr>
                <w:lang w:eastAsia="it-IT"/>
              </w:rPr>
              <w:t>2.17</w:t>
            </w:r>
          </w:p>
        </w:tc>
        <w:tc>
          <w:tcPr>
            <w:tcW w:w="720" w:type="dxa"/>
            <w:tcBorders>
              <w:top w:val="nil"/>
              <w:left w:val="nil"/>
              <w:bottom w:val="nil"/>
              <w:right w:val="nil"/>
            </w:tcBorders>
            <w:shd w:val="clear" w:color="auto" w:fill="auto"/>
            <w:noWrap/>
            <w:vAlign w:val="center"/>
          </w:tcPr>
          <w:p w14:paraId="04597BDB" w14:textId="77777777" w:rsidR="00FB21D4" w:rsidRPr="004611D4" w:rsidRDefault="00FB21D4" w:rsidP="00FB21D4">
            <w:pPr>
              <w:jc w:val="center"/>
              <w:rPr>
                <w:lang w:eastAsia="it-IT"/>
              </w:rPr>
            </w:pPr>
            <w:r w:rsidRPr="004611D4">
              <w:rPr>
                <w:lang w:eastAsia="it-IT"/>
              </w:rPr>
              <w:t>1.32</w:t>
            </w:r>
          </w:p>
        </w:tc>
        <w:tc>
          <w:tcPr>
            <w:tcW w:w="720" w:type="dxa"/>
            <w:tcBorders>
              <w:top w:val="nil"/>
              <w:left w:val="nil"/>
              <w:bottom w:val="nil"/>
              <w:right w:val="nil"/>
            </w:tcBorders>
            <w:shd w:val="clear" w:color="auto" w:fill="auto"/>
            <w:noWrap/>
            <w:vAlign w:val="center"/>
          </w:tcPr>
          <w:p w14:paraId="77F1257F" w14:textId="77777777" w:rsidR="00FB21D4" w:rsidRPr="004611D4" w:rsidRDefault="00FB21D4" w:rsidP="00FB21D4">
            <w:pPr>
              <w:jc w:val="center"/>
              <w:rPr>
                <w:lang w:eastAsia="it-IT"/>
              </w:rPr>
            </w:pPr>
            <w:r w:rsidRPr="004611D4">
              <w:rPr>
                <w:lang w:eastAsia="it-IT"/>
              </w:rPr>
              <w:t>1.28</w:t>
            </w:r>
          </w:p>
        </w:tc>
        <w:tc>
          <w:tcPr>
            <w:tcW w:w="720" w:type="dxa"/>
            <w:tcBorders>
              <w:top w:val="nil"/>
              <w:left w:val="nil"/>
              <w:bottom w:val="nil"/>
              <w:right w:val="nil"/>
            </w:tcBorders>
            <w:shd w:val="clear" w:color="auto" w:fill="auto"/>
            <w:vAlign w:val="center"/>
          </w:tcPr>
          <w:p w14:paraId="79386807" w14:textId="77777777" w:rsidR="00FB21D4" w:rsidRPr="004611D4" w:rsidRDefault="00FB21D4" w:rsidP="00FB21D4">
            <w:pPr>
              <w:jc w:val="center"/>
              <w:rPr>
                <w:lang w:eastAsia="it-IT"/>
              </w:rPr>
            </w:pPr>
            <w:r w:rsidRPr="004611D4">
              <w:rPr>
                <w:lang w:eastAsia="it-IT"/>
              </w:rPr>
              <w:t>2.64</w:t>
            </w:r>
          </w:p>
        </w:tc>
        <w:tc>
          <w:tcPr>
            <w:tcW w:w="720" w:type="dxa"/>
            <w:tcBorders>
              <w:top w:val="nil"/>
              <w:left w:val="nil"/>
              <w:bottom w:val="nil"/>
              <w:right w:val="nil"/>
            </w:tcBorders>
            <w:shd w:val="clear" w:color="auto" w:fill="auto"/>
            <w:vAlign w:val="center"/>
          </w:tcPr>
          <w:p w14:paraId="03FBCE28" w14:textId="77777777" w:rsidR="00FB21D4" w:rsidRPr="004611D4" w:rsidRDefault="00FB21D4" w:rsidP="00FB21D4">
            <w:pPr>
              <w:jc w:val="center"/>
              <w:rPr>
                <w:lang w:eastAsia="it-IT"/>
              </w:rPr>
            </w:pPr>
            <w:r w:rsidRPr="004611D4">
              <w:rPr>
                <w:lang w:eastAsia="it-IT"/>
              </w:rPr>
              <w:t>4.00</w:t>
            </w:r>
          </w:p>
        </w:tc>
        <w:tc>
          <w:tcPr>
            <w:tcW w:w="1022" w:type="dxa"/>
            <w:tcBorders>
              <w:top w:val="nil"/>
              <w:left w:val="nil"/>
              <w:bottom w:val="nil"/>
              <w:right w:val="nil"/>
            </w:tcBorders>
            <w:shd w:val="clear" w:color="auto" w:fill="auto"/>
            <w:vAlign w:val="center"/>
          </w:tcPr>
          <w:p w14:paraId="6E208083" w14:textId="77777777" w:rsidR="00FB21D4" w:rsidRPr="004611D4" w:rsidRDefault="00FB21D4" w:rsidP="00FB21D4">
            <w:pPr>
              <w:jc w:val="center"/>
              <w:rPr>
                <w:lang w:eastAsia="it-IT"/>
              </w:rPr>
            </w:pPr>
            <w:r w:rsidRPr="004611D4">
              <w:rPr>
                <w:lang w:eastAsia="it-IT"/>
              </w:rPr>
              <w:t>.27</w:t>
            </w:r>
          </w:p>
        </w:tc>
        <w:tc>
          <w:tcPr>
            <w:tcW w:w="1022" w:type="dxa"/>
            <w:tcBorders>
              <w:top w:val="nil"/>
              <w:left w:val="nil"/>
              <w:bottom w:val="nil"/>
              <w:right w:val="nil"/>
            </w:tcBorders>
            <w:shd w:val="clear" w:color="auto" w:fill="auto"/>
            <w:vAlign w:val="center"/>
          </w:tcPr>
          <w:p w14:paraId="6FEF1354" w14:textId="77777777" w:rsidR="00FB21D4" w:rsidRPr="004611D4" w:rsidRDefault="00FB21D4" w:rsidP="00FB21D4">
            <w:pPr>
              <w:jc w:val="center"/>
              <w:rPr>
                <w:lang w:eastAsia="it-IT"/>
              </w:rPr>
            </w:pPr>
            <w:r w:rsidRPr="004611D4">
              <w:rPr>
                <w:lang w:eastAsia="it-IT"/>
              </w:rPr>
              <w:t>.35</w:t>
            </w:r>
          </w:p>
        </w:tc>
        <w:tc>
          <w:tcPr>
            <w:tcW w:w="723" w:type="dxa"/>
            <w:tcBorders>
              <w:top w:val="nil"/>
              <w:left w:val="nil"/>
              <w:bottom w:val="nil"/>
              <w:right w:val="nil"/>
            </w:tcBorders>
            <w:shd w:val="clear" w:color="auto" w:fill="auto"/>
            <w:vAlign w:val="center"/>
          </w:tcPr>
          <w:p w14:paraId="41C57387" w14:textId="77777777" w:rsidR="00FB21D4" w:rsidRPr="004611D4" w:rsidRDefault="00FB21D4" w:rsidP="00FB21D4">
            <w:pPr>
              <w:jc w:val="center"/>
              <w:rPr>
                <w:lang w:eastAsia="it-IT"/>
              </w:rPr>
            </w:pPr>
            <w:r w:rsidRPr="004611D4">
              <w:rPr>
                <w:lang w:eastAsia="it-IT"/>
              </w:rPr>
              <w:t>.30</w:t>
            </w:r>
          </w:p>
        </w:tc>
        <w:tc>
          <w:tcPr>
            <w:tcW w:w="723" w:type="dxa"/>
            <w:tcBorders>
              <w:top w:val="nil"/>
              <w:left w:val="nil"/>
              <w:bottom w:val="nil"/>
              <w:right w:val="nil"/>
            </w:tcBorders>
            <w:shd w:val="clear" w:color="auto" w:fill="auto"/>
            <w:vAlign w:val="center"/>
          </w:tcPr>
          <w:p w14:paraId="4EEDDF2E" w14:textId="77777777" w:rsidR="00FB21D4" w:rsidRPr="004611D4" w:rsidRDefault="00FB21D4" w:rsidP="00FB21D4">
            <w:pPr>
              <w:jc w:val="center"/>
              <w:rPr>
                <w:lang w:eastAsia="it-IT"/>
              </w:rPr>
            </w:pPr>
            <w:r w:rsidRPr="004611D4">
              <w:rPr>
                <w:lang w:eastAsia="it-IT"/>
              </w:rPr>
              <w:t>.45</w:t>
            </w:r>
          </w:p>
        </w:tc>
      </w:tr>
      <w:tr w:rsidR="004611D4" w:rsidRPr="004611D4" w14:paraId="1823682A" w14:textId="77777777" w:rsidTr="005E5528">
        <w:trPr>
          <w:gridAfter w:val="1"/>
          <w:wAfter w:w="9" w:type="dxa"/>
          <w:trHeight w:val="360"/>
        </w:trPr>
        <w:tc>
          <w:tcPr>
            <w:tcW w:w="2434" w:type="dxa"/>
            <w:tcBorders>
              <w:top w:val="nil"/>
              <w:left w:val="nil"/>
              <w:right w:val="nil"/>
            </w:tcBorders>
            <w:shd w:val="clear" w:color="auto" w:fill="auto"/>
            <w:vAlign w:val="center"/>
          </w:tcPr>
          <w:p w14:paraId="55A43E82" w14:textId="77777777" w:rsidR="00FB21D4" w:rsidRPr="004611D4" w:rsidRDefault="00FB21D4" w:rsidP="00FB21D4">
            <w:pPr>
              <w:rPr>
                <w:lang w:eastAsia="it-IT"/>
              </w:rPr>
            </w:pPr>
            <w:r w:rsidRPr="004611D4">
              <w:rPr>
                <w:lang w:eastAsia="it-IT"/>
              </w:rPr>
              <w:t>Skewness</w:t>
            </w:r>
          </w:p>
        </w:tc>
        <w:tc>
          <w:tcPr>
            <w:tcW w:w="1008" w:type="dxa"/>
            <w:tcBorders>
              <w:top w:val="nil"/>
              <w:left w:val="nil"/>
              <w:right w:val="nil"/>
            </w:tcBorders>
            <w:shd w:val="clear" w:color="auto" w:fill="auto"/>
            <w:vAlign w:val="center"/>
          </w:tcPr>
          <w:p w14:paraId="18FEDFF0" w14:textId="77777777" w:rsidR="00FB21D4" w:rsidRPr="004611D4" w:rsidRDefault="00FB21D4" w:rsidP="00FB21D4">
            <w:pPr>
              <w:jc w:val="center"/>
              <w:rPr>
                <w:lang w:eastAsia="it-IT"/>
              </w:rPr>
            </w:pPr>
            <w:r w:rsidRPr="004611D4">
              <w:rPr>
                <w:lang w:eastAsia="it-IT"/>
              </w:rPr>
              <w:t>.07</w:t>
            </w:r>
          </w:p>
        </w:tc>
        <w:tc>
          <w:tcPr>
            <w:tcW w:w="1008" w:type="dxa"/>
            <w:tcBorders>
              <w:top w:val="nil"/>
              <w:left w:val="nil"/>
              <w:right w:val="nil"/>
            </w:tcBorders>
            <w:shd w:val="clear" w:color="auto" w:fill="auto"/>
            <w:vAlign w:val="center"/>
          </w:tcPr>
          <w:p w14:paraId="04E1C472" w14:textId="77777777" w:rsidR="00FB21D4" w:rsidRPr="004611D4" w:rsidRDefault="00FB21D4" w:rsidP="00FB21D4">
            <w:pPr>
              <w:jc w:val="center"/>
              <w:rPr>
                <w:lang w:eastAsia="it-IT"/>
              </w:rPr>
            </w:pPr>
            <w:r w:rsidRPr="004611D4">
              <w:rPr>
                <w:lang w:eastAsia="it-IT"/>
              </w:rPr>
              <w:t>.11</w:t>
            </w:r>
          </w:p>
        </w:tc>
        <w:tc>
          <w:tcPr>
            <w:tcW w:w="1008" w:type="dxa"/>
            <w:tcBorders>
              <w:top w:val="nil"/>
              <w:left w:val="nil"/>
              <w:right w:val="nil"/>
            </w:tcBorders>
            <w:shd w:val="clear" w:color="auto" w:fill="auto"/>
            <w:vAlign w:val="center"/>
          </w:tcPr>
          <w:p w14:paraId="6439FD1D" w14:textId="77777777" w:rsidR="00FB21D4" w:rsidRPr="004611D4" w:rsidRDefault="00FB21D4" w:rsidP="00FB21D4">
            <w:pPr>
              <w:jc w:val="center"/>
              <w:rPr>
                <w:lang w:eastAsia="it-IT"/>
              </w:rPr>
            </w:pPr>
            <w:r w:rsidRPr="004611D4">
              <w:rPr>
                <w:lang w:eastAsia="it-IT"/>
              </w:rPr>
              <w:t>.27</w:t>
            </w:r>
          </w:p>
        </w:tc>
        <w:tc>
          <w:tcPr>
            <w:tcW w:w="1008" w:type="dxa"/>
            <w:tcBorders>
              <w:top w:val="nil"/>
              <w:left w:val="nil"/>
              <w:right w:val="nil"/>
            </w:tcBorders>
            <w:shd w:val="clear" w:color="auto" w:fill="auto"/>
            <w:vAlign w:val="center"/>
          </w:tcPr>
          <w:p w14:paraId="1FB0281D" w14:textId="77777777" w:rsidR="00FB21D4" w:rsidRPr="004611D4" w:rsidRDefault="00FB21D4" w:rsidP="00FB21D4">
            <w:pPr>
              <w:jc w:val="center"/>
              <w:rPr>
                <w:lang w:eastAsia="it-IT"/>
              </w:rPr>
            </w:pPr>
            <w:r w:rsidRPr="004611D4">
              <w:rPr>
                <w:lang w:eastAsia="it-IT"/>
              </w:rPr>
              <w:t>.27</w:t>
            </w:r>
          </w:p>
        </w:tc>
        <w:tc>
          <w:tcPr>
            <w:tcW w:w="720" w:type="dxa"/>
            <w:tcBorders>
              <w:top w:val="nil"/>
              <w:left w:val="nil"/>
              <w:right w:val="nil"/>
            </w:tcBorders>
            <w:shd w:val="clear" w:color="auto" w:fill="auto"/>
            <w:noWrap/>
            <w:vAlign w:val="center"/>
          </w:tcPr>
          <w:p w14:paraId="43FFAD90" w14:textId="77777777" w:rsidR="00FB21D4" w:rsidRPr="004611D4" w:rsidRDefault="00FB21D4" w:rsidP="00FB21D4">
            <w:pPr>
              <w:jc w:val="center"/>
              <w:rPr>
                <w:lang w:eastAsia="it-IT"/>
              </w:rPr>
            </w:pPr>
            <w:r w:rsidRPr="004611D4">
              <w:rPr>
                <w:lang w:eastAsia="it-IT"/>
              </w:rPr>
              <w:t>2.62</w:t>
            </w:r>
          </w:p>
        </w:tc>
        <w:tc>
          <w:tcPr>
            <w:tcW w:w="720" w:type="dxa"/>
            <w:tcBorders>
              <w:top w:val="nil"/>
              <w:left w:val="nil"/>
              <w:right w:val="nil"/>
            </w:tcBorders>
            <w:shd w:val="clear" w:color="auto" w:fill="auto"/>
            <w:noWrap/>
            <w:vAlign w:val="center"/>
          </w:tcPr>
          <w:p w14:paraId="42B23CA9" w14:textId="77777777" w:rsidR="00FB21D4" w:rsidRPr="004611D4" w:rsidRDefault="00FB21D4" w:rsidP="00FB21D4">
            <w:pPr>
              <w:jc w:val="center"/>
              <w:rPr>
                <w:lang w:eastAsia="it-IT"/>
              </w:rPr>
            </w:pPr>
            <w:r w:rsidRPr="004611D4">
              <w:rPr>
                <w:lang w:eastAsia="it-IT"/>
              </w:rPr>
              <w:t>2.22</w:t>
            </w:r>
          </w:p>
        </w:tc>
        <w:tc>
          <w:tcPr>
            <w:tcW w:w="720" w:type="dxa"/>
            <w:tcBorders>
              <w:top w:val="nil"/>
              <w:left w:val="nil"/>
              <w:right w:val="nil"/>
            </w:tcBorders>
            <w:shd w:val="clear" w:color="auto" w:fill="auto"/>
            <w:noWrap/>
            <w:vAlign w:val="center"/>
          </w:tcPr>
          <w:p w14:paraId="4ACE06F2" w14:textId="77777777" w:rsidR="00FB21D4" w:rsidRPr="004611D4" w:rsidRDefault="00FB21D4" w:rsidP="00FB21D4">
            <w:pPr>
              <w:jc w:val="center"/>
              <w:rPr>
                <w:lang w:eastAsia="it-IT"/>
              </w:rPr>
            </w:pPr>
            <w:r w:rsidRPr="004611D4">
              <w:rPr>
                <w:lang w:eastAsia="it-IT"/>
              </w:rPr>
              <w:t>1.61</w:t>
            </w:r>
          </w:p>
        </w:tc>
        <w:tc>
          <w:tcPr>
            <w:tcW w:w="720" w:type="dxa"/>
            <w:tcBorders>
              <w:top w:val="nil"/>
              <w:left w:val="nil"/>
              <w:right w:val="nil"/>
            </w:tcBorders>
            <w:shd w:val="clear" w:color="auto" w:fill="auto"/>
            <w:noWrap/>
            <w:vAlign w:val="center"/>
          </w:tcPr>
          <w:p w14:paraId="5CED4CCD" w14:textId="77777777" w:rsidR="00FB21D4" w:rsidRPr="004611D4" w:rsidRDefault="00FB21D4" w:rsidP="00FB21D4">
            <w:pPr>
              <w:jc w:val="center"/>
              <w:rPr>
                <w:lang w:eastAsia="it-IT"/>
              </w:rPr>
            </w:pPr>
            <w:r w:rsidRPr="004611D4">
              <w:rPr>
                <w:lang w:eastAsia="it-IT"/>
              </w:rPr>
              <w:t>1.97</w:t>
            </w:r>
          </w:p>
        </w:tc>
        <w:tc>
          <w:tcPr>
            <w:tcW w:w="720" w:type="dxa"/>
            <w:tcBorders>
              <w:top w:val="nil"/>
              <w:left w:val="nil"/>
              <w:right w:val="nil"/>
            </w:tcBorders>
            <w:shd w:val="clear" w:color="auto" w:fill="auto"/>
            <w:vAlign w:val="center"/>
          </w:tcPr>
          <w:p w14:paraId="16A83AFA" w14:textId="77777777" w:rsidR="00FB21D4" w:rsidRPr="004611D4" w:rsidRDefault="00FB21D4" w:rsidP="00FB21D4">
            <w:pPr>
              <w:jc w:val="center"/>
              <w:rPr>
                <w:lang w:eastAsia="it-IT"/>
              </w:rPr>
            </w:pPr>
            <w:r w:rsidRPr="004611D4">
              <w:rPr>
                <w:lang w:eastAsia="it-IT"/>
              </w:rPr>
              <w:t>3.10</w:t>
            </w:r>
          </w:p>
        </w:tc>
        <w:tc>
          <w:tcPr>
            <w:tcW w:w="720" w:type="dxa"/>
            <w:tcBorders>
              <w:top w:val="nil"/>
              <w:left w:val="nil"/>
              <w:right w:val="nil"/>
            </w:tcBorders>
            <w:shd w:val="clear" w:color="auto" w:fill="auto"/>
            <w:vAlign w:val="center"/>
          </w:tcPr>
          <w:p w14:paraId="4EEB4EE1" w14:textId="77777777" w:rsidR="00FB21D4" w:rsidRPr="004611D4" w:rsidRDefault="00FB21D4" w:rsidP="00FB21D4">
            <w:pPr>
              <w:jc w:val="center"/>
              <w:rPr>
                <w:lang w:eastAsia="it-IT"/>
              </w:rPr>
            </w:pPr>
            <w:r w:rsidRPr="004611D4">
              <w:rPr>
                <w:lang w:eastAsia="it-IT"/>
              </w:rPr>
              <w:t>1.48</w:t>
            </w:r>
          </w:p>
        </w:tc>
        <w:tc>
          <w:tcPr>
            <w:tcW w:w="1022" w:type="dxa"/>
            <w:tcBorders>
              <w:top w:val="nil"/>
              <w:left w:val="nil"/>
              <w:right w:val="nil"/>
            </w:tcBorders>
            <w:shd w:val="clear" w:color="auto" w:fill="auto"/>
            <w:vAlign w:val="center"/>
          </w:tcPr>
          <w:p w14:paraId="343DE136" w14:textId="77777777" w:rsidR="00FB21D4" w:rsidRPr="004611D4" w:rsidRDefault="00FB21D4" w:rsidP="00FB21D4">
            <w:pPr>
              <w:jc w:val="center"/>
              <w:rPr>
                <w:lang w:eastAsia="it-IT"/>
              </w:rPr>
            </w:pPr>
            <w:r w:rsidRPr="004611D4">
              <w:rPr>
                <w:lang w:eastAsia="it-IT"/>
              </w:rPr>
              <w:t>1.19</w:t>
            </w:r>
          </w:p>
        </w:tc>
        <w:tc>
          <w:tcPr>
            <w:tcW w:w="1022" w:type="dxa"/>
            <w:tcBorders>
              <w:top w:val="nil"/>
              <w:left w:val="nil"/>
              <w:right w:val="nil"/>
            </w:tcBorders>
            <w:shd w:val="clear" w:color="auto" w:fill="auto"/>
            <w:vAlign w:val="center"/>
          </w:tcPr>
          <w:p w14:paraId="44F5956E" w14:textId="77777777" w:rsidR="00FB21D4" w:rsidRPr="004611D4" w:rsidRDefault="00FB21D4" w:rsidP="00FB21D4">
            <w:pPr>
              <w:jc w:val="center"/>
              <w:rPr>
                <w:lang w:eastAsia="it-IT"/>
              </w:rPr>
            </w:pPr>
            <w:r w:rsidRPr="004611D4">
              <w:rPr>
                <w:lang w:eastAsia="it-IT"/>
              </w:rPr>
              <w:t>.19</w:t>
            </w:r>
          </w:p>
        </w:tc>
        <w:tc>
          <w:tcPr>
            <w:tcW w:w="723" w:type="dxa"/>
            <w:tcBorders>
              <w:top w:val="nil"/>
              <w:left w:val="nil"/>
              <w:right w:val="nil"/>
            </w:tcBorders>
            <w:shd w:val="clear" w:color="auto" w:fill="auto"/>
            <w:vAlign w:val="center"/>
          </w:tcPr>
          <w:p w14:paraId="1C727B60" w14:textId="77777777" w:rsidR="00FB21D4" w:rsidRPr="004611D4" w:rsidRDefault="00FB21D4" w:rsidP="00FB21D4">
            <w:pPr>
              <w:jc w:val="center"/>
              <w:rPr>
                <w:lang w:eastAsia="it-IT"/>
              </w:rPr>
            </w:pPr>
            <w:r w:rsidRPr="004611D4">
              <w:rPr>
                <w:lang w:eastAsia="it-IT"/>
              </w:rPr>
              <w:t>2.66</w:t>
            </w:r>
          </w:p>
        </w:tc>
        <w:tc>
          <w:tcPr>
            <w:tcW w:w="723" w:type="dxa"/>
            <w:tcBorders>
              <w:top w:val="nil"/>
              <w:left w:val="nil"/>
              <w:right w:val="nil"/>
            </w:tcBorders>
            <w:shd w:val="clear" w:color="auto" w:fill="auto"/>
            <w:vAlign w:val="center"/>
          </w:tcPr>
          <w:p w14:paraId="6EF3C041" w14:textId="77777777" w:rsidR="00FB21D4" w:rsidRPr="004611D4" w:rsidRDefault="00FB21D4" w:rsidP="00FB21D4">
            <w:pPr>
              <w:jc w:val="center"/>
              <w:rPr>
                <w:lang w:eastAsia="it-IT"/>
              </w:rPr>
            </w:pPr>
            <w:r w:rsidRPr="004611D4">
              <w:rPr>
                <w:lang w:eastAsia="it-IT"/>
              </w:rPr>
              <w:t>.99</w:t>
            </w:r>
          </w:p>
        </w:tc>
      </w:tr>
      <w:tr w:rsidR="004611D4" w:rsidRPr="004611D4" w14:paraId="627AFC15" w14:textId="77777777" w:rsidTr="005E5528">
        <w:trPr>
          <w:gridAfter w:val="1"/>
          <w:wAfter w:w="9" w:type="dxa"/>
          <w:trHeight w:val="360"/>
        </w:trPr>
        <w:tc>
          <w:tcPr>
            <w:tcW w:w="2434" w:type="dxa"/>
            <w:tcBorders>
              <w:top w:val="nil"/>
              <w:left w:val="nil"/>
              <w:right w:val="nil"/>
            </w:tcBorders>
            <w:shd w:val="clear" w:color="auto" w:fill="auto"/>
            <w:vAlign w:val="center"/>
          </w:tcPr>
          <w:p w14:paraId="215FD220" w14:textId="77777777" w:rsidR="00FB21D4" w:rsidRPr="004611D4" w:rsidRDefault="00FB21D4" w:rsidP="00FB21D4">
            <w:pPr>
              <w:rPr>
                <w:lang w:eastAsia="it-IT"/>
              </w:rPr>
            </w:pPr>
            <w:r w:rsidRPr="004611D4">
              <w:rPr>
                <w:lang w:eastAsia="it-IT"/>
              </w:rPr>
              <w:t>Kurtosis</w:t>
            </w:r>
          </w:p>
        </w:tc>
        <w:tc>
          <w:tcPr>
            <w:tcW w:w="1008" w:type="dxa"/>
            <w:tcBorders>
              <w:top w:val="nil"/>
              <w:left w:val="nil"/>
              <w:right w:val="nil"/>
            </w:tcBorders>
            <w:shd w:val="clear" w:color="auto" w:fill="auto"/>
            <w:vAlign w:val="center"/>
          </w:tcPr>
          <w:p w14:paraId="740CD84F" w14:textId="77777777" w:rsidR="00FB21D4" w:rsidRPr="004611D4" w:rsidRDefault="00FB21D4" w:rsidP="00FB21D4">
            <w:pPr>
              <w:jc w:val="center"/>
              <w:rPr>
                <w:lang w:eastAsia="it-IT"/>
              </w:rPr>
            </w:pPr>
            <w:r w:rsidRPr="004611D4">
              <w:rPr>
                <w:lang w:eastAsia="it-IT"/>
              </w:rPr>
              <w:t>-.12</w:t>
            </w:r>
          </w:p>
        </w:tc>
        <w:tc>
          <w:tcPr>
            <w:tcW w:w="1008" w:type="dxa"/>
            <w:tcBorders>
              <w:top w:val="nil"/>
              <w:left w:val="nil"/>
              <w:right w:val="nil"/>
            </w:tcBorders>
            <w:shd w:val="clear" w:color="auto" w:fill="auto"/>
            <w:vAlign w:val="center"/>
          </w:tcPr>
          <w:p w14:paraId="2BD341DE" w14:textId="77777777" w:rsidR="00FB21D4" w:rsidRPr="004611D4" w:rsidRDefault="00FB21D4" w:rsidP="00FB21D4">
            <w:pPr>
              <w:jc w:val="center"/>
              <w:rPr>
                <w:lang w:eastAsia="it-IT"/>
              </w:rPr>
            </w:pPr>
            <w:r w:rsidRPr="004611D4">
              <w:rPr>
                <w:lang w:eastAsia="it-IT"/>
              </w:rPr>
              <w:t>-.13</w:t>
            </w:r>
          </w:p>
        </w:tc>
        <w:tc>
          <w:tcPr>
            <w:tcW w:w="1008" w:type="dxa"/>
            <w:tcBorders>
              <w:top w:val="nil"/>
              <w:left w:val="nil"/>
              <w:right w:val="nil"/>
            </w:tcBorders>
            <w:shd w:val="clear" w:color="auto" w:fill="auto"/>
            <w:vAlign w:val="center"/>
          </w:tcPr>
          <w:p w14:paraId="62929C2A" w14:textId="77777777" w:rsidR="00FB21D4" w:rsidRPr="004611D4" w:rsidRDefault="00FB21D4" w:rsidP="00FB21D4">
            <w:pPr>
              <w:jc w:val="center"/>
              <w:rPr>
                <w:lang w:eastAsia="it-IT"/>
              </w:rPr>
            </w:pPr>
            <w:r w:rsidRPr="004611D4">
              <w:rPr>
                <w:lang w:eastAsia="it-IT"/>
              </w:rPr>
              <w:t>-.18</w:t>
            </w:r>
          </w:p>
        </w:tc>
        <w:tc>
          <w:tcPr>
            <w:tcW w:w="1008" w:type="dxa"/>
            <w:tcBorders>
              <w:top w:val="nil"/>
              <w:left w:val="nil"/>
              <w:right w:val="nil"/>
            </w:tcBorders>
            <w:shd w:val="clear" w:color="auto" w:fill="auto"/>
            <w:vAlign w:val="center"/>
          </w:tcPr>
          <w:p w14:paraId="2D7DF224" w14:textId="77777777" w:rsidR="00FB21D4" w:rsidRPr="004611D4" w:rsidRDefault="00FB21D4" w:rsidP="00FB21D4">
            <w:pPr>
              <w:jc w:val="center"/>
              <w:rPr>
                <w:lang w:eastAsia="it-IT"/>
              </w:rPr>
            </w:pPr>
            <w:r w:rsidRPr="004611D4">
              <w:rPr>
                <w:lang w:eastAsia="it-IT"/>
              </w:rPr>
              <w:t>-.15</w:t>
            </w:r>
          </w:p>
        </w:tc>
        <w:tc>
          <w:tcPr>
            <w:tcW w:w="720" w:type="dxa"/>
            <w:tcBorders>
              <w:top w:val="nil"/>
              <w:left w:val="nil"/>
              <w:right w:val="nil"/>
            </w:tcBorders>
            <w:shd w:val="clear" w:color="auto" w:fill="auto"/>
            <w:noWrap/>
            <w:vAlign w:val="center"/>
          </w:tcPr>
          <w:p w14:paraId="53BF24B8" w14:textId="77777777" w:rsidR="00FB21D4" w:rsidRPr="004611D4" w:rsidRDefault="00FB21D4" w:rsidP="00FB21D4">
            <w:pPr>
              <w:jc w:val="center"/>
              <w:rPr>
                <w:lang w:eastAsia="it-IT"/>
              </w:rPr>
            </w:pPr>
            <w:r w:rsidRPr="004611D4">
              <w:rPr>
                <w:lang w:eastAsia="it-IT"/>
              </w:rPr>
              <w:t>11.49</w:t>
            </w:r>
          </w:p>
        </w:tc>
        <w:tc>
          <w:tcPr>
            <w:tcW w:w="720" w:type="dxa"/>
            <w:tcBorders>
              <w:top w:val="nil"/>
              <w:left w:val="nil"/>
              <w:right w:val="nil"/>
            </w:tcBorders>
            <w:shd w:val="clear" w:color="auto" w:fill="auto"/>
            <w:noWrap/>
            <w:vAlign w:val="center"/>
          </w:tcPr>
          <w:p w14:paraId="66F09848" w14:textId="77777777" w:rsidR="00FB21D4" w:rsidRPr="004611D4" w:rsidRDefault="00FB21D4" w:rsidP="00FB21D4">
            <w:pPr>
              <w:jc w:val="center"/>
              <w:rPr>
                <w:lang w:eastAsia="it-IT"/>
              </w:rPr>
            </w:pPr>
            <w:r w:rsidRPr="004611D4">
              <w:rPr>
                <w:lang w:eastAsia="it-IT"/>
              </w:rPr>
              <w:t>7.05</w:t>
            </w:r>
          </w:p>
        </w:tc>
        <w:tc>
          <w:tcPr>
            <w:tcW w:w="720" w:type="dxa"/>
            <w:tcBorders>
              <w:top w:val="nil"/>
              <w:left w:val="nil"/>
              <w:right w:val="nil"/>
            </w:tcBorders>
            <w:shd w:val="clear" w:color="auto" w:fill="auto"/>
            <w:noWrap/>
            <w:vAlign w:val="center"/>
          </w:tcPr>
          <w:p w14:paraId="370F0282" w14:textId="77777777" w:rsidR="00FB21D4" w:rsidRPr="004611D4" w:rsidRDefault="00FB21D4" w:rsidP="00FB21D4">
            <w:pPr>
              <w:jc w:val="center"/>
              <w:rPr>
                <w:lang w:eastAsia="it-IT"/>
              </w:rPr>
            </w:pPr>
            <w:r w:rsidRPr="004611D4">
              <w:rPr>
                <w:lang w:eastAsia="it-IT"/>
              </w:rPr>
              <w:t>2.11</w:t>
            </w:r>
          </w:p>
        </w:tc>
        <w:tc>
          <w:tcPr>
            <w:tcW w:w="720" w:type="dxa"/>
            <w:tcBorders>
              <w:top w:val="nil"/>
              <w:left w:val="nil"/>
              <w:right w:val="nil"/>
            </w:tcBorders>
            <w:shd w:val="clear" w:color="auto" w:fill="auto"/>
            <w:noWrap/>
            <w:vAlign w:val="center"/>
          </w:tcPr>
          <w:p w14:paraId="55E014D6" w14:textId="77777777" w:rsidR="00FB21D4" w:rsidRPr="004611D4" w:rsidRDefault="00FB21D4" w:rsidP="00FB21D4">
            <w:pPr>
              <w:jc w:val="center"/>
              <w:rPr>
                <w:lang w:eastAsia="it-IT"/>
              </w:rPr>
            </w:pPr>
            <w:r w:rsidRPr="004611D4">
              <w:rPr>
                <w:lang w:eastAsia="it-IT"/>
              </w:rPr>
              <w:t>3.61</w:t>
            </w:r>
          </w:p>
        </w:tc>
        <w:tc>
          <w:tcPr>
            <w:tcW w:w="720" w:type="dxa"/>
            <w:tcBorders>
              <w:top w:val="nil"/>
              <w:left w:val="nil"/>
              <w:right w:val="nil"/>
            </w:tcBorders>
            <w:shd w:val="clear" w:color="auto" w:fill="auto"/>
            <w:vAlign w:val="center"/>
          </w:tcPr>
          <w:p w14:paraId="108C26E5" w14:textId="77777777" w:rsidR="00FB21D4" w:rsidRPr="004611D4" w:rsidRDefault="00FB21D4" w:rsidP="00FB21D4">
            <w:pPr>
              <w:jc w:val="center"/>
              <w:rPr>
                <w:lang w:eastAsia="it-IT"/>
              </w:rPr>
            </w:pPr>
            <w:r w:rsidRPr="004611D4">
              <w:rPr>
                <w:lang w:eastAsia="it-IT"/>
              </w:rPr>
              <w:t>13.07</w:t>
            </w:r>
          </w:p>
        </w:tc>
        <w:tc>
          <w:tcPr>
            <w:tcW w:w="720" w:type="dxa"/>
            <w:tcBorders>
              <w:top w:val="nil"/>
              <w:left w:val="nil"/>
              <w:right w:val="nil"/>
            </w:tcBorders>
            <w:shd w:val="clear" w:color="auto" w:fill="auto"/>
            <w:vAlign w:val="center"/>
          </w:tcPr>
          <w:p w14:paraId="6BBCC7CD" w14:textId="77777777" w:rsidR="00FB21D4" w:rsidRPr="004611D4" w:rsidRDefault="00FB21D4" w:rsidP="00FB21D4">
            <w:pPr>
              <w:jc w:val="center"/>
              <w:rPr>
                <w:lang w:eastAsia="it-IT"/>
              </w:rPr>
            </w:pPr>
            <w:r w:rsidRPr="004611D4">
              <w:rPr>
                <w:lang w:eastAsia="it-IT"/>
              </w:rPr>
              <w:t>2.70</w:t>
            </w:r>
          </w:p>
        </w:tc>
        <w:tc>
          <w:tcPr>
            <w:tcW w:w="1022" w:type="dxa"/>
            <w:tcBorders>
              <w:top w:val="nil"/>
              <w:left w:val="nil"/>
              <w:right w:val="nil"/>
            </w:tcBorders>
            <w:shd w:val="clear" w:color="auto" w:fill="auto"/>
            <w:vAlign w:val="center"/>
          </w:tcPr>
          <w:p w14:paraId="4449EE8C" w14:textId="77777777" w:rsidR="00FB21D4" w:rsidRPr="004611D4" w:rsidRDefault="00FB21D4" w:rsidP="00FB21D4">
            <w:pPr>
              <w:jc w:val="center"/>
              <w:rPr>
                <w:lang w:eastAsia="it-IT"/>
              </w:rPr>
            </w:pPr>
            <w:r w:rsidRPr="004611D4">
              <w:rPr>
                <w:lang w:eastAsia="it-IT"/>
              </w:rPr>
              <w:t>.64</w:t>
            </w:r>
          </w:p>
        </w:tc>
        <w:tc>
          <w:tcPr>
            <w:tcW w:w="1022" w:type="dxa"/>
            <w:tcBorders>
              <w:top w:val="nil"/>
              <w:left w:val="nil"/>
              <w:right w:val="nil"/>
            </w:tcBorders>
            <w:shd w:val="clear" w:color="auto" w:fill="auto"/>
            <w:vAlign w:val="center"/>
          </w:tcPr>
          <w:p w14:paraId="63513A10" w14:textId="77777777" w:rsidR="00FB21D4" w:rsidRPr="004611D4" w:rsidRDefault="00FB21D4" w:rsidP="00FB21D4">
            <w:pPr>
              <w:jc w:val="center"/>
              <w:rPr>
                <w:lang w:eastAsia="it-IT"/>
              </w:rPr>
            </w:pPr>
            <w:r w:rsidRPr="004611D4">
              <w:rPr>
                <w:lang w:eastAsia="it-IT"/>
              </w:rPr>
              <w:t>-1.10</w:t>
            </w:r>
          </w:p>
        </w:tc>
        <w:tc>
          <w:tcPr>
            <w:tcW w:w="723" w:type="dxa"/>
            <w:tcBorders>
              <w:top w:val="nil"/>
              <w:left w:val="nil"/>
              <w:right w:val="nil"/>
            </w:tcBorders>
            <w:shd w:val="clear" w:color="auto" w:fill="auto"/>
            <w:vAlign w:val="center"/>
          </w:tcPr>
          <w:p w14:paraId="3E2D6369" w14:textId="77777777" w:rsidR="00FB21D4" w:rsidRPr="004611D4" w:rsidRDefault="00FB21D4" w:rsidP="00FB21D4">
            <w:pPr>
              <w:jc w:val="center"/>
              <w:rPr>
                <w:lang w:eastAsia="it-IT"/>
              </w:rPr>
            </w:pPr>
            <w:r w:rsidRPr="004611D4">
              <w:rPr>
                <w:lang w:eastAsia="it-IT"/>
              </w:rPr>
              <w:t>5.09</w:t>
            </w:r>
          </w:p>
        </w:tc>
        <w:tc>
          <w:tcPr>
            <w:tcW w:w="723" w:type="dxa"/>
            <w:tcBorders>
              <w:top w:val="nil"/>
              <w:left w:val="nil"/>
              <w:right w:val="nil"/>
            </w:tcBorders>
            <w:shd w:val="clear" w:color="auto" w:fill="auto"/>
            <w:vAlign w:val="center"/>
          </w:tcPr>
          <w:p w14:paraId="6E4B86B0" w14:textId="77777777" w:rsidR="00FB21D4" w:rsidRPr="004611D4" w:rsidRDefault="00FB21D4" w:rsidP="00FB21D4">
            <w:pPr>
              <w:jc w:val="center"/>
              <w:rPr>
                <w:lang w:eastAsia="it-IT"/>
              </w:rPr>
            </w:pPr>
            <w:r w:rsidRPr="004611D4">
              <w:rPr>
                <w:lang w:eastAsia="it-IT"/>
              </w:rPr>
              <w:t>-1.02</w:t>
            </w:r>
          </w:p>
        </w:tc>
      </w:tr>
      <w:tr w:rsidR="004611D4" w:rsidRPr="004611D4" w14:paraId="18A76393" w14:textId="77777777" w:rsidTr="005E5528">
        <w:trPr>
          <w:gridAfter w:val="1"/>
          <w:wAfter w:w="9" w:type="dxa"/>
          <w:trHeight w:val="576"/>
        </w:trPr>
        <w:tc>
          <w:tcPr>
            <w:tcW w:w="2434" w:type="dxa"/>
            <w:tcBorders>
              <w:left w:val="nil"/>
              <w:bottom w:val="single" w:sz="4" w:space="0" w:color="auto"/>
              <w:right w:val="nil"/>
            </w:tcBorders>
            <w:shd w:val="clear" w:color="auto" w:fill="auto"/>
            <w:vAlign w:val="center"/>
          </w:tcPr>
          <w:p w14:paraId="23258C12" w14:textId="77777777" w:rsidR="00FB21D4" w:rsidRPr="004611D4" w:rsidRDefault="00FB21D4" w:rsidP="00FB21D4">
            <w:pPr>
              <w:rPr>
                <w:lang w:eastAsia="it-IT"/>
              </w:rPr>
            </w:pPr>
            <w:r w:rsidRPr="004611D4">
              <w:rPr>
                <w:lang w:eastAsia="it-IT"/>
              </w:rPr>
              <w:t>Observed Range (Possible Range)</w:t>
            </w:r>
          </w:p>
        </w:tc>
        <w:tc>
          <w:tcPr>
            <w:tcW w:w="1008" w:type="dxa"/>
            <w:tcBorders>
              <w:left w:val="nil"/>
              <w:bottom w:val="single" w:sz="4" w:space="0" w:color="auto"/>
              <w:right w:val="nil"/>
            </w:tcBorders>
            <w:shd w:val="clear" w:color="auto" w:fill="auto"/>
            <w:vAlign w:val="center"/>
          </w:tcPr>
          <w:p w14:paraId="727B4B3A" w14:textId="77777777" w:rsidR="00FB21D4" w:rsidRPr="004611D4" w:rsidRDefault="00FB21D4" w:rsidP="00FB21D4">
            <w:pPr>
              <w:jc w:val="center"/>
              <w:rPr>
                <w:lang w:eastAsia="it-IT"/>
              </w:rPr>
            </w:pPr>
            <w:r w:rsidRPr="004611D4">
              <w:rPr>
                <w:lang w:eastAsia="it-IT"/>
              </w:rPr>
              <w:t xml:space="preserve">.48- 2.12 </w:t>
            </w:r>
          </w:p>
          <w:p w14:paraId="7F01F537" w14:textId="77777777" w:rsidR="00FB21D4" w:rsidRPr="004611D4" w:rsidRDefault="00FB21D4" w:rsidP="00FB21D4">
            <w:pPr>
              <w:jc w:val="center"/>
              <w:rPr>
                <w:lang w:eastAsia="it-IT"/>
              </w:rPr>
            </w:pPr>
            <w:r w:rsidRPr="004611D4">
              <w:rPr>
                <w:sz w:val="20"/>
                <w:lang w:eastAsia="it-IT"/>
              </w:rPr>
              <w:t>(0-3)</w:t>
            </w:r>
          </w:p>
        </w:tc>
        <w:tc>
          <w:tcPr>
            <w:tcW w:w="1008" w:type="dxa"/>
            <w:tcBorders>
              <w:left w:val="nil"/>
              <w:bottom w:val="single" w:sz="4" w:space="0" w:color="auto"/>
              <w:right w:val="nil"/>
            </w:tcBorders>
            <w:shd w:val="clear" w:color="auto" w:fill="auto"/>
            <w:vAlign w:val="center"/>
          </w:tcPr>
          <w:p w14:paraId="092936A5" w14:textId="77777777" w:rsidR="00FB21D4" w:rsidRPr="004611D4" w:rsidRDefault="00FB21D4" w:rsidP="00FB21D4">
            <w:pPr>
              <w:jc w:val="center"/>
              <w:rPr>
                <w:lang w:eastAsia="it-IT"/>
              </w:rPr>
            </w:pPr>
            <w:r w:rsidRPr="004611D4">
              <w:rPr>
                <w:lang w:eastAsia="it-IT"/>
              </w:rPr>
              <w:t xml:space="preserve">.38-2.02 </w:t>
            </w:r>
          </w:p>
          <w:p w14:paraId="0D220E91" w14:textId="77777777" w:rsidR="00FB21D4" w:rsidRPr="004611D4" w:rsidRDefault="00FB21D4" w:rsidP="00FB21D4">
            <w:pPr>
              <w:jc w:val="center"/>
              <w:rPr>
                <w:lang w:eastAsia="it-IT"/>
              </w:rPr>
            </w:pPr>
            <w:r w:rsidRPr="004611D4">
              <w:rPr>
                <w:sz w:val="20"/>
                <w:lang w:eastAsia="it-IT"/>
              </w:rPr>
              <w:t>(0-3)</w:t>
            </w:r>
          </w:p>
        </w:tc>
        <w:tc>
          <w:tcPr>
            <w:tcW w:w="1008" w:type="dxa"/>
            <w:tcBorders>
              <w:left w:val="nil"/>
              <w:bottom w:val="single" w:sz="4" w:space="0" w:color="auto"/>
              <w:right w:val="nil"/>
            </w:tcBorders>
            <w:shd w:val="clear" w:color="auto" w:fill="auto"/>
            <w:vAlign w:val="center"/>
          </w:tcPr>
          <w:p w14:paraId="6E95941C" w14:textId="77777777" w:rsidR="00FB21D4" w:rsidRPr="004611D4" w:rsidRDefault="00FB21D4" w:rsidP="00FB21D4">
            <w:pPr>
              <w:jc w:val="center"/>
              <w:rPr>
                <w:lang w:eastAsia="it-IT"/>
              </w:rPr>
            </w:pPr>
            <w:r w:rsidRPr="004611D4">
              <w:rPr>
                <w:lang w:eastAsia="it-IT"/>
              </w:rPr>
              <w:t xml:space="preserve">.06-1.64 </w:t>
            </w:r>
          </w:p>
          <w:p w14:paraId="7B5FE24A" w14:textId="77777777" w:rsidR="00FB21D4" w:rsidRPr="004611D4" w:rsidRDefault="00FB21D4" w:rsidP="00FB21D4">
            <w:pPr>
              <w:jc w:val="center"/>
              <w:rPr>
                <w:lang w:eastAsia="it-IT"/>
              </w:rPr>
            </w:pPr>
            <w:r w:rsidRPr="004611D4">
              <w:rPr>
                <w:sz w:val="20"/>
                <w:lang w:eastAsia="it-IT"/>
              </w:rPr>
              <w:t>(0-3)</w:t>
            </w:r>
          </w:p>
        </w:tc>
        <w:tc>
          <w:tcPr>
            <w:tcW w:w="1008" w:type="dxa"/>
            <w:tcBorders>
              <w:left w:val="nil"/>
              <w:bottom w:val="single" w:sz="4" w:space="0" w:color="auto"/>
              <w:right w:val="nil"/>
            </w:tcBorders>
            <w:shd w:val="clear" w:color="auto" w:fill="auto"/>
            <w:vAlign w:val="center"/>
          </w:tcPr>
          <w:p w14:paraId="28793548" w14:textId="77777777" w:rsidR="00FB21D4" w:rsidRPr="004611D4" w:rsidRDefault="00FB21D4" w:rsidP="00FB21D4">
            <w:pPr>
              <w:jc w:val="center"/>
              <w:rPr>
                <w:lang w:eastAsia="it-IT"/>
              </w:rPr>
            </w:pPr>
            <w:r w:rsidRPr="004611D4">
              <w:rPr>
                <w:lang w:eastAsia="it-IT"/>
              </w:rPr>
              <w:t xml:space="preserve">.06-1.52 </w:t>
            </w:r>
          </w:p>
          <w:p w14:paraId="4CFDE37F" w14:textId="77777777" w:rsidR="00FB21D4" w:rsidRPr="004611D4" w:rsidRDefault="00FB21D4" w:rsidP="00FB21D4">
            <w:pPr>
              <w:jc w:val="center"/>
              <w:rPr>
                <w:lang w:eastAsia="it-IT"/>
              </w:rPr>
            </w:pPr>
            <w:r w:rsidRPr="004611D4">
              <w:rPr>
                <w:sz w:val="20"/>
                <w:lang w:eastAsia="it-IT"/>
              </w:rPr>
              <w:t>(0-3)</w:t>
            </w:r>
          </w:p>
        </w:tc>
        <w:tc>
          <w:tcPr>
            <w:tcW w:w="720" w:type="dxa"/>
            <w:tcBorders>
              <w:left w:val="nil"/>
              <w:bottom w:val="single" w:sz="4" w:space="0" w:color="auto"/>
              <w:right w:val="nil"/>
            </w:tcBorders>
            <w:shd w:val="clear" w:color="auto" w:fill="auto"/>
            <w:noWrap/>
            <w:vAlign w:val="center"/>
          </w:tcPr>
          <w:p w14:paraId="430D5EE5" w14:textId="77777777" w:rsidR="00FB21D4" w:rsidRPr="004611D4" w:rsidRDefault="00FB21D4" w:rsidP="00FB21D4">
            <w:pPr>
              <w:jc w:val="center"/>
              <w:rPr>
                <w:lang w:eastAsia="it-IT"/>
              </w:rPr>
            </w:pPr>
            <w:r w:rsidRPr="004611D4">
              <w:rPr>
                <w:lang w:eastAsia="it-IT"/>
              </w:rPr>
              <w:t>0-20</w:t>
            </w:r>
          </w:p>
          <w:p w14:paraId="72FE5646" w14:textId="77777777" w:rsidR="00FB21D4" w:rsidRPr="004611D4" w:rsidRDefault="00FB21D4" w:rsidP="00FB21D4">
            <w:pPr>
              <w:jc w:val="center"/>
              <w:rPr>
                <w:lang w:eastAsia="it-IT"/>
              </w:rPr>
            </w:pPr>
            <w:r w:rsidRPr="004611D4">
              <w:rPr>
                <w:sz w:val="20"/>
                <w:lang w:eastAsia="it-IT"/>
              </w:rPr>
              <w:t>(0-24)</w:t>
            </w:r>
          </w:p>
        </w:tc>
        <w:tc>
          <w:tcPr>
            <w:tcW w:w="720" w:type="dxa"/>
            <w:tcBorders>
              <w:left w:val="nil"/>
              <w:bottom w:val="single" w:sz="4" w:space="0" w:color="auto"/>
              <w:right w:val="nil"/>
            </w:tcBorders>
            <w:shd w:val="clear" w:color="auto" w:fill="auto"/>
            <w:noWrap/>
            <w:vAlign w:val="center"/>
          </w:tcPr>
          <w:p w14:paraId="2240A887" w14:textId="77777777" w:rsidR="00FB21D4" w:rsidRPr="004611D4" w:rsidRDefault="00FB21D4" w:rsidP="00FB21D4">
            <w:pPr>
              <w:jc w:val="center"/>
              <w:rPr>
                <w:lang w:eastAsia="it-IT"/>
              </w:rPr>
            </w:pPr>
            <w:r w:rsidRPr="004611D4">
              <w:rPr>
                <w:lang w:eastAsia="it-IT"/>
              </w:rPr>
              <w:t>0-18</w:t>
            </w:r>
          </w:p>
          <w:p w14:paraId="258E0881" w14:textId="77777777" w:rsidR="00FB21D4" w:rsidRPr="004611D4" w:rsidRDefault="00FB21D4" w:rsidP="00FB21D4">
            <w:pPr>
              <w:jc w:val="center"/>
              <w:rPr>
                <w:lang w:eastAsia="it-IT"/>
              </w:rPr>
            </w:pPr>
            <w:r w:rsidRPr="004611D4">
              <w:rPr>
                <w:sz w:val="20"/>
                <w:lang w:eastAsia="it-IT"/>
              </w:rPr>
              <w:t>(0-24)</w:t>
            </w:r>
          </w:p>
        </w:tc>
        <w:tc>
          <w:tcPr>
            <w:tcW w:w="720" w:type="dxa"/>
            <w:tcBorders>
              <w:left w:val="nil"/>
              <w:bottom w:val="single" w:sz="4" w:space="0" w:color="auto"/>
              <w:right w:val="nil"/>
            </w:tcBorders>
            <w:shd w:val="clear" w:color="auto" w:fill="auto"/>
            <w:noWrap/>
            <w:vAlign w:val="center"/>
          </w:tcPr>
          <w:p w14:paraId="54E8FEF3" w14:textId="77777777" w:rsidR="00FB21D4" w:rsidRPr="004611D4" w:rsidRDefault="00FB21D4" w:rsidP="00FB21D4">
            <w:pPr>
              <w:jc w:val="center"/>
              <w:rPr>
                <w:lang w:eastAsia="it-IT"/>
              </w:rPr>
            </w:pPr>
            <w:r w:rsidRPr="004611D4">
              <w:rPr>
                <w:lang w:eastAsia="it-IT"/>
              </w:rPr>
              <w:t>0-6</w:t>
            </w:r>
          </w:p>
          <w:p w14:paraId="09899210" w14:textId="77777777" w:rsidR="00FB21D4" w:rsidRPr="004611D4" w:rsidRDefault="00FB21D4" w:rsidP="00FB21D4">
            <w:pPr>
              <w:jc w:val="center"/>
              <w:rPr>
                <w:lang w:eastAsia="it-IT"/>
              </w:rPr>
            </w:pPr>
            <w:r w:rsidRPr="004611D4">
              <w:rPr>
                <w:sz w:val="20"/>
                <w:lang w:eastAsia="it-IT"/>
              </w:rPr>
              <w:t>(0-6)</w:t>
            </w:r>
          </w:p>
        </w:tc>
        <w:tc>
          <w:tcPr>
            <w:tcW w:w="720" w:type="dxa"/>
            <w:tcBorders>
              <w:left w:val="nil"/>
              <w:bottom w:val="single" w:sz="4" w:space="0" w:color="auto"/>
              <w:right w:val="nil"/>
            </w:tcBorders>
            <w:shd w:val="clear" w:color="auto" w:fill="auto"/>
            <w:noWrap/>
            <w:vAlign w:val="center"/>
          </w:tcPr>
          <w:p w14:paraId="7DB524DC" w14:textId="77777777" w:rsidR="00FB21D4" w:rsidRPr="004611D4" w:rsidRDefault="00FB21D4" w:rsidP="00FB21D4">
            <w:pPr>
              <w:jc w:val="center"/>
              <w:rPr>
                <w:lang w:eastAsia="it-IT"/>
              </w:rPr>
            </w:pPr>
            <w:r w:rsidRPr="004611D4">
              <w:rPr>
                <w:lang w:eastAsia="it-IT"/>
              </w:rPr>
              <w:t>0-6</w:t>
            </w:r>
          </w:p>
          <w:p w14:paraId="2953FCD7" w14:textId="77777777" w:rsidR="00FB21D4" w:rsidRPr="004611D4" w:rsidRDefault="00FB21D4" w:rsidP="00FB21D4">
            <w:pPr>
              <w:jc w:val="center"/>
              <w:rPr>
                <w:lang w:eastAsia="it-IT"/>
              </w:rPr>
            </w:pPr>
            <w:r w:rsidRPr="004611D4">
              <w:rPr>
                <w:sz w:val="20"/>
                <w:lang w:eastAsia="it-IT"/>
              </w:rPr>
              <w:t>(0-6)</w:t>
            </w:r>
          </w:p>
        </w:tc>
        <w:tc>
          <w:tcPr>
            <w:tcW w:w="720" w:type="dxa"/>
            <w:tcBorders>
              <w:left w:val="nil"/>
              <w:bottom w:val="single" w:sz="4" w:space="0" w:color="auto"/>
              <w:right w:val="nil"/>
            </w:tcBorders>
            <w:shd w:val="clear" w:color="auto" w:fill="auto"/>
            <w:vAlign w:val="center"/>
          </w:tcPr>
          <w:p w14:paraId="161793C2" w14:textId="77777777" w:rsidR="00FB21D4" w:rsidRPr="004611D4" w:rsidRDefault="00FB21D4" w:rsidP="00FB21D4">
            <w:pPr>
              <w:jc w:val="center"/>
              <w:rPr>
                <w:lang w:eastAsia="it-IT"/>
              </w:rPr>
            </w:pPr>
            <w:r w:rsidRPr="004611D4">
              <w:rPr>
                <w:lang w:eastAsia="it-IT"/>
              </w:rPr>
              <w:t xml:space="preserve">0-24 </w:t>
            </w:r>
          </w:p>
          <w:p w14:paraId="218C302D" w14:textId="77777777" w:rsidR="00FB21D4" w:rsidRPr="004611D4" w:rsidRDefault="00FB21D4" w:rsidP="00FB21D4">
            <w:pPr>
              <w:jc w:val="center"/>
              <w:rPr>
                <w:lang w:eastAsia="it-IT"/>
              </w:rPr>
            </w:pPr>
            <w:r w:rsidRPr="004611D4">
              <w:rPr>
                <w:sz w:val="20"/>
                <w:lang w:eastAsia="it-IT"/>
              </w:rPr>
              <w:t>(0-40)</w:t>
            </w:r>
          </w:p>
        </w:tc>
        <w:tc>
          <w:tcPr>
            <w:tcW w:w="720" w:type="dxa"/>
            <w:tcBorders>
              <w:left w:val="nil"/>
              <w:bottom w:val="single" w:sz="4" w:space="0" w:color="auto"/>
              <w:right w:val="nil"/>
            </w:tcBorders>
            <w:shd w:val="clear" w:color="auto" w:fill="auto"/>
            <w:vAlign w:val="center"/>
          </w:tcPr>
          <w:p w14:paraId="1A20F8C1" w14:textId="77777777" w:rsidR="00FB21D4" w:rsidRPr="004611D4" w:rsidRDefault="00FB21D4" w:rsidP="00FB21D4">
            <w:pPr>
              <w:jc w:val="center"/>
              <w:rPr>
                <w:lang w:eastAsia="it-IT"/>
              </w:rPr>
            </w:pPr>
            <w:r w:rsidRPr="004611D4">
              <w:rPr>
                <w:lang w:eastAsia="it-IT"/>
              </w:rPr>
              <w:t xml:space="preserve">0-30 </w:t>
            </w:r>
          </w:p>
          <w:p w14:paraId="7DF3C5BF" w14:textId="77777777" w:rsidR="00FB21D4" w:rsidRPr="004611D4" w:rsidRDefault="00FB21D4" w:rsidP="00FB21D4">
            <w:pPr>
              <w:jc w:val="center"/>
              <w:rPr>
                <w:lang w:eastAsia="it-IT"/>
              </w:rPr>
            </w:pPr>
            <w:r w:rsidRPr="004611D4">
              <w:rPr>
                <w:sz w:val="20"/>
                <w:lang w:eastAsia="it-IT"/>
              </w:rPr>
              <w:t>(0-40)</w:t>
            </w:r>
          </w:p>
        </w:tc>
        <w:tc>
          <w:tcPr>
            <w:tcW w:w="1022" w:type="dxa"/>
            <w:tcBorders>
              <w:left w:val="nil"/>
              <w:bottom w:val="single" w:sz="4" w:space="0" w:color="auto"/>
              <w:right w:val="nil"/>
            </w:tcBorders>
            <w:shd w:val="clear" w:color="auto" w:fill="auto"/>
            <w:vAlign w:val="center"/>
          </w:tcPr>
          <w:p w14:paraId="0BF63517" w14:textId="77777777" w:rsidR="00FB21D4" w:rsidRPr="004611D4" w:rsidRDefault="00FB21D4" w:rsidP="00FB21D4">
            <w:pPr>
              <w:jc w:val="center"/>
              <w:rPr>
                <w:lang w:eastAsia="it-IT"/>
              </w:rPr>
            </w:pPr>
            <w:r w:rsidRPr="004611D4">
              <w:rPr>
                <w:lang w:eastAsia="it-IT"/>
              </w:rPr>
              <w:t>-1.00-.85</w:t>
            </w:r>
          </w:p>
        </w:tc>
        <w:tc>
          <w:tcPr>
            <w:tcW w:w="1022" w:type="dxa"/>
            <w:tcBorders>
              <w:left w:val="nil"/>
              <w:bottom w:val="single" w:sz="4" w:space="0" w:color="auto"/>
              <w:right w:val="nil"/>
            </w:tcBorders>
            <w:shd w:val="clear" w:color="auto" w:fill="auto"/>
            <w:vAlign w:val="center"/>
          </w:tcPr>
          <w:p w14:paraId="7F5F5AD7" w14:textId="77777777" w:rsidR="00FB21D4" w:rsidRPr="004611D4" w:rsidRDefault="00FB21D4" w:rsidP="00FB21D4">
            <w:pPr>
              <w:jc w:val="center"/>
              <w:rPr>
                <w:lang w:eastAsia="it-IT"/>
              </w:rPr>
            </w:pPr>
            <w:r w:rsidRPr="004611D4">
              <w:rPr>
                <w:lang w:eastAsia="it-IT"/>
              </w:rPr>
              <w:t>-1.00-.98</w:t>
            </w:r>
          </w:p>
        </w:tc>
        <w:tc>
          <w:tcPr>
            <w:tcW w:w="723" w:type="dxa"/>
            <w:tcBorders>
              <w:left w:val="nil"/>
              <w:bottom w:val="single" w:sz="4" w:space="0" w:color="auto"/>
              <w:right w:val="nil"/>
            </w:tcBorders>
            <w:shd w:val="clear" w:color="auto" w:fill="auto"/>
            <w:vAlign w:val="center"/>
          </w:tcPr>
          <w:p w14:paraId="082CDFBF" w14:textId="77777777" w:rsidR="00FB21D4" w:rsidRPr="004611D4" w:rsidRDefault="00FB21D4" w:rsidP="00FB21D4">
            <w:pPr>
              <w:jc w:val="center"/>
              <w:rPr>
                <w:lang w:eastAsia="it-IT"/>
              </w:rPr>
            </w:pPr>
            <w:r w:rsidRPr="004611D4">
              <w:rPr>
                <w:lang w:eastAsia="it-IT"/>
              </w:rPr>
              <w:t xml:space="preserve">0-1 </w:t>
            </w:r>
          </w:p>
          <w:p w14:paraId="3C905CC2" w14:textId="77777777" w:rsidR="00FB21D4" w:rsidRPr="004611D4" w:rsidRDefault="00FB21D4" w:rsidP="00FB21D4">
            <w:pPr>
              <w:jc w:val="center"/>
              <w:rPr>
                <w:lang w:eastAsia="it-IT"/>
              </w:rPr>
            </w:pPr>
            <w:r w:rsidRPr="004611D4">
              <w:rPr>
                <w:sz w:val="20"/>
                <w:lang w:eastAsia="it-IT"/>
              </w:rPr>
              <w:t>(0-1)</w:t>
            </w:r>
          </w:p>
        </w:tc>
        <w:tc>
          <w:tcPr>
            <w:tcW w:w="723" w:type="dxa"/>
            <w:tcBorders>
              <w:left w:val="nil"/>
              <w:bottom w:val="single" w:sz="4" w:space="0" w:color="auto"/>
              <w:right w:val="nil"/>
            </w:tcBorders>
            <w:shd w:val="clear" w:color="auto" w:fill="auto"/>
            <w:vAlign w:val="center"/>
          </w:tcPr>
          <w:p w14:paraId="09434510" w14:textId="77777777" w:rsidR="00FB21D4" w:rsidRPr="004611D4" w:rsidRDefault="00FB21D4" w:rsidP="00FB21D4">
            <w:pPr>
              <w:jc w:val="center"/>
              <w:rPr>
                <w:lang w:eastAsia="it-IT"/>
              </w:rPr>
            </w:pPr>
            <w:r w:rsidRPr="004611D4">
              <w:rPr>
                <w:lang w:eastAsia="it-IT"/>
              </w:rPr>
              <w:t xml:space="preserve">0-1 </w:t>
            </w:r>
          </w:p>
          <w:p w14:paraId="74BD2E55" w14:textId="77777777" w:rsidR="00FB21D4" w:rsidRPr="004611D4" w:rsidRDefault="00FB21D4" w:rsidP="00FB21D4">
            <w:pPr>
              <w:jc w:val="center"/>
              <w:rPr>
                <w:lang w:eastAsia="it-IT"/>
              </w:rPr>
            </w:pPr>
            <w:r w:rsidRPr="004611D4">
              <w:rPr>
                <w:sz w:val="20"/>
                <w:lang w:eastAsia="it-IT"/>
              </w:rPr>
              <w:t>(0-1)</w:t>
            </w:r>
          </w:p>
        </w:tc>
      </w:tr>
      <w:tr w:rsidR="004611D4" w:rsidRPr="004611D4" w14:paraId="2B7DB1AF" w14:textId="77777777" w:rsidTr="005E5528">
        <w:trPr>
          <w:trHeight w:val="1505"/>
        </w:trPr>
        <w:tc>
          <w:tcPr>
            <w:tcW w:w="14285" w:type="dxa"/>
            <w:gridSpan w:val="16"/>
            <w:tcBorders>
              <w:top w:val="single" w:sz="4" w:space="0" w:color="auto"/>
              <w:left w:val="nil"/>
              <w:right w:val="nil"/>
            </w:tcBorders>
            <w:vAlign w:val="center"/>
          </w:tcPr>
          <w:p w14:paraId="29689089" w14:textId="03D46D6D" w:rsidR="005E5528" w:rsidRPr="004611D4" w:rsidRDefault="005E5528" w:rsidP="005E5528">
            <w:pPr>
              <w:rPr>
                <w:shd w:val="clear" w:color="auto" w:fill="FFFFFF"/>
              </w:rPr>
            </w:pPr>
            <w:r w:rsidRPr="004611D4">
              <w:rPr>
                <w:i/>
                <w:iCs/>
                <w:lang w:eastAsia="it-IT"/>
              </w:rPr>
              <w:t>Note.</w:t>
            </w:r>
            <w:r w:rsidRPr="004611D4">
              <w:rPr>
                <w:lang w:eastAsia="it-IT"/>
              </w:rPr>
              <w:t xml:space="preserve"> </w:t>
            </w:r>
            <w:r w:rsidRPr="004611D4">
              <w:rPr>
                <w:i/>
                <w:lang w:eastAsia="it-IT"/>
              </w:rPr>
              <w:t>N</w:t>
            </w:r>
            <w:r w:rsidRPr="004611D4">
              <w:rPr>
                <w:lang w:eastAsia="it-IT"/>
              </w:rPr>
              <w:t>s</w:t>
            </w:r>
            <w:r w:rsidR="008D0AB9">
              <w:rPr>
                <w:lang w:eastAsia="it-IT"/>
              </w:rPr>
              <w:t xml:space="preserve"> = </w:t>
            </w:r>
            <w:r w:rsidRPr="004611D4">
              <w:rPr>
                <w:lang w:eastAsia="it-IT"/>
              </w:rPr>
              <w:t xml:space="preserve">1400 to 1504. All correlations ≥ .10 were significant at </w:t>
            </w:r>
            <w:r w:rsidRPr="004611D4">
              <w:rPr>
                <w:i/>
                <w:lang w:eastAsia="it-IT"/>
              </w:rPr>
              <w:t>p</w:t>
            </w:r>
            <w:r w:rsidR="008D0AB9">
              <w:rPr>
                <w:lang w:eastAsia="it-IT"/>
              </w:rPr>
              <w:t xml:space="preserve"> &lt; </w:t>
            </w:r>
            <w:r w:rsidRPr="004611D4">
              <w:rPr>
                <w:lang w:eastAsia="it-IT"/>
              </w:rPr>
              <w:t>.001; correlations ≥ .20 are bolded for readability. T1</w:t>
            </w:r>
            <w:r w:rsidR="008D0AB9">
              <w:rPr>
                <w:lang w:eastAsia="it-IT"/>
              </w:rPr>
              <w:t xml:space="preserve"> = </w:t>
            </w:r>
            <w:r w:rsidRPr="004611D4">
              <w:rPr>
                <w:lang w:eastAsia="it-IT"/>
              </w:rPr>
              <w:t>Time 1 assessment (age 14); T2</w:t>
            </w:r>
            <w:r w:rsidR="008D0AB9">
              <w:rPr>
                <w:lang w:eastAsia="it-IT"/>
              </w:rPr>
              <w:t xml:space="preserve"> = </w:t>
            </w:r>
            <w:r w:rsidRPr="004611D4">
              <w:rPr>
                <w:lang w:eastAsia="it-IT"/>
              </w:rPr>
              <w:t>Time 2 assessment (age 16); ADHD</w:t>
            </w:r>
            <w:r w:rsidR="008D0AB9">
              <w:rPr>
                <w:lang w:eastAsia="it-IT"/>
              </w:rPr>
              <w:t xml:space="preserve"> = </w:t>
            </w:r>
            <w:r w:rsidRPr="004611D4">
              <w:rPr>
                <w:lang w:eastAsia="it-IT"/>
              </w:rPr>
              <w:t>attention-deficit/hyperactivity disorder</w:t>
            </w:r>
            <w:r w:rsidR="00F741E0">
              <w:rPr>
                <w:lang w:eastAsia="it-IT"/>
              </w:rPr>
              <w:t xml:space="preserve"> symptom count</w:t>
            </w:r>
            <w:r w:rsidRPr="004611D4">
              <w:rPr>
                <w:lang w:eastAsia="it-IT"/>
              </w:rPr>
              <w:t>; AUD</w:t>
            </w:r>
            <w:r w:rsidR="008D0AB9">
              <w:rPr>
                <w:lang w:eastAsia="it-IT"/>
              </w:rPr>
              <w:t xml:space="preserve"> = </w:t>
            </w:r>
            <w:r w:rsidRPr="004611D4">
              <w:rPr>
                <w:lang w:eastAsia="it-IT"/>
              </w:rPr>
              <w:t>alcohol use disorder</w:t>
            </w:r>
            <w:r w:rsidR="00F741E0">
              <w:rPr>
                <w:lang w:eastAsia="it-IT"/>
              </w:rPr>
              <w:t xml:space="preserve"> symptom count</w:t>
            </w:r>
            <w:r w:rsidRPr="004611D4">
              <w:rPr>
                <w:lang w:eastAsia="it-IT"/>
              </w:rPr>
              <w:t>; Externalizing</w:t>
            </w:r>
            <w:r w:rsidR="008D0AB9">
              <w:rPr>
                <w:lang w:eastAsia="it-IT"/>
              </w:rPr>
              <w:t xml:space="preserve"> = </w:t>
            </w:r>
            <w:r w:rsidRPr="004611D4">
              <w:rPr>
                <w:lang w:eastAsia="it-IT"/>
              </w:rPr>
              <w:t xml:space="preserve">log-transformed estimated general factor scores from bifactor model. </w:t>
            </w:r>
            <w:r w:rsidRPr="004611D4">
              <w:rPr>
                <w:vertAlign w:val="superscript"/>
                <w:lang w:eastAsia="it-IT"/>
              </w:rPr>
              <w:t>a</w:t>
            </w:r>
            <w:r w:rsidRPr="004611D4">
              <w:rPr>
                <w:lang w:eastAsia="it-IT"/>
              </w:rPr>
              <w:t xml:space="preserve">Disinhibition and callousness were z-scored to facilitate ease of interpretation in all analyses (including correlations in the upper part of this table), but the descriptives in the lower part of this table refer to the raw (untransformed) versions of these variables. </w:t>
            </w:r>
            <w:r w:rsidRPr="004611D4">
              <w:rPr>
                <w:vertAlign w:val="superscript"/>
                <w:lang w:eastAsia="it-IT"/>
              </w:rPr>
              <w:t>b</w:t>
            </w:r>
            <w:r w:rsidRPr="004611D4">
              <w:rPr>
                <w:lang w:eastAsia="it-IT"/>
              </w:rPr>
              <w:t xml:space="preserve">Pearson’s </w:t>
            </w:r>
            <w:r w:rsidRPr="004611D4">
              <w:rPr>
                <w:i/>
                <w:lang w:eastAsia="it-IT"/>
              </w:rPr>
              <w:t>r</w:t>
            </w:r>
            <w:r w:rsidRPr="004611D4">
              <w:rPr>
                <w:lang w:eastAsia="it-IT"/>
              </w:rPr>
              <w:t xml:space="preserve">; </w:t>
            </w:r>
            <w:r w:rsidRPr="004611D4">
              <w:rPr>
                <w:vertAlign w:val="superscript"/>
                <w:lang w:eastAsia="it-IT"/>
              </w:rPr>
              <w:t>c</w:t>
            </w:r>
            <w:r w:rsidRPr="004611D4">
              <w:rPr>
                <w:lang w:eastAsia="it-IT"/>
              </w:rPr>
              <w:t xml:space="preserve">Spearman’s </w:t>
            </w:r>
            <w:r w:rsidRPr="004611D4">
              <w:rPr>
                <w:i/>
                <w:shd w:val="clear" w:color="auto" w:fill="FFFFFF"/>
              </w:rPr>
              <w:t>ϱ</w:t>
            </w:r>
            <w:r w:rsidRPr="004611D4">
              <w:rPr>
                <w:iCs/>
                <w:shd w:val="clear" w:color="auto" w:fill="FFFFFF"/>
              </w:rPr>
              <w:t xml:space="preserve">; </w:t>
            </w:r>
            <w:r w:rsidRPr="004611D4">
              <w:rPr>
                <w:iCs/>
                <w:shd w:val="clear" w:color="auto" w:fill="FFFFFF"/>
                <w:vertAlign w:val="superscript"/>
              </w:rPr>
              <w:t>d</w:t>
            </w:r>
            <w:r w:rsidRPr="004611D4">
              <w:rPr>
                <w:iCs/>
                <w:shd w:val="clear" w:color="auto" w:fill="FFFFFF"/>
              </w:rPr>
              <w:t>Pearson’s point-biserial correlation (</w:t>
            </w:r>
            <w:r w:rsidRPr="004611D4">
              <w:rPr>
                <w:i/>
                <w:shd w:val="clear" w:color="auto" w:fill="FFFFFF"/>
              </w:rPr>
              <w:t>r</w:t>
            </w:r>
            <w:r w:rsidRPr="004611D4">
              <w:rPr>
                <w:iCs/>
                <w:shd w:val="clear" w:color="auto" w:fill="FFFFFF"/>
                <w:vertAlign w:val="subscript"/>
              </w:rPr>
              <w:t>pb</w:t>
            </w:r>
            <w:r w:rsidRPr="004611D4">
              <w:rPr>
                <w:iCs/>
                <w:shd w:val="clear" w:color="auto" w:fill="FFFFFF"/>
              </w:rPr>
              <w:t xml:space="preserve">); </w:t>
            </w:r>
            <w:r w:rsidRPr="004611D4">
              <w:rPr>
                <w:iCs/>
                <w:shd w:val="clear" w:color="auto" w:fill="FFFFFF"/>
                <w:vertAlign w:val="superscript"/>
              </w:rPr>
              <w:t>e</w:t>
            </w:r>
            <w:r w:rsidRPr="004611D4">
              <w:rPr>
                <w:shd w:val="clear" w:color="auto" w:fill="FFFFFF"/>
              </w:rPr>
              <w:t xml:space="preserve">Pearson’s </w:t>
            </w:r>
            <w:bookmarkStart w:id="26" w:name="OLE_LINK97"/>
            <w:bookmarkStart w:id="27" w:name="OLE_LINK98"/>
            <w:r w:rsidRPr="004611D4">
              <w:rPr>
                <w:i/>
                <w:iCs/>
                <w:shd w:val="clear" w:color="auto" w:fill="FFFFFF"/>
              </w:rPr>
              <w:t>φ</w:t>
            </w:r>
            <w:bookmarkEnd w:id="26"/>
            <w:bookmarkEnd w:id="27"/>
            <w:r w:rsidRPr="004611D4">
              <w:rPr>
                <w:shd w:val="clear" w:color="auto" w:fill="FFFFFF"/>
              </w:rPr>
              <w:t>.</w:t>
            </w:r>
          </w:p>
        </w:tc>
      </w:tr>
    </w:tbl>
    <w:p w14:paraId="46307883" w14:textId="12D9BA5B" w:rsidR="001E3653" w:rsidRPr="004611D4" w:rsidRDefault="001E3653" w:rsidP="005635AE">
      <w:pPr>
        <w:sectPr w:rsidR="001E3653" w:rsidRPr="004611D4" w:rsidSect="00FB21D4">
          <w:pgSz w:w="15840" w:h="12240" w:orient="landscape"/>
          <w:pgMar w:top="720" w:right="720" w:bottom="720" w:left="720" w:header="720" w:footer="720" w:gutter="0"/>
          <w:cols w:space="720"/>
          <w:docGrid w:linePitch="360"/>
        </w:sectPr>
      </w:pPr>
    </w:p>
    <w:p w14:paraId="411B9650" w14:textId="3C2BED9E" w:rsidR="00ED6790" w:rsidRPr="004611D4" w:rsidRDefault="00ED6790">
      <w:pPr>
        <w:rPr>
          <w:rFonts w:eastAsia="MS Mincho"/>
          <w:iCs/>
          <w:noProof/>
          <w:kern w:val="2"/>
        </w:rPr>
      </w:pPr>
      <w:r w:rsidRPr="004611D4">
        <w:rPr>
          <w:b/>
          <w:bCs/>
        </w:rPr>
        <w:lastRenderedPageBreak/>
        <w:t xml:space="preserve">Supplemental Figure </w:t>
      </w:r>
      <w:r w:rsidR="006E7A21" w:rsidRPr="004611D4">
        <w:rPr>
          <w:b/>
          <w:bCs/>
        </w:rPr>
        <w:t>A</w:t>
      </w:r>
      <w:r w:rsidRPr="004611D4">
        <w:rPr>
          <w:b/>
          <w:bCs/>
        </w:rPr>
        <w:t>.</w:t>
      </w:r>
      <w:r w:rsidRPr="004611D4">
        <w:rPr>
          <w:rFonts w:eastAsia="MS Mincho"/>
          <w:iCs/>
          <w:noProof/>
          <w:kern w:val="2"/>
        </w:rPr>
        <w:t xml:space="preserve"> Participant Exclusions for the Current Analyses</w:t>
      </w:r>
    </w:p>
    <w:p w14:paraId="52D6B429" w14:textId="77777777" w:rsidR="00ED6790" w:rsidRPr="004611D4" w:rsidRDefault="00ED6790">
      <w:pPr>
        <w:rPr>
          <w:b/>
          <w:bCs/>
        </w:rPr>
      </w:pPr>
    </w:p>
    <w:p w14:paraId="7BC2A775" w14:textId="469BD039" w:rsidR="00ED6790" w:rsidRPr="004611D4" w:rsidRDefault="00D67FC6">
      <w:pPr>
        <w:rPr>
          <w:b/>
          <w:bCs/>
        </w:rPr>
      </w:pPr>
      <w:r w:rsidRPr="004611D4">
        <w:rPr>
          <w:b/>
          <w:bCs/>
          <w:noProof/>
        </w:rPr>
        <w:drawing>
          <wp:inline distT="0" distB="0" distL="0" distR="0" wp14:anchorId="628FE40F" wp14:editId="6C57EAD9">
            <wp:extent cx="4572000" cy="6400800"/>
            <wp:effectExtent l="0" t="0" r="0" b="0"/>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inline>
        </w:drawing>
      </w:r>
    </w:p>
    <w:p w14:paraId="0208ECF7" w14:textId="77777777" w:rsidR="00871842" w:rsidRPr="004611D4" w:rsidRDefault="00871842">
      <w:pPr>
        <w:rPr>
          <w:i/>
          <w:iCs/>
        </w:rPr>
      </w:pPr>
    </w:p>
    <w:p w14:paraId="33E527E7" w14:textId="59F36771" w:rsidR="006451CD" w:rsidRPr="004611D4" w:rsidRDefault="00ED6790">
      <w:r w:rsidRPr="004611D4">
        <w:rPr>
          <w:i/>
          <w:iCs/>
        </w:rPr>
        <w:t>Note.</w:t>
      </w:r>
      <w:r w:rsidRPr="004611D4">
        <w:t xml:space="preserve"> </w:t>
      </w:r>
      <w:r w:rsidRPr="004611D4">
        <w:rPr>
          <w:lang w:eastAsia="it-IT"/>
        </w:rPr>
        <w:t>T1</w:t>
      </w:r>
      <w:r w:rsidR="008D0AB9">
        <w:rPr>
          <w:lang w:eastAsia="it-IT"/>
        </w:rPr>
        <w:t xml:space="preserve"> = </w:t>
      </w:r>
      <w:r w:rsidRPr="004611D4">
        <w:rPr>
          <w:lang w:eastAsia="it-IT"/>
        </w:rPr>
        <w:t>Time 1 assessment (age 14); T2</w:t>
      </w:r>
      <w:r w:rsidR="008D0AB9">
        <w:rPr>
          <w:lang w:eastAsia="it-IT"/>
        </w:rPr>
        <w:t xml:space="preserve"> = </w:t>
      </w:r>
      <w:r w:rsidRPr="004611D4">
        <w:rPr>
          <w:lang w:eastAsia="it-IT"/>
        </w:rPr>
        <w:t>Time 2 assessment (age 16); ADHD</w:t>
      </w:r>
      <w:r w:rsidR="008D0AB9">
        <w:rPr>
          <w:lang w:eastAsia="it-IT"/>
        </w:rPr>
        <w:t xml:space="preserve"> = </w:t>
      </w:r>
      <w:r w:rsidRPr="004611D4">
        <w:rPr>
          <w:lang w:eastAsia="it-IT"/>
        </w:rPr>
        <w:t>attention-deficit/hyperactivity disorder</w:t>
      </w:r>
      <w:r w:rsidR="00D67FC6" w:rsidRPr="004611D4">
        <w:t>.</w:t>
      </w:r>
    </w:p>
    <w:p w14:paraId="0DBFF308" w14:textId="77777777" w:rsidR="006451CD" w:rsidRPr="004611D4" w:rsidRDefault="006451CD">
      <w:r w:rsidRPr="004611D4">
        <w:br w:type="page"/>
      </w:r>
    </w:p>
    <w:p w14:paraId="29481062" w14:textId="53C70779" w:rsidR="00163CA2" w:rsidRPr="004611D4" w:rsidRDefault="00163CA2" w:rsidP="00163CA2">
      <w:pPr>
        <w:spacing w:before="40"/>
        <w:rPr>
          <w:rFonts w:eastAsia="MS Mincho"/>
          <w:iCs/>
          <w:noProof/>
          <w:kern w:val="2"/>
        </w:rPr>
      </w:pPr>
      <w:r w:rsidRPr="004611D4">
        <w:rPr>
          <w:rFonts w:eastAsia="MS Mincho"/>
          <w:b/>
          <w:bCs/>
          <w:iCs/>
          <w:noProof/>
          <w:kern w:val="2"/>
        </w:rPr>
        <w:lastRenderedPageBreak/>
        <w:t xml:space="preserve">Supplemental Figure B. </w:t>
      </w:r>
      <w:r w:rsidRPr="004611D4">
        <w:rPr>
          <w:rFonts w:eastAsia="MS Mincho"/>
          <w:iCs/>
          <w:noProof/>
          <w:kern w:val="2"/>
        </w:rPr>
        <w:t>Distribution of IMAGEN-Disinhibition Scores at T1 and T2</w:t>
      </w:r>
    </w:p>
    <w:p w14:paraId="15769EC7" w14:textId="77777777" w:rsidR="00B91FA6" w:rsidRPr="004611D4" w:rsidRDefault="00B91FA6" w:rsidP="00163CA2">
      <w:pPr>
        <w:spacing w:before="40"/>
        <w:rPr>
          <w:rFonts w:eastAsia="MS Mincho"/>
          <w:iCs/>
          <w:noProof/>
          <w:kern w:val="2"/>
        </w:rPr>
      </w:pPr>
    </w:p>
    <w:p w14:paraId="4C7F5B4B" w14:textId="2142DE03" w:rsidR="00B91FA6" w:rsidRPr="004611D4" w:rsidRDefault="00B91FA6" w:rsidP="00163CA2">
      <w:pPr>
        <w:spacing w:before="40"/>
        <w:rPr>
          <w:rFonts w:eastAsia="MS Mincho"/>
          <w:b/>
          <w:bCs/>
          <w:iCs/>
          <w:noProof/>
          <w:kern w:val="2"/>
        </w:rPr>
      </w:pPr>
      <w:r w:rsidRPr="004611D4">
        <w:rPr>
          <w:noProof/>
        </w:rPr>
        <w:drawing>
          <wp:inline distT="0" distB="0" distL="0" distR="0" wp14:anchorId="03AC918B" wp14:editId="42283D38">
            <wp:extent cx="6172200" cy="3642653"/>
            <wp:effectExtent l="0" t="0" r="0" b="254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2"/>
                    <a:stretch>
                      <a:fillRect/>
                    </a:stretch>
                  </pic:blipFill>
                  <pic:spPr>
                    <a:xfrm>
                      <a:off x="0" y="0"/>
                      <a:ext cx="6206820" cy="3663085"/>
                    </a:xfrm>
                    <a:prstGeom prst="rect">
                      <a:avLst/>
                    </a:prstGeom>
                  </pic:spPr>
                </pic:pic>
              </a:graphicData>
            </a:graphic>
          </wp:inline>
        </w:drawing>
      </w:r>
    </w:p>
    <w:p w14:paraId="1D4BE239" w14:textId="45E42422" w:rsidR="00B91FA6" w:rsidRPr="004611D4" w:rsidRDefault="00B91FA6" w:rsidP="00163CA2">
      <w:pPr>
        <w:spacing w:before="40"/>
        <w:rPr>
          <w:rFonts w:eastAsia="MS Mincho"/>
          <w:b/>
          <w:bCs/>
          <w:iCs/>
          <w:noProof/>
          <w:kern w:val="2"/>
        </w:rPr>
      </w:pPr>
      <w:r w:rsidRPr="004611D4">
        <w:rPr>
          <w:noProof/>
        </w:rPr>
        <w:drawing>
          <wp:inline distT="0" distB="0" distL="0" distR="0" wp14:anchorId="4134D380" wp14:editId="7F6E8D6A">
            <wp:extent cx="6171703" cy="3642360"/>
            <wp:effectExtent l="0" t="0" r="635" b="2540"/>
            <wp:docPr id="6" name="Picture 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histogram&#10;&#10;Description automatically generated"/>
                    <pic:cNvPicPr/>
                  </pic:nvPicPr>
                  <pic:blipFill>
                    <a:blip r:embed="rId13"/>
                    <a:stretch>
                      <a:fillRect/>
                    </a:stretch>
                  </pic:blipFill>
                  <pic:spPr>
                    <a:xfrm>
                      <a:off x="0" y="0"/>
                      <a:ext cx="6183434" cy="3649283"/>
                    </a:xfrm>
                    <a:prstGeom prst="rect">
                      <a:avLst/>
                    </a:prstGeom>
                  </pic:spPr>
                </pic:pic>
              </a:graphicData>
            </a:graphic>
          </wp:inline>
        </w:drawing>
      </w:r>
    </w:p>
    <w:p w14:paraId="5C4B1074" w14:textId="60B692E5" w:rsidR="008114CE" w:rsidRPr="004611D4" w:rsidRDefault="008114CE" w:rsidP="00163CA2">
      <w:pPr>
        <w:spacing w:before="40"/>
        <w:rPr>
          <w:rFonts w:eastAsia="MS Mincho"/>
          <w:iCs/>
          <w:noProof/>
          <w:kern w:val="2"/>
        </w:rPr>
      </w:pPr>
      <w:r w:rsidRPr="004611D4">
        <w:rPr>
          <w:rFonts w:eastAsia="MS Mincho"/>
          <w:i/>
          <w:noProof/>
          <w:kern w:val="2"/>
        </w:rPr>
        <w:t>Note.</w:t>
      </w:r>
      <w:r w:rsidRPr="004611D4">
        <w:rPr>
          <w:rFonts w:eastAsia="MS Mincho"/>
          <w:iCs/>
          <w:noProof/>
          <w:kern w:val="2"/>
        </w:rPr>
        <w:t xml:space="preserve"> Scores for IMAGEN-Disinhibition reflect mean item ratings, with a possible range of 0 to 3.</w:t>
      </w:r>
    </w:p>
    <w:p w14:paraId="2D69206D" w14:textId="77777777" w:rsidR="00163CA2" w:rsidRPr="004611D4" w:rsidRDefault="00163CA2">
      <w:pPr>
        <w:rPr>
          <w:b/>
          <w:bCs/>
        </w:rPr>
      </w:pPr>
    </w:p>
    <w:p w14:paraId="6960E0F5" w14:textId="77777777" w:rsidR="00163CA2" w:rsidRPr="004611D4" w:rsidRDefault="00163CA2">
      <w:pPr>
        <w:rPr>
          <w:b/>
          <w:bCs/>
        </w:rPr>
      </w:pPr>
      <w:r w:rsidRPr="004611D4">
        <w:rPr>
          <w:b/>
          <w:bCs/>
        </w:rPr>
        <w:br w:type="page"/>
      </w:r>
    </w:p>
    <w:p w14:paraId="44A31170" w14:textId="1BF771F3" w:rsidR="00163CA2" w:rsidRPr="004611D4" w:rsidRDefault="00163CA2" w:rsidP="00163CA2">
      <w:pPr>
        <w:spacing w:before="40"/>
        <w:rPr>
          <w:rFonts w:eastAsia="MS Mincho"/>
          <w:b/>
          <w:bCs/>
          <w:iCs/>
          <w:noProof/>
          <w:kern w:val="2"/>
        </w:rPr>
      </w:pPr>
      <w:r w:rsidRPr="004611D4">
        <w:rPr>
          <w:rFonts w:eastAsia="MS Mincho"/>
          <w:b/>
          <w:bCs/>
          <w:iCs/>
          <w:noProof/>
          <w:kern w:val="2"/>
        </w:rPr>
        <w:lastRenderedPageBreak/>
        <w:t xml:space="preserve">Supplemental Figure C. </w:t>
      </w:r>
      <w:r w:rsidRPr="004611D4">
        <w:rPr>
          <w:rFonts w:eastAsia="MS Mincho"/>
          <w:iCs/>
          <w:noProof/>
          <w:kern w:val="2"/>
        </w:rPr>
        <w:t>Distribution of IMAGEN-Callousness Scores at T1 and T2</w:t>
      </w:r>
    </w:p>
    <w:p w14:paraId="4491915F" w14:textId="77777777" w:rsidR="00B91FA6" w:rsidRPr="004611D4" w:rsidRDefault="00B91FA6">
      <w:pPr>
        <w:rPr>
          <w:b/>
          <w:bCs/>
        </w:rPr>
      </w:pPr>
    </w:p>
    <w:p w14:paraId="41F74B5C" w14:textId="77777777" w:rsidR="00B91FA6" w:rsidRPr="004611D4" w:rsidRDefault="00B91FA6">
      <w:pPr>
        <w:rPr>
          <w:b/>
          <w:bCs/>
        </w:rPr>
      </w:pPr>
      <w:r w:rsidRPr="004611D4">
        <w:rPr>
          <w:noProof/>
        </w:rPr>
        <w:drawing>
          <wp:inline distT="0" distB="0" distL="0" distR="0" wp14:anchorId="3CBD00F6" wp14:editId="290200AD">
            <wp:extent cx="6172200" cy="3630124"/>
            <wp:effectExtent l="0" t="0" r="0" b="2540"/>
            <wp:docPr id="7" name="Pictur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histo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6125" cy="3655958"/>
                    </a:xfrm>
                    <a:prstGeom prst="rect">
                      <a:avLst/>
                    </a:prstGeom>
                    <a:noFill/>
                    <a:ln>
                      <a:noFill/>
                    </a:ln>
                  </pic:spPr>
                </pic:pic>
              </a:graphicData>
            </a:graphic>
          </wp:inline>
        </w:drawing>
      </w:r>
    </w:p>
    <w:p w14:paraId="3C8CFE58" w14:textId="77777777" w:rsidR="00B91FA6" w:rsidRPr="004611D4" w:rsidRDefault="00B91FA6">
      <w:pPr>
        <w:rPr>
          <w:b/>
          <w:bCs/>
        </w:rPr>
      </w:pPr>
    </w:p>
    <w:p w14:paraId="48CCA533" w14:textId="77777777" w:rsidR="008114CE" w:rsidRPr="004611D4" w:rsidRDefault="00B91FA6">
      <w:pPr>
        <w:rPr>
          <w:b/>
          <w:bCs/>
        </w:rPr>
      </w:pPr>
      <w:r w:rsidRPr="004611D4">
        <w:rPr>
          <w:noProof/>
        </w:rPr>
        <w:drawing>
          <wp:inline distT="0" distB="0" distL="0" distR="0" wp14:anchorId="77165403" wp14:editId="14C19EE4">
            <wp:extent cx="6172200" cy="3642653"/>
            <wp:effectExtent l="0" t="0" r="0" b="2540"/>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pic:nvPicPr>
                  <pic:blipFill>
                    <a:blip r:embed="rId15"/>
                    <a:stretch>
                      <a:fillRect/>
                    </a:stretch>
                  </pic:blipFill>
                  <pic:spPr>
                    <a:xfrm>
                      <a:off x="0" y="0"/>
                      <a:ext cx="6179171" cy="3646767"/>
                    </a:xfrm>
                    <a:prstGeom prst="rect">
                      <a:avLst/>
                    </a:prstGeom>
                  </pic:spPr>
                </pic:pic>
              </a:graphicData>
            </a:graphic>
          </wp:inline>
        </w:drawing>
      </w:r>
    </w:p>
    <w:p w14:paraId="6DEA6D44" w14:textId="11363F5A" w:rsidR="008114CE" w:rsidRPr="004611D4" w:rsidRDefault="008114CE" w:rsidP="008114CE">
      <w:pPr>
        <w:spacing w:before="40"/>
        <w:rPr>
          <w:rFonts w:eastAsia="MS Mincho"/>
          <w:iCs/>
          <w:noProof/>
          <w:kern w:val="2"/>
        </w:rPr>
      </w:pPr>
      <w:r w:rsidRPr="004611D4">
        <w:rPr>
          <w:rFonts w:eastAsia="MS Mincho"/>
          <w:i/>
          <w:noProof/>
          <w:kern w:val="2"/>
        </w:rPr>
        <w:t>Note.</w:t>
      </w:r>
      <w:r w:rsidRPr="004611D4">
        <w:rPr>
          <w:rFonts w:eastAsia="MS Mincho"/>
          <w:iCs/>
          <w:noProof/>
          <w:kern w:val="2"/>
        </w:rPr>
        <w:t xml:space="preserve"> Scores for IMAGEN-Callousness reflect mean item ratings, with a possible range of 0 to 3.</w:t>
      </w:r>
    </w:p>
    <w:p w14:paraId="4CA6B678" w14:textId="0B3D46AA" w:rsidR="00163CA2" w:rsidRPr="004611D4" w:rsidRDefault="00163CA2">
      <w:pPr>
        <w:rPr>
          <w:b/>
          <w:bCs/>
        </w:rPr>
      </w:pPr>
      <w:r w:rsidRPr="004611D4">
        <w:rPr>
          <w:b/>
          <w:bCs/>
        </w:rPr>
        <w:br w:type="page"/>
      </w:r>
    </w:p>
    <w:p w14:paraId="045596D1" w14:textId="2D024F3E" w:rsidR="006451CD" w:rsidRPr="004611D4" w:rsidRDefault="006451CD" w:rsidP="006451CD">
      <w:pPr>
        <w:rPr>
          <w:rFonts w:eastAsia="MS Mincho"/>
          <w:iCs/>
          <w:noProof/>
          <w:kern w:val="2"/>
        </w:rPr>
      </w:pPr>
      <w:r w:rsidRPr="004611D4">
        <w:rPr>
          <w:b/>
          <w:bCs/>
        </w:rPr>
        <w:lastRenderedPageBreak/>
        <w:t xml:space="preserve">Supplemental Figure </w:t>
      </w:r>
      <w:r w:rsidR="00163CA2" w:rsidRPr="004611D4">
        <w:rPr>
          <w:b/>
          <w:bCs/>
        </w:rPr>
        <w:t>D</w:t>
      </w:r>
      <w:r w:rsidRPr="004611D4">
        <w:rPr>
          <w:b/>
          <w:bCs/>
        </w:rPr>
        <w:t>.</w:t>
      </w:r>
      <w:r w:rsidRPr="004611D4">
        <w:rPr>
          <w:rFonts w:eastAsia="MS Mincho"/>
          <w:iCs/>
          <w:noProof/>
          <w:kern w:val="2"/>
        </w:rPr>
        <w:t xml:space="preserve"> </w:t>
      </w:r>
      <w:r w:rsidRPr="004611D4">
        <w:rPr>
          <w:noProof/>
        </w:rPr>
        <w:t>Incidence Rate Ratios for Disinhibition and Callousness as Predictors of Rule-Breaking Symptoms of Conduct Disorder in Negative Binomial Regression Models</w:t>
      </w:r>
    </w:p>
    <w:p w14:paraId="35ACB746" w14:textId="2A8EBD1A" w:rsidR="006451CD" w:rsidRPr="004611D4" w:rsidRDefault="006451CD">
      <w:pPr>
        <w:rPr>
          <w:b/>
          <w:bCs/>
        </w:rPr>
      </w:pPr>
    </w:p>
    <w:p w14:paraId="1A1E53A5" w14:textId="3DA7601C" w:rsidR="006451CD" w:rsidRPr="004611D4" w:rsidRDefault="00F63299">
      <w:pPr>
        <w:rPr>
          <w:b/>
          <w:bCs/>
        </w:rPr>
      </w:pPr>
      <w:r w:rsidRPr="004611D4">
        <w:rPr>
          <w:noProof/>
        </w:rPr>
        <w:drawing>
          <wp:inline distT="0" distB="0" distL="0" distR="0" wp14:anchorId="15775442" wp14:editId="6E07D5F1">
            <wp:extent cx="6217920" cy="4497070"/>
            <wp:effectExtent l="0" t="0" r="508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6"/>
                    <a:stretch>
                      <a:fillRect/>
                    </a:stretch>
                  </pic:blipFill>
                  <pic:spPr>
                    <a:xfrm>
                      <a:off x="0" y="0"/>
                      <a:ext cx="6217920" cy="4497070"/>
                    </a:xfrm>
                    <a:prstGeom prst="rect">
                      <a:avLst/>
                    </a:prstGeom>
                  </pic:spPr>
                </pic:pic>
              </a:graphicData>
            </a:graphic>
          </wp:inline>
        </w:drawing>
      </w:r>
    </w:p>
    <w:p w14:paraId="187BB0D1" w14:textId="69DF5905" w:rsidR="006451CD" w:rsidRPr="004611D4" w:rsidRDefault="006451CD" w:rsidP="009726FE">
      <w:pPr>
        <w:autoSpaceDE w:val="0"/>
        <w:autoSpaceDN w:val="0"/>
        <w:adjustRightInd w:val="0"/>
        <w:rPr>
          <w:rFonts w:eastAsia="Calibri"/>
        </w:rPr>
      </w:pPr>
      <w:r w:rsidRPr="004611D4">
        <w:rPr>
          <w:i/>
          <w:iCs/>
        </w:rPr>
        <w:t>Note.</w:t>
      </w:r>
      <w:r w:rsidRPr="004611D4">
        <w:t xml:space="preserve"> </w:t>
      </w:r>
      <w:r w:rsidR="009726FE" w:rsidRPr="004611D4">
        <w:rPr>
          <w:rFonts w:eastAsia="Calibri"/>
        </w:rPr>
        <w:t xml:space="preserve">Traditional prospective models included age 14 rule-breaking symptoms as a covariate; residualized prospective models instead included as a covariate a residualized score that represented variance in age 14 rule-breaking </w:t>
      </w:r>
      <w:r w:rsidR="00B2298B" w:rsidRPr="004611D4">
        <w:rPr>
          <w:rFonts w:eastAsia="Calibri"/>
        </w:rPr>
        <w:t>symptoms</w:t>
      </w:r>
      <w:r w:rsidR="009726FE" w:rsidRPr="004611D4">
        <w:rPr>
          <w:rFonts w:eastAsia="Calibri"/>
        </w:rPr>
        <w:t xml:space="preserve"> that was independent from age 14 disinhibition and callousness. All models included the other trait, age, sex, and assessment site as covariates. ***</w:t>
      </w:r>
      <w:r w:rsidR="009726FE" w:rsidRPr="004611D4">
        <w:rPr>
          <w:rFonts w:eastAsia="Calibri"/>
          <w:i/>
          <w:iCs/>
        </w:rPr>
        <w:t>p</w:t>
      </w:r>
      <w:r w:rsidR="00F63299" w:rsidRPr="004611D4">
        <w:rPr>
          <w:rFonts w:eastAsia="Calibri"/>
          <w:vertAlign w:val="subscript"/>
        </w:rPr>
        <w:t>H</w:t>
      </w:r>
      <w:r w:rsidR="008D0AB9">
        <w:rPr>
          <w:rFonts w:eastAsia="Calibri"/>
        </w:rPr>
        <w:t xml:space="preserve"> &lt; </w:t>
      </w:r>
      <w:r w:rsidR="009726FE" w:rsidRPr="004611D4">
        <w:rPr>
          <w:rFonts w:eastAsia="Calibri"/>
        </w:rPr>
        <w:t>.001, **</w:t>
      </w:r>
      <w:r w:rsidR="009726FE" w:rsidRPr="004611D4">
        <w:rPr>
          <w:rFonts w:eastAsia="Calibri"/>
          <w:i/>
          <w:iCs/>
        </w:rPr>
        <w:t>p</w:t>
      </w:r>
      <w:r w:rsidR="00F63299" w:rsidRPr="004611D4">
        <w:rPr>
          <w:rFonts w:eastAsia="Calibri"/>
          <w:vertAlign w:val="subscript"/>
        </w:rPr>
        <w:t>H</w:t>
      </w:r>
      <w:r w:rsidR="008D0AB9">
        <w:rPr>
          <w:rFonts w:eastAsia="Calibri"/>
        </w:rPr>
        <w:t xml:space="preserve"> &lt; </w:t>
      </w:r>
      <w:r w:rsidR="009726FE" w:rsidRPr="004611D4">
        <w:rPr>
          <w:rFonts w:eastAsia="Calibri"/>
        </w:rPr>
        <w:t>.01, *</w:t>
      </w:r>
      <w:r w:rsidR="009726FE" w:rsidRPr="004611D4">
        <w:rPr>
          <w:rFonts w:eastAsia="Calibri"/>
          <w:i/>
          <w:iCs/>
        </w:rPr>
        <w:t>p</w:t>
      </w:r>
      <w:r w:rsidR="00F63299" w:rsidRPr="004611D4">
        <w:rPr>
          <w:rFonts w:eastAsia="Calibri"/>
          <w:vertAlign w:val="subscript"/>
        </w:rPr>
        <w:t>H</w:t>
      </w:r>
      <w:r w:rsidR="008D0AB9">
        <w:rPr>
          <w:rFonts w:eastAsia="Calibri"/>
        </w:rPr>
        <w:t xml:space="preserve"> &lt; </w:t>
      </w:r>
      <w:r w:rsidR="009726FE" w:rsidRPr="004611D4">
        <w:rPr>
          <w:rFonts w:eastAsia="Calibri"/>
        </w:rPr>
        <w:t>.05.</w:t>
      </w:r>
    </w:p>
    <w:p w14:paraId="09DDFDC0" w14:textId="0505EB97" w:rsidR="009726FE" w:rsidRPr="004611D4" w:rsidRDefault="00ED6790">
      <w:pPr>
        <w:rPr>
          <w:b/>
          <w:bCs/>
        </w:rPr>
      </w:pPr>
      <w:r w:rsidRPr="004611D4">
        <w:rPr>
          <w:b/>
          <w:bCs/>
        </w:rPr>
        <w:br w:type="page"/>
      </w:r>
    </w:p>
    <w:p w14:paraId="0CEA1F79" w14:textId="56B9B284" w:rsidR="009726FE" w:rsidRPr="004611D4" w:rsidRDefault="009726FE" w:rsidP="009726FE">
      <w:pPr>
        <w:rPr>
          <w:rFonts w:eastAsia="MS Mincho"/>
          <w:iCs/>
          <w:noProof/>
          <w:kern w:val="2"/>
        </w:rPr>
      </w:pPr>
      <w:r w:rsidRPr="004611D4">
        <w:rPr>
          <w:b/>
          <w:bCs/>
        </w:rPr>
        <w:lastRenderedPageBreak/>
        <w:t xml:space="preserve">Supplemental Figure </w:t>
      </w:r>
      <w:r w:rsidR="00163CA2" w:rsidRPr="004611D4">
        <w:rPr>
          <w:b/>
          <w:bCs/>
        </w:rPr>
        <w:t>E</w:t>
      </w:r>
      <w:r w:rsidRPr="004611D4">
        <w:rPr>
          <w:b/>
          <w:bCs/>
        </w:rPr>
        <w:t>.</w:t>
      </w:r>
      <w:r w:rsidRPr="004611D4">
        <w:rPr>
          <w:rFonts w:eastAsia="MS Mincho"/>
          <w:iCs/>
          <w:noProof/>
          <w:kern w:val="2"/>
        </w:rPr>
        <w:t xml:space="preserve"> </w:t>
      </w:r>
      <w:r w:rsidRPr="004611D4">
        <w:rPr>
          <w:noProof/>
        </w:rPr>
        <w:t>Incidence Rate Ratios for Disinhibition and Callousness as Predictors of Aggressive Symptoms of Conduct Disorder in Negative Binomial Regression Models</w:t>
      </w:r>
    </w:p>
    <w:p w14:paraId="528E4CE4" w14:textId="0C9D2AE8" w:rsidR="00ED6790" w:rsidRPr="004611D4" w:rsidRDefault="00ED6790">
      <w:pPr>
        <w:rPr>
          <w:b/>
          <w:bCs/>
        </w:rPr>
      </w:pPr>
    </w:p>
    <w:p w14:paraId="51A7994C" w14:textId="674F7B59" w:rsidR="009726FE" w:rsidRPr="004611D4" w:rsidRDefault="00F63299">
      <w:pPr>
        <w:rPr>
          <w:b/>
          <w:bCs/>
        </w:rPr>
      </w:pPr>
      <w:r w:rsidRPr="004611D4">
        <w:rPr>
          <w:noProof/>
        </w:rPr>
        <w:drawing>
          <wp:inline distT="0" distB="0" distL="0" distR="0" wp14:anchorId="567EFD4E" wp14:editId="48BBCA5F">
            <wp:extent cx="6217920" cy="4497070"/>
            <wp:effectExtent l="0" t="0" r="508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7"/>
                    <a:stretch>
                      <a:fillRect/>
                    </a:stretch>
                  </pic:blipFill>
                  <pic:spPr>
                    <a:xfrm>
                      <a:off x="0" y="0"/>
                      <a:ext cx="6217920" cy="4497070"/>
                    </a:xfrm>
                    <a:prstGeom prst="rect">
                      <a:avLst/>
                    </a:prstGeom>
                  </pic:spPr>
                </pic:pic>
              </a:graphicData>
            </a:graphic>
          </wp:inline>
        </w:drawing>
      </w:r>
    </w:p>
    <w:p w14:paraId="25B0D9B8" w14:textId="65C7B45E" w:rsidR="009726FE" w:rsidRPr="004611D4" w:rsidRDefault="009726FE" w:rsidP="009726FE">
      <w:pPr>
        <w:autoSpaceDE w:val="0"/>
        <w:autoSpaceDN w:val="0"/>
        <w:adjustRightInd w:val="0"/>
        <w:rPr>
          <w:rFonts w:eastAsia="Calibri"/>
        </w:rPr>
      </w:pPr>
      <w:r w:rsidRPr="004611D4">
        <w:rPr>
          <w:i/>
          <w:iCs/>
        </w:rPr>
        <w:t>Note.</w:t>
      </w:r>
      <w:r w:rsidRPr="004611D4">
        <w:t xml:space="preserve"> </w:t>
      </w:r>
      <w:r w:rsidRPr="004611D4">
        <w:rPr>
          <w:rFonts w:eastAsia="Calibri"/>
        </w:rPr>
        <w:t xml:space="preserve">Traditional prospective models included age 14 aggressive symptoms as a covariate; residualized prospective models instead included as a covariate a residualized score that represented variance in age 14 aggressive symptoms that </w:t>
      </w:r>
      <w:r w:rsidR="00B2298B" w:rsidRPr="004611D4">
        <w:rPr>
          <w:rFonts w:eastAsia="Calibri"/>
        </w:rPr>
        <w:t>was</w:t>
      </w:r>
      <w:r w:rsidRPr="004611D4">
        <w:rPr>
          <w:rFonts w:eastAsia="Calibri"/>
        </w:rPr>
        <w:t xml:space="preserve"> independent from age 14 disinhibition and callousness. All models included the other trait, age, sex, and assessment site as covariates. ***</w:t>
      </w:r>
      <w:r w:rsidRPr="004611D4">
        <w:rPr>
          <w:rFonts w:eastAsia="Calibri"/>
          <w:i/>
          <w:iCs/>
        </w:rPr>
        <w:t>p</w:t>
      </w:r>
      <w:r w:rsidR="00F63299" w:rsidRPr="004611D4">
        <w:rPr>
          <w:rFonts w:eastAsia="Calibri"/>
          <w:vertAlign w:val="subscript"/>
        </w:rPr>
        <w:t>H</w:t>
      </w:r>
      <w:r w:rsidR="008D0AB9">
        <w:rPr>
          <w:rFonts w:eastAsia="Calibri"/>
        </w:rPr>
        <w:t xml:space="preserve"> &lt; </w:t>
      </w:r>
      <w:r w:rsidRPr="004611D4">
        <w:rPr>
          <w:rFonts w:eastAsia="Calibri"/>
        </w:rPr>
        <w:t>.001, **</w:t>
      </w:r>
      <w:r w:rsidRPr="004611D4">
        <w:rPr>
          <w:rFonts w:eastAsia="Calibri"/>
          <w:i/>
          <w:iCs/>
        </w:rPr>
        <w:t>p</w:t>
      </w:r>
      <w:r w:rsidR="00F63299" w:rsidRPr="004611D4">
        <w:rPr>
          <w:rFonts w:eastAsia="Calibri"/>
          <w:vertAlign w:val="subscript"/>
        </w:rPr>
        <w:t>H</w:t>
      </w:r>
      <w:r w:rsidR="008D0AB9">
        <w:rPr>
          <w:rFonts w:eastAsia="Calibri"/>
        </w:rPr>
        <w:t xml:space="preserve"> &lt; </w:t>
      </w:r>
      <w:r w:rsidRPr="004611D4">
        <w:rPr>
          <w:rFonts w:eastAsia="Calibri"/>
        </w:rPr>
        <w:t>.01, *</w:t>
      </w:r>
      <w:r w:rsidRPr="004611D4">
        <w:rPr>
          <w:rFonts w:eastAsia="Calibri"/>
          <w:i/>
          <w:iCs/>
        </w:rPr>
        <w:t>p</w:t>
      </w:r>
      <w:r w:rsidR="00F63299" w:rsidRPr="004611D4">
        <w:rPr>
          <w:rFonts w:eastAsia="Calibri"/>
          <w:vertAlign w:val="subscript"/>
        </w:rPr>
        <w:t>H</w:t>
      </w:r>
      <w:r w:rsidR="008D0AB9">
        <w:rPr>
          <w:rFonts w:eastAsia="Calibri"/>
        </w:rPr>
        <w:t xml:space="preserve"> &lt; </w:t>
      </w:r>
      <w:r w:rsidRPr="004611D4">
        <w:rPr>
          <w:rFonts w:eastAsia="Calibri"/>
        </w:rPr>
        <w:t>.05.</w:t>
      </w:r>
    </w:p>
    <w:p w14:paraId="0BC7D95B" w14:textId="59F61C46" w:rsidR="009726FE" w:rsidRPr="004611D4" w:rsidRDefault="009726FE">
      <w:pPr>
        <w:rPr>
          <w:b/>
          <w:bCs/>
        </w:rPr>
      </w:pPr>
      <w:r w:rsidRPr="004611D4">
        <w:rPr>
          <w:b/>
          <w:bCs/>
        </w:rPr>
        <w:br w:type="page"/>
      </w:r>
    </w:p>
    <w:p w14:paraId="3B587715" w14:textId="3828AED4" w:rsidR="00DD1D61" w:rsidRPr="004611D4" w:rsidRDefault="00DD1D61" w:rsidP="00DD1D61">
      <w:pPr>
        <w:spacing w:before="80"/>
        <w:ind w:right="-144"/>
        <w:jc w:val="center"/>
        <w:rPr>
          <w:b/>
          <w:bCs/>
        </w:rPr>
      </w:pPr>
      <w:r w:rsidRPr="004611D4">
        <w:rPr>
          <w:b/>
          <w:bCs/>
        </w:rPr>
        <w:lastRenderedPageBreak/>
        <w:t>References</w:t>
      </w:r>
    </w:p>
    <w:p w14:paraId="13F395B2" w14:textId="02C295D3" w:rsidR="00DD1D61" w:rsidRPr="004611D4" w:rsidRDefault="00DD1D61" w:rsidP="00DD1D61">
      <w:pPr>
        <w:spacing w:before="80"/>
        <w:ind w:right="-144"/>
      </w:pPr>
    </w:p>
    <w:p w14:paraId="0FDD6237" w14:textId="17D9B8EB" w:rsidR="003D7D31" w:rsidRPr="001401D1" w:rsidRDefault="003D7D31" w:rsidP="003D7D31">
      <w:pPr>
        <w:pStyle w:val="Bibliography"/>
      </w:pPr>
      <w:r w:rsidRPr="001401D1">
        <w:t xml:space="preserve">Bräker, A.-B., Göbel, K., Scheithauer, H., &amp; Soellner, R. (2015). Adolescent </w:t>
      </w:r>
      <w:r w:rsidR="00AC6FB2" w:rsidRPr="001401D1">
        <w:t>a</w:t>
      </w:r>
      <w:r w:rsidRPr="001401D1">
        <w:t xml:space="preserve">lcohol </w:t>
      </w:r>
      <w:r w:rsidR="00AC6FB2" w:rsidRPr="001401D1">
        <w:t>u</w:t>
      </w:r>
      <w:r w:rsidRPr="001401D1">
        <w:t xml:space="preserve">se </w:t>
      </w:r>
      <w:r w:rsidR="00AC6FB2" w:rsidRPr="001401D1">
        <w:t>p</w:t>
      </w:r>
      <w:r w:rsidRPr="001401D1">
        <w:t xml:space="preserve">atterns </w:t>
      </w:r>
      <w:r w:rsidR="00AC6FB2" w:rsidRPr="001401D1">
        <w:t>f</w:t>
      </w:r>
      <w:r w:rsidRPr="001401D1">
        <w:t xml:space="preserve">rom 25 European </w:t>
      </w:r>
      <w:r w:rsidR="00AC6FB2" w:rsidRPr="001401D1">
        <w:t>c</w:t>
      </w:r>
      <w:r w:rsidRPr="001401D1">
        <w:t xml:space="preserve">ountries. </w:t>
      </w:r>
      <w:r w:rsidRPr="001401D1">
        <w:rPr>
          <w:i/>
          <w:iCs/>
        </w:rPr>
        <w:t>Journal of Drug Issues</w:t>
      </w:r>
      <w:r w:rsidRPr="001401D1">
        <w:t xml:space="preserve">, </w:t>
      </w:r>
      <w:r w:rsidRPr="001401D1">
        <w:rPr>
          <w:i/>
          <w:iCs/>
        </w:rPr>
        <w:t>45</w:t>
      </w:r>
      <w:r w:rsidRPr="001401D1">
        <w:t xml:space="preserve">(4), 336–350. </w:t>
      </w:r>
    </w:p>
    <w:p w14:paraId="2DB0B005" w14:textId="10869694" w:rsidR="00E007B3" w:rsidRPr="001401D1" w:rsidRDefault="00E007B3" w:rsidP="00E007B3">
      <w:pPr>
        <w:pStyle w:val="Bibliography"/>
      </w:pPr>
      <w:r w:rsidRPr="001401D1">
        <w:t xml:space="preserve">Brislin, S. J., Drislane, L. E., Smith, S. T., Edens, J. F., &amp; Patrick, C. J. (2015). Development and validation of triarchic psychopathy scales from the Multidimensional Personality Questionnaire. </w:t>
      </w:r>
      <w:r w:rsidRPr="001401D1">
        <w:rPr>
          <w:i/>
          <w:iCs/>
        </w:rPr>
        <w:t>Psychological Assessment</w:t>
      </w:r>
      <w:r w:rsidRPr="001401D1">
        <w:t xml:space="preserve">, </w:t>
      </w:r>
      <w:r w:rsidRPr="001401D1">
        <w:rPr>
          <w:i/>
          <w:iCs/>
        </w:rPr>
        <w:t>27</w:t>
      </w:r>
      <w:r w:rsidRPr="001401D1">
        <w:t>(3), 838–851. https://doi.org/10.1037/pas0000087</w:t>
      </w:r>
    </w:p>
    <w:p w14:paraId="14384603" w14:textId="3BAAC427" w:rsidR="00201E1B" w:rsidRPr="001401D1" w:rsidRDefault="00201E1B" w:rsidP="00201E1B">
      <w:pPr>
        <w:pStyle w:val="Bibliography"/>
        <w:ind w:left="540" w:right="-216" w:hanging="540"/>
      </w:pPr>
      <w:r w:rsidRPr="001401D1">
        <w:t>Brislin, S.</w:t>
      </w:r>
      <w:r w:rsidR="006E46A2" w:rsidRPr="001401D1">
        <w:t xml:space="preserve"> </w:t>
      </w:r>
      <w:r w:rsidRPr="001401D1">
        <w:t>J., &amp; Patrick, C.</w:t>
      </w:r>
      <w:r w:rsidR="006E46A2" w:rsidRPr="001401D1">
        <w:t xml:space="preserve"> </w:t>
      </w:r>
      <w:r w:rsidRPr="001401D1">
        <w:t xml:space="preserve">J. (2019). Callousness and </w:t>
      </w:r>
      <w:r w:rsidR="00AC6FB2" w:rsidRPr="001401D1">
        <w:t>a</w:t>
      </w:r>
      <w:r w:rsidRPr="001401D1">
        <w:t xml:space="preserve">ffective </w:t>
      </w:r>
      <w:r w:rsidR="00AC6FB2" w:rsidRPr="001401D1">
        <w:t>f</w:t>
      </w:r>
      <w:r w:rsidRPr="001401D1">
        <w:t xml:space="preserve">ace </w:t>
      </w:r>
      <w:r w:rsidR="00AC6FB2" w:rsidRPr="001401D1">
        <w:t>p</w:t>
      </w:r>
      <w:r w:rsidRPr="001401D1">
        <w:t xml:space="preserve">rocessing: Clarifying the </w:t>
      </w:r>
      <w:r w:rsidR="00AC6FB2" w:rsidRPr="001401D1">
        <w:t>n</w:t>
      </w:r>
      <w:r w:rsidRPr="001401D1">
        <w:t xml:space="preserve">eural </w:t>
      </w:r>
      <w:r w:rsidR="00AC6FB2" w:rsidRPr="001401D1">
        <w:t>b</w:t>
      </w:r>
      <w:r w:rsidRPr="001401D1">
        <w:t xml:space="preserve">asis of </w:t>
      </w:r>
      <w:r w:rsidR="00AC6FB2" w:rsidRPr="001401D1">
        <w:t>b</w:t>
      </w:r>
      <w:r w:rsidRPr="001401D1">
        <w:t>ehavioral-</w:t>
      </w:r>
      <w:r w:rsidR="00AC6FB2" w:rsidRPr="001401D1">
        <w:t>r</w:t>
      </w:r>
      <w:r w:rsidRPr="001401D1">
        <w:t xml:space="preserve">ecognition </w:t>
      </w:r>
      <w:r w:rsidR="00AC6FB2" w:rsidRPr="001401D1">
        <w:t>d</w:t>
      </w:r>
      <w:r w:rsidRPr="001401D1">
        <w:t xml:space="preserve">eficits </w:t>
      </w:r>
      <w:r w:rsidR="00AC6FB2" w:rsidRPr="001401D1">
        <w:t>t</w:t>
      </w:r>
      <w:r w:rsidRPr="001401D1">
        <w:t xml:space="preserve">hrough the </w:t>
      </w:r>
      <w:r w:rsidR="00AC6FB2" w:rsidRPr="001401D1">
        <w:t>u</w:t>
      </w:r>
      <w:r w:rsidRPr="001401D1">
        <w:t xml:space="preserve">se of </w:t>
      </w:r>
      <w:r w:rsidR="00AC6FB2" w:rsidRPr="001401D1">
        <w:t>b</w:t>
      </w:r>
      <w:r w:rsidRPr="001401D1">
        <w:t xml:space="preserve">rain </w:t>
      </w:r>
      <w:r w:rsidR="00AC6FB2" w:rsidRPr="001401D1">
        <w:t>e</w:t>
      </w:r>
      <w:r w:rsidRPr="001401D1">
        <w:t>vent-</w:t>
      </w:r>
      <w:r w:rsidR="00AC6FB2" w:rsidRPr="001401D1">
        <w:t>r</w:t>
      </w:r>
      <w:r w:rsidRPr="001401D1">
        <w:t xml:space="preserve">elated </w:t>
      </w:r>
      <w:r w:rsidR="00AC6FB2" w:rsidRPr="001401D1">
        <w:t>p</w:t>
      </w:r>
      <w:r w:rsidRPr="001401D1">
        <w:t xml:space="preserve">otentials. </w:t>
      </w:r>
      <w:r w:rsidRPr="001401D1">
        <w:rPr>
          <w:i/>
          <w:iCs/>
        </w:rPr>
        <w:t>Clinical Psychological Science</w:t>
      </w:r>
      <w:r w:rsidRPr="001401D1">
        <w:t xml:space="preserve">, </w:t>
      </w:r>
      <w:r w:rsidRPr="001401D1">
        <w:rPr>
          <w:i/>
          <w:iCs/>
        </w:rPr>
        <w:t>7</w:t>
      </w:r>
      <w:r w:rsidRPr="001401D1">
        <w:t xml:space="preserve">(6), 1389-1402. </w:t>
      </w:r>
    </w:p>
    <w:p w14:paraId="6E5D7366" w14:textId="77777777" w:rsidR="00E007B3" w:rsidRPr="001401D1" w:rsidRDefault="00E007B3" w:rsidP="00E007B3">
      <w:pPr>
        <w:pStyle w:val="Bibliography"/>
      </w:pPr>
      <w:r w:rsidRPr="001401D1">
        <w:t xml:space="preserve">Brislin, S. J., Patrick, C. J., Flor, H., Nees, F., Heinrich, A., Drislane, L. E., … Foell, J. (2019). Extending the construct network of trait disinhibition to the neuroimaging domain: Validation of a bridging scale for use in the European IMAGEN project. </w:t>
      </w:r>
      <w:r w:rsidRPr="001401D1">
        <w:rPr>
          <w:i/>
          <w:iCs/>
        </w:rPr>
        <w:t>Assessment</w:t>
      </w:r>
      <w:r w:rsidRPr="001401D1">
        <w:t xml:space="preserve">, </w:t>
      </w:r>
      <w:r w:rsidRPr="001401D1">
        <w:rPr>
          <w:i/>
          <w:iCs/>
        </w:rPr>
        <w:t>26</w:t>
      </w:r>
      <w:r w:rsidRPr="001401D1">
        <w:t>(4), 567–581. https://doi.org/10.1177/1073191118759748</w:t>
      </w:r>
    </w:p>
    <w:p w14:paraId="69C92F47" w14:textId="510DA09F" w:rsidR="00201E1B" w:rsidRPr="001401D1" w:rsidRDefault="00201E1B" w:rsidP="00201E1B">
      <w:pPr>
        <w:pStyle w:val="Bibliography"/>
        <w:ind w:left="540" w:right="-216" w:hanging="540"/>
      </w:pPr>
      <w:r w:rsidRPr="001401D1">
        <w:t>Brislin, S.</w:t>
      </w:r>
      <w:r w:rsidR="006E46A2" w:rsidRPr="001401D1">
        <w:t xml:space="preserve"> </w:t>
      </w:r>
      <w:r w:rsidRPr="001401D1">
        <w:t>J., Yancey, J.</w:t>
      </w:r>
      <w:r w:rsidR="006E46A2" w:rsidRPr="001401D1">
        <w:t xml:space="preserve"> </w:t>
      </w:r>
      <w:r w:rsidRPr="001401D1">
        <w:t>R., Perkins, E.</w:t>
      </w:r>
      <w:r w:rsidR="006E46A2" w:rsidRPr="001401D1">
        <w:t xml:space="preserve"> </w:t>
      </w:r>
      <w:r w:rsidRPr="001401D1">
        <w:t>R., Palumbo, I.</w:t>
      </w:r>
      <w:r w:rsidR="006E46A2" w:rsidRPr="001401D1">
        <w:t xml:space="preserve"> </w:t>
      </w:r>
      <w:r w:rsidRPr="001401D1">
        <w:t>M., Drislane, L.</w:t>
      </w:r>
      <w:r w:rsidR="006E46A2" w:rsidRPr="001401D1">
        <w:t xml:space="preserve"> </w:t>
      </w:r>
      <w:r w:rsidRPr="001401D1">
        <w:t>E., Salekin, R.</w:t>
      </w:r>
      <w:r w:rsidR="006E46A2" w:rsidRPr="001401D1">
        <w:t xml:space="preserve"> </w:t>
      </w:r>
      <w:r w:rsidRPr="001401D1">
        <w:t>T., Fanti, K.</w:t>
      </w:r>
      <w:r w:rsidR="006E46A2" w:rsidRPr="001401D1">
        <w:t xml:space="preserve"> </w:t>
      </w:r>
      <w:r w:rsidRPr="001401D1">
        <w:t>A., Kimonis, E.</w:t>
      </w:r>
      <w:r w:rsidR="006E46A2" w:rsidRPr="001401D1">
        <w:t xml:space="preserve"> </w:t>
      </w:r>
      <w:r w:rsidRPr="001401D1">
        <w:t>R., Frick, P.</w:t>
      </w:r>
      <w:r w:rsidR="006E46A2" w:rsidRPr="001401D1">
        <w:t xml:space="preserve"> </w:t>
      </w:r>
      <w:r w:rsidRPr="001401D1">
        <w:t>J., Blair R.</w:t>
      </w:r>
      <w:r w:rsidR="006E46A2" w:rsidRPr="001401D1">
        <w:t xml:space="preserve"> </w:t>
      </w:r>
      <w:r w:rsidRPr="001401D1">
        <w:t>J.</w:t>
      </w:r>
      <w:r w:rsidR="006E46A2" w:rsidRPr="001401D1">
        <w:t xml:space="preserve"> </w:t>
      </w:r>
      <w:r w:rsidRPr="001401D1">
        <w:t>R., &amp; Patrick, C.</w:t>
      </w:r>
      <w:r w:rsidR="006E46A2" w:rsidRPr="001401D1">
        <w:t xml:space="preserve"> </w:t>
      </w:r>
      <w:r w:rsidRPr="001401D1">
        <w:t xml:space="preserve">J. (2018). Callousness and </w:t>
      </w:r>
      <w:r w:rsidR="00AC6FB2" w:rsidRPr="001401D1">
        <w:t>a</w:t>
      </w:r>
      <w:r w:rsidRPr="001401D1">
        <w:t xml:space="preserve">ffective </w:t>
      </w:r>
      <w:r w:rsidR="00AC6FB2" w:rsidRPr="001401D1">
        <w:t>f</w:t>
      </w:r>
      <w:r w:rsidRPr="001401D1">
        <w:t xml:space="preserve">ace </w:t>
      </w:r>
      <w:r w:rsidR="00AC6FB2" w:rsidRPr="001401D1">
        <w:t>p</w:t>
      </w:r>
      <w:r w:rsidRPr="001401D1">
        <w:t xml:space="preserve">rocessing in </w:t>
      </w:r>
      <w:r w:rsidR="00AC6FB2" w:rsidRPr="001401D1">
        <w:t>a</w:t>
      </w:r>
      <w:r w:rsidRPr="001401D1">
        <w:t xml:space="preserve">dults: Behavioral and </w:t>
      </w:r>
      <w:r w:rsidR="00AC6FB2" w:rsidRPr="001401D1">
        <w:t>b</w:t>
      </w:r>
      <w:r w:rsidRPr="001401D1">
        <w:t>rain-</w:t>
      </w:r>
      <w:r w:rsidR="00AC6FB2" w:rsidRPr="001401D1">
        <w:t>p</w:t>
      </w:r>
      <w:r w:rsidRPr="001401D1">
        <w:t xml:space="preserve">otential </w:t>
      </w:r>
      <w:r w:rsidR="00AC6FB2" w:rsidRPr="001401D1">
        <w:t>i</w:t>
      </w:r>
      <w:r w:rsidRPr="001401D1">
        <w:t xml:space="preserve">ndicators. </w:t>
      </w:r>
      <w:r w:rsidRPr="001401D1">
        <w:rPr>
          <w:i/>
          <w:iCs/>
        </w:rPr>
        <w:t>Personality Disorders</w:t>
      </w:r>
      <w:r w:rsidRPr="001401D1">
        <w:t xml:space="preserve">, </w:t>
      </w:r>
      <w:r w:rsidRPr="001401D1">
        <w:rPr>
          <w:i/>
          <w:iCs/>
        </w:rPr>
        <w:t>9</w:t>
      </w:r>
      <w:r w:rsidRPr="001401D1">
        <w:t xml:space="preserve">(2), 122-132. </w:t>
      </w:r>
    </w:p>
    <w:p w14:paraId="12210A1E" w14:textId="77777777" w:rsidR="00E007B3" w:rsidRPr="001401D1" w:rsidRDefault="00E007B3" w:rsidP="00E007B3">
      <w:pPr>
        <w:pStyle w:val="Bibliography"/>
      </w:pPr>
      <w:r w:rsidRPr="001401D1">
        <w:t xml:space="preserve">Cloninger, C. R. (1999). </w:t>
      </w:r>
      <w:r w:rsidRPr="001401D1">
        <w:rPr>
          <w:i/>
          <w:iCs/>
        </w:rPr>
        <w:t>The temperament and character inventory—Revised</w:t>
      </w:r>
      <w:r w:rsidRPr="001401D1">
        <w:t>. St. Louis, MO: Center for Psychobiology of Personality, Washington University.</w:t>
      </w:r>
    </w:p>
    <w:p w14:paraId="188DD055" w14:textId="77777777" w:rsidR="00E007B3" w:rsidRPr="001401D1" w:rsidRDefault="00E007B3" w:rsidP="00E007B3">
      <w:pPr>
        <w:pStyle w:val="Bibliography"/>
      </w:pPr>
      <w:r w:rsidRPr="001401D1">
        <w:t xml:space="preserve">Costa, P. T., &amp; McCrae, R. R. (1992). </w:t>
      </w:r>
      <w:r w:rsidRPr="001401D1">
        <w:rPr>
          <w:i/>
          <w:iCs/>
        </w:rPr>
        <w:t>Revised NEO Personality Inventory (NEO PI-R) and NEO Five-Factor Inventory (NEO-FFI)</w:t>
      </w:r>
      <w:r w:rsidRPr="001401D1">
        <w:t>. Odessa, FL: Psychological Assessment Resources.</w:t>
      </w:r>
    </w:p>
    <w:p w14:paraId="137DFF89" w14:textId="77777777" w:rsidR="00E007B3" w:rsidRPr="001401D1" w:rsidRDefault="00E007B3" w:rsidP="00E007B3">
      <w:pPr>
        <w:pStyle w:val="Bibliography"/>
      </w:pPr>
      <w:r w:rsidRPr="001401D1">
        <w:lastRenderedPageBreak/>
        <w:t xml:space="preserve">Drislane, L. E., Brislin, S. J., Jones, S., &amp; Patrick, C. J. (2018). Interfacing five-factor model and triarchic conceptualizations of psychopathy. </w:t>
      </w:r>
      <w:r w:rsidRPr="001401D1">
        <w:rPr>
          <w:i/>
          <w:iCs/>
        </w:rPr>
        <w:t>Psychological Assessment</w:t>
      </w:r>
      <w:r w:rsidRPr="001401D1">
        <w:t xml:space="preserve">, </w:t>
      </w:r>
      <w:r w:rsidRPr="001401D1">
        <w:rPr>
          <w:i/>
          <w:iCs/>
        </w:rPr>
        <w:t>30</w:t>
      </w:r>
      <w:r w:rsidRPr="001401D1">
        <w:t>(6), 834–840. https://doi.org/10.1037/pas0000544</w:t>
      </w:r>
    </w:p>
    <w:p w14:paraId="63C0D627" w14:textId="77777777" w:rsidR="00E007B3" w:rsidRPr="001401D1" w:rsidRDefault="00E007B3" w:rsidP="00E007B3">
      <w:pPr>
        <w:pStyle w:val="Bibliography"/>
      </w:pPr>
      <w:r w:rsidRPr="001401D1">
        <w:t xml:space="preserve">Drislane, L. E., Brislin, S. J., Kendler, K. S., Andershed, H., Larsson, H., &amp; Patrick, C. J. (2015). A triarchic model analysis of the youth psychopathic traits inventory. </w:t>
      </w:r>
      <w:r w:rsidRPr="001401D1">
        <w:rPr>
          <w:i/>
          <w:iCs/>
        </w:rPr>
        <w:t>Journal of Personality Disorders</w:t>
      </w:r>
      <w:r w:rsidRPr="001401D1">
        <w:t xml:space="preserve">, </w:t>
      </w:r>
      <w:r w:rsidRPr="001401D1">
        <w:rPr>
          <w:i/>
          <w:iCs/>
        </w:rPr>
        <w:t>29</w:t>
      </w:r>
      <w:r w:rsidRPr="001401D1">
        <w:t>(1), 15–41. https://doi.org/10.1521/pedi_2014_28_144</w:t>
      </w:r>
    </w:p>
    <w:p w14:paraId="77E47686" w14:textId="77777777" w:rsidR="00E007B3" w:rsidRPr="001401D1" w:rsidRDefault="00E007B3" w:rsidP="00E007B3">
      <w:pPr>
        <w:pStyle w:val="Bibliography"/>
      </w:pPr>
      <w:r w:rsidRPr="001401D1">
        <w:t xml:space="preserve">Drislane, L. E., Sellbom, M., Brislin, S. J., Strickland, C. M., Christian, E., Wygant, D. B., … Patrick, C. J. (2019). Improving characterization of psychopathy within the Diagnostic and Statistical Manual of Mental Disorders, Fifth Edition (DSM-5), alternative model for personality disorders: Creation and validation of Personality Inventory for DSM-5 Triarchic scales. </w:t>
      </w:r>
      <w:r w:rsidRPr="001401D1">
        <w:rPr>
          <w:i/>
          <w:iCs/>
        </w:rPr>
        <w:t>Personality Disorders</w:t>
      </w:r>
      <w:r w:rsidRPr="001401D1">
        <w:t xml:space="preserve">, </w:t>
      </w:r>
      <w:r w:rsidRPr="001401D1">
        <w:rPr>
          <w:i/>
          <w:iCs/>
        </w:rPr>
        <w:t>10</w:t>
      </w:r>
      <w:r w:rsidRPr="001401D1">
        <w:t>(6), 511–523. https://doi.org/10.1037/per0000345</w:t>
      </w:r>
    </w:p>
    <w:p w14:paraId="359CBCEC" w14:textId="6B1074F0" w:rsidR="00305FAD" w:rsidRPr="001401D1" w:rsidRDefault="00305FAD" w:rsidP="00305FAD">
      <w:pPr>
        <w:pStyle w:val="Bibliography"/>
        <w:ind w:left="540" w:right="-216" w:hanging="540"/>
      </w:pPr>
      <w:r w:rsidRPr="001401D1">
        <w:t>Elkins, I.</w:t>
      </w:r>
      <w:r w:rsidR="006E46A2" w:rsidRPr="001401D1">
        <w:t xml:space="preserve"> </w:t>
      </w:r>
      <w:r w:rsidRPr="001401D1">
        <w:t>J., King, S.</w:t>
      </w:r>
      <w:r w:rsidR="006E46A2" w:rsidRPr="001401D1">
        <w:t xml:space="preserve"> </w:t>
      </w:r>
      <w:r w:rsidRPr="001401D1">
        <w:t>M., McGue, M., &amp; Iacono, W.</w:t>
      </w:r>
      <w:r w:rsidR="006E46A2" w:rsidRPr="001401D1">
        <w:t xml:space="preserve"> </w:t>
      </w:r>
      <w:r w:rsidRPr="001401D1">
        <w:t xml:space="preserve">G. (2006). Personality traits and the development of nicotine, alcohol, and illicit drug disorders: Prospective links from adolescence to young adulthood. </w:t>
      </w:r>
      <w:r w:rsidRPr="001401D1">
        <w:rPr>
          <w:i/>
          <w:iCs/>
        </w:rPr>
        <w:t>Journal of Abnormal Psychology</w:t>
      </w:r>
      <w:r w:rsidRPr="001401D1">
        <w:t xml:space="preserve">, </w:t>
      </w:r>
      <w:r w:rsidRPr="001401D1">
        <w:rPr>
          <w:i/>
          <w:iCs/>
        </w:rPr>
        <w:t>115</w:t>
      </w:r>
      <w:r w:rsidRPr="001401D1">
        <w:t xml:space="preserve">(1), 26-39. </w:t>
      </w:r>
    </w:p>
    <w:p w14:paraId="17847DCA" w14:textId="7E250ADA" w:rsidR="00305FAD" w:rsidRPr="001401D1" w:rsidRDefault="00305FAD" w:rsidP="00305FAD">
      <w:pPr>
        <w:pStyle w:val="Bibliography"/>
        <w:ind w:left="540" w:right="-216" w:hanging="540"/>
      </w:pPr>
      <w:r w:rsidRPr="001401D1">
        <w:t>Frick, P.</w:t>
      </w:r>
      <w:r w:rsidR="006E46A2" w:rsidRPr="001401D1">
        <w:t xml:space="preserve"> </w:t>
      </w:r>
      <w:r w:rsidRPr="001401D1">
        <w:t>J., &amp; White, S.</w:t>
      </w:r>
      <w:r w:rsidR="006E46A2" w:rsidRPr="001401D1">
        <w:t xml:space="preserve"> </w:t>
      </w:r>
      <w:r w:rsidRPr="001401D1">
        <w:t xml:space="preserve">F. (2008). Research Review: The importance of callous-unemotional traits for developmental models of aggressive and antisocial behavior. </w:t>
      </w:r>
      <w:r w:rsidRPr="001401D1">
        <w:rPr>
          <w:i/>
          <w:iCs/>
        </w:rPr>
        <w:t>Journal of Child Psychology and Psychiatry</w:t>
      </w:r>
      <w:r w:rsidRPr="001401D1">
        <w:t xml:space="preserve">, </w:t>
      </w:r>
      <w:r w:rsidRPr="001401D1">
        <w:rPr>
          <w:i/>
          <w:iCs/>
        </w:rPr>
        <w:t>49</w:t>
      </w:r>
      <w:r w:rsidRPr="001401D1">
        <w:t xml:space="preserve">(4), 359-375. </w:t>
      </w:r>
    </w:p>
    <w:p w14:paraId="12A3E326" w14:textId="77777777" w:rsidR="00E007B3" w:rsidRPr="001401D1" w:rsidRDefault="00E007B3" w:rsidP="00E007B3">
      <w:pPr>
        <w:pStyle w:val="Bibliography"/>
      </w:pPr>
      <w:r w:rsidRPr="001401D1">
        <w:t xml:space="preserve">Goodman, R. (2001). Psychometric properties of the strengths and difficulties questionnaire. </w:t>
      </w:r>
      <w:r w:rsidRPr="001401D1">
        <w:rPr>
          <w:i/>
          <w:iCs/>
        </w:rPr>
        <w:t>Journal of the American Academy of Child and Adolescent Psychiatry</w:t>
      </w:r>
      <w:r w:rsidRPr="001401D1">
        <w:t xml:space="preserve">, </w:t>
      </w:r>
      <w:r w:rsidRPr="001401D1">
        <w:rPr>
          <w:i/>
          <w:iCs/>
        </w:rPr>
        <w:t>40</w:t>
      </w:r>
      <w:r w:rsidRPr="001401D1">
        <w:t>(11), 1337–1345. https://doi.org/10.1097/00004583-200111000-00015</w:t>
      </w:r>
    </w:p>
    <w:p w14:paraId="344DF502" w14:textId="6F7BC2D6" w:rsidR="00E007B3" w:rsidRPr="001401D1" w:rsidRDefault="00E007B3" w:rsidP="00E007B3">
      <w:pPr>
        <w:pStyle w:val="Bibliography"/>
      </w:pPr>
      <w:r w:rsidRPr="001401D1">
        <w:t xml:space="preserve">Hall, J. R., Drislane, L. E., Patrick, C. J., Morano, M., Lilienfeld, S. O., &amp; Poythress, N. G. (2014). Development and validation of </w:t>
      </w:r>
      <w:r w:rsidR="00AC6FB2" w:rsidRPr="001401D1">
        <w:t>t</w:t>
      </w:r>
      <w:r w:rsidRPr="001401D1">
        <w:t xml:space="preserve">riarchic </w:t>
      </w:r>
      <w:r w:rsidR="00AC6FB2" w:rsidRPr="001401D1">
        <w:t>c</w:t>
      </w:r>
      <w:r w:rsidRPr="001401D1">
        <w:t xml:space="preserve">onstruct </w:t>
      </w:r>
      <w:r w:rsidR="00AC6FB2" w:rsidRPr="001401D1">
        <w:t>s</w:t>
      </w:r>
      <w:r w:rsidRPr="001401D1">
        <w:t xml:space="preserve">cales from the Psychopathic Personality Inventory. </w:t>
      </w:r>
      <w:r w:rsidRPr="001401D1">
        <w:rPr>
          <w:i/>
          <w:iCs/>
        </w:rPr>
        <w:t>Psychological Assessment</w:t>
      </w:r>
      <w:r w:rsidRPr="001401D1">
        <w:t xml:space="preserve">, </w:t>
      </w:r>
      <w:r w:rsidRPr="001401D1">
        <w:rPr>
          <w:i/>
          <w:iCs/>
        </w:rPr>
        <w:t>26</w:t>
      </w:r>
      <w:r w:rsidRPr="001401D1">
        <w:t>(2), 447–461. https://doi.org/10.1037/a0035665</w:t>
      </w:r>
    </w:p>
    <w:p w14:paraId="53FBEB29" w14:textId="3F7E34B0" w:rsidR="009E4EA4" w:rsidRPr="001401D1" w:rsidRDefault="009E4EA4" w:rsidP="009E4EA4">
      <w:pPr>
        <w:pStyle w:val="Bibliography"/>
      </w:pPr>
      <w:r w:rsidRPr="001401D1">
        <w:lastRenderedPageBreak/>
        <w:t>Holm, S. (1979). A simple sequential</w:t>
      </w:r>
      <w:r w:rsidR="00365FDA" w:rsidRPr="001401D1">
        <w:t>ly</w:t>
      </w:r>
      <w:r w:rsidRPr="001401D1">
        <w:t xml:space="preserve"> rejective multiple test procedure. </w:t>
      </w:r>
      <w:r w:rsidRPr="001401D1">
        <w:rPr>
          <w:i/>
          <w:iCs/>
        </w:rPr>
        <w:t>Scandinavian Journal of Statistics, 6</w:t>
      </w:r>
      <w:r w:rsidRPr="001401D1">
        <w:t>, 65-70.</w:t>
      </w:r>
    </w:p>
    <w:p w14:paraId="621C924F" w14:textId="77777777" w:rsidR="003D7D31" w:rsidRPr="001401D1" w:rsidRDefault="003D7D31" w:rsidP="003D7D31">
      <w:pPr>
        <w:pStyle w:val="Bibliography"/>
      </w:pPr>
      <w:r w:rsidRPr="001401D1">
        <w:t xml:space="preserve">Huss, M., Hölling, H., Kurth, B.-M., &amp; Schlack, R. (2008). How often are German children and adolescents diagnosed with ADHD? Prevalence based on the judgment of health care professionals: results of the German health and examination survey (KiGGS). </w:t>
      </w:r>
      <w:r w:rsidRPr="001401D1">
        <w:rPr>
          <w:i/>
          <w:iCs/>
        </w:rPr>
        <w:t>European Child &amp; Adolescent Psychiatry</w:t>
      </w:r>
      <w:r w:rsidRPr="001401D1">
        <w:t xml:space="preserve">, </w:t>
      </w:r>
      <w:r w:rsidRPr="001401D1">
        <w:rPr>
          <w:i/>
          <w:iCs/>
        </w:rPr>
        <w:t>17</w:t>
      </w:r>
      <w:r w:rsidRPr="001401D1">
        <w:t xml:space="preserve">(S1), 52–58. </w:t>
      </w:r>
    </w:p>
    <w:p w14:paraId="6832C06F" w14:textId="74405489" w:rsidR="00A7082F" w:rsidRPr="001401D1" w:rsidRDefault="00A7082F" w:rsidP="00A7082F">
      <w:pPr>
        <w:pStyle w:val="Bibliography"/>
        <w:ind w:left="540" w:right="-216" w:hanging="540"/>
      </w:pPr>
      <w:r w:rsidRPr="001401D1">
        <w:t>Joyner, K.</w:t>
      </w:r>
      <w:r w:rsidR="006E46A2" w:rsidRPr="001401D1">
        <w:t xml:space="preserve"> </w:t>
      </w:r>
      <w:r w:rsidRPr="001401D1">
        <w:t>J., Yancey, J.</w:t>
      </w:r>
      <w:r w:rsidR="006E46A2" w:rsidRPr="001401D1">
        <w:t xml:space="preserve"> </w:t>
      </w:r>
      <w:r w:rsidRPr="001401D1">
        <w:t>R., Venables, N.</w:t>
      </w:r>
      <w:r w:rsidR="006E46A2" w:rsidRPr="001401D1">
        <w:t xml:space="preserve"> </w:t>
      </w:r>
      <w:r w:rsidRPr="001401D1">
        <w:t>C., Burwell, S.</w:t>
      </w:r>
      <w:r w:rsidR="006E46A2" w:rsidRPr="001401D1">
        <w:t xml:space="preserve"> </w:t>
      </w:r>
      <w:r w:rsidRPr="001401D1">
        <w:t>J., Iacono, W.</w:t>
      </w:r>
      <w:r w:rsidR="006E46A2" w:rsidRPr="001401D1">
        <w:t xml:space="preserve"> </w:t>
      </w:r>
      <w:r w:rsidRPr="001401D1">
        <w:t>G., &amp; Patrick, C.</w:t>
      </w:r>
      <w:r w:rsidR="006E46A2" w:rsidRPr="001401D1">
        <w:t xml:space="preserve"> </w:t>
      </w:r>
      <w:r w:rsidRPr="001401D1">
        <w:t xml:space="preserve">J. (2020). Using a co-twin control design to evaluate alternative trait measures as indices of liability for substance use disorders. </w:t>
      </w:r>
      <w:r w:rsidRPr="001401D1">
        <w:rPr>
          <w:i/>
          <w:iCs/>
        </w:rPr>
        <w:t>International Journal of Psychophysiology</w:t>
      </w:r>
      <w:r w:rsidRPr="001401D1">
        <w:t xml:space="preserve">, </w:t>
      </w:r>
      <w:r w:rsidRPr="001401D1">
        <w:rPr>
          <w:i/>
          <w:iCs/>
        </w:rPr>
        <w:t>148</w:t>
      </w:r>
      <w:r w:rsidRPr="001401D1">
        <w:t xml:space="preserve">, 75-83. </w:t>
      </w:r>
    </w:p>
    <w:p w14:paraId="22400750" w14:textId="62F8011B" w:rsidR="00305FAD" w:rsidRPr="001401D1" w:rsidRDefault="00305FAD" w:rsidP="00305FAD">
      <w:pPr>
        <w:pStyle w:val="Bibliography"/>
        <w:ind w:left="540" w:right="-216" w:hanging="540"/>
      </w:pPr>
      <w:r w:rsidRPr="001401D1">
        <w:t>Krueger, R.</w:t>
      </w:r>
      <w:r w:rsidR="006E46A2" w:rsidRPr="001401D1">
        <w:t xml:space="preserve"> </w:t>
      </w:r>
      <w:r w:rsidRPr="001401D1">
        <w:t xml:space="preserve">F. (1999). Personality traits in late adolescence predict mental disorders in early adulthood: A prospective-epidemiological study. </w:t>
      </w:r>
      <w:r w:rsidRPr="001401D1">
        <w:rPr>
          <w:i/>
          <w:iCs/>
        </w:rPr>
        <w:t>Journal of Personality</w:t>
      </w:r>
      <w:r w:rsidRPr="001401D1">
        <w:t xml:space="preserve">, </w:t>
      </w:r>
      <w:r w:rsidRPr="001401D1">
        <w:rPr>
          <w:i/>
          <w:iCs/>
        </w:rPr>
        <w:t>67</w:t>
      </w:r>
      <w:r w:rsidRPr="001401D1">
        <w:t xml:space="preserve">(1), 39-65. </w:t>
      </w:r>
    </w:p>
    <w:p w14:paraId="071C4281" w14:textId="0D5DBB55" w:rsidR="00201E1B" w:rsidRPr="001401D1" w:rsidRDefault="00201E1B" w:rsidP="00201E1B">
      <w:pPr>
        <w:pStyle w:val="Bibliography"/>
        <w:ind w:left="540" w:right="-216" w:hanging="540"/>
      </w:pPr>
      <w:r w:rsidRPr="001401D1">
        <w:t>Krueger, R.</w:t>
      </w:r>
      <w:r w:rsidR="006E46A2" w:rsidRPr="001401D1">
        <w:t xml:space="preserve"> </w:t>
      </w:r>
      <w:r w:rsidRPr="001401D1">
        <w:t>F., Markon, K.</w:t>
      </w:r>
      <w:r w:rsidR="006E46A2" w:rsidRPr="001401D1">
        <w:t xml:space="preserve"> </w:t>
      </w:r>
      <w:r w:rsidRPr="001401D1">
        <w:t>E., Patrick, C.</w:t>
      </w:r>
      <w:r w:rsidR="006E46A2" w:rsidRPr="001401D1">
        <w:t xml:space="preserve"> </w:t>
      </w:r>
      <w:r w:rsidRPr="001401D1">
        <w:t>J., Benning, S.</w:t>
      </w:r>
      <w:r w:rsidR="006E46A2" w:rsidRPr="001401D1">
        <w:t xml:space="preserve"> </w:t>
      </w:r>
      <w:r w:rsidRPr="001401D1">
        <w:t>D., &amp; Kramer, M.</w:t>
      </w:r>
      <w:r w:rsidR="006E46A2" w:rsidRPr="001401D1">
        <w:t xml:space="preserve"> </w:t>
      </w:r>
      <w:r w:rsidRPr="001401D1">
        <w:t xml:space="preserve">D. (2007). Linking antisocial behavior, substance use, and personality: An integrative quantitative model of the adult externalizing spectrum. </w:t>
      </w:r>
      <w:r w:rsidRPr="001401D1">
        <w:rPr>
          <w:i/>
          <w:iCs/>
        </w:rPr>
        <w:t>Journal of Abnormal Psychology</w:t>
      </w:r>
      <w:r w:rsidRPr="001401D1">
        <w:t xml:space="preserve">, </w:t>
      </w:r>
      <w:r w:rsidRPr="001401D1">
        <w:rPr>
          <w:i/>
          <w:iCs/>
        </w:rPr>
        <w:t>116</w:t>
      </w:r>
      <w:r w:rsidRPr="001401D1">
        <w:t xml:space="preserve">(4), 645-666. </w:t>
      </w:r>
    </w:p>
    <w:p w14:paraId="5C89D5C2" w14:textId="26316C8D" w:rsidR="00A91DCA" w:rsidRPr="001401D1" w:rsidRDefault="00A91DCA" w:rsidP="00A91DCA">
      <w:pPr>
        <w:pStyle w:val="Bibliography"/>
      </w:pPr>
      <w:r w:rsidRPr="001401D1">
        <w:t xml:space="preserve">Maughan, B., Rowe, R., Messer, J., Goodman, R., &amp; Meltzer, H. (2004). Conduct </w:t>
      </w:r>
      <w:r w:rsidR="00AC6FB2" w:rsidRPr="001401D1">
        <w:t>d</w:t>
      </w:r>
      <w:r w:rsidRPr="001401D1">
        <w:t xml:space="preserve">isorder and </w:t>
      </w:r>
      <w:r w:rsidR="00AC6FB2" w:rsidRPr="001401D1">
        <w:t>o</w:t>
      </w:r>
      <w:r w:rsidRPr="001401D1">
        <w:t xml:space="preserve">ppositional </w:t>
      </w:r>
      <w:r w:rsidR="00AC6FB2" w:rsidRPr="001401D1">
        <w:t>d</w:t>
      </w:r>
      <w:r w:rsidRPr="001401D1">
        <w:t xml:space="preserve">efiant </w:t>
      </w:r>
      <w:r w:rsidR="00AC6FB2" w:rsidRPr="001401D1">
        <w:t>d</w:t>
      </w:r>
      <w:r w:rsidRPr="001401D1">
        <w:t xml:space="preserve">isorder in a national sample: Developmental epidemiology. </w:t>
      </w:r>
      <w:r w:rsidRPr="001401D1">
        <w:rPr>
          <w:i/>
          <w:iCs/>
        </w:rPr>
        <w:t>Journal of Child Psychology and Psychiatry</w:t>
      </w:r>
      <w:r w:rsidRPr="001401D1">
        <w:t xml:space="preserve">, </w:t>
      </w:r>
      <w:r w:rsidRPr="001401D1">
        <w:rPr>
          <w:i/>
          <w:iCs/>
        </w:rPr>
        <w:t>45</w:t>
      </w:r>
      <w:r w:rsidRPr="001401D1">
        <w:t xml:space="preserve">(3), 609–621. </w:t>
      </w:r>
      <w:hyperlink r:id="rId18" w:history="1"/>
    </w:p>
    <w:p w14:paraId="2DBD1D27" w14:textId="77777777" w:rsidR="00E007B3" w:rsidRPr="001401D1" w:rsidRDefault="00E007B3" w:rsidP="00E007B3">
      <w:pPr>
        <w:pStyle w:val="Bibliography"/>
      </w:pPr>
      <w:r w:rsidRPr="001401D1">
        <w:t xml:space="preserve">Nunnally, J. C., &amp; Bernstein, I. H. (1994). </w:t>
      </w:r>
      <w:r w:rsidRPr="001401D1">
        <w:rPr>
          <w:i/>
          <w:iCs/>
        </w:rPr>
        <w:t>Psychometric theory</w:t>
      </w:r>
      <w:r w:rsidRPr="001401D1">
        <w:t>. New York: McGraw-Hill.</w:t>
      </w:r>
    </w:p>
    <w:p w14:paraId="4B142953" w14:textId="77777777" w:rsidR="00E007B3" w:rsidRPr="001401D1" w:rsidRDefault="00E007B3" w:rsidP="00E007B3">
      <w:pPr>
        <w:pStyle w:val="Bibliography"/>
      </w:pPr>
      <w:r w:rsidRPr="001401D1">
        <w:t xml:space="preserve">Olweus, D. (1996). </w:t>
      </w:r>
      <w:r w:rsidRPr="001401D1">
        <w:rPr>
          <w:i/>
          <w:iCs/>
        </w:rPr>
        <w:t>Revised Olweus bully/victim questionnaire</w:t>
      </w:r>
      <w:r w:rsidRPr="001401D1">
        <w:t>. Bergen, Norway: Research Center for Health Promotion (HEMIL Center), University of Bergen.</w:t>
      </w:r>
    </w:p>
    <w:p w14:paraId="326BE5B2" w14:textId="64A640F9" w:rsidR="00A7082F" w:rsidRPr="001401D1" w:rsidRDefault="00A7082F" w:rsidP="00A7082F">
      <w:pPr>
        <w:pStyle w:val="Bibliography"/>
        <w:ind w:left="540" w:right="-216" w:hanging="540"/>
      </w:pPr>
      <w:r w:rsidRPr="001401D1">
        <w:t>Palumbo, I.</w:t>
      </w:r>
      <w:r w:rsidR="006E46A2" w:rsidRPr="001401D1">
        <w:t xml:space="preserve"> </w:t>
      </w:r>
      <w:r w:rsidRPr="001401D1">
        <w:t>M., Perkins, E.</w:t>
      </w:r>
      <w:r w:rsidR="006E46A2" w:rsidRPr="001401D1">
        <w:t xml:space="preserve"> </w:t>
      </w:r>
      <w:r w:rsidRPr="001401D1">
        <w:t>R., Yancey, J.</w:t>
      </w:r>
      <w:r w:rsidR="006E46A2" w:rsidRPr="001401D1">
        <w:t xml:space="preserve"> </w:t>
      </w:r>
      <w:r w:rsidRPr="001401D1">
        <w:t>R., Brislin, S.</w:t>
      </w:r>
      <w:r w:rsidR="006E46A2" w:rsidRPr="001401D1">
        <w:t xml:space="preserve"> </w:t>
      </w:r>
      <w:r w:rsidRPr="001401D1">
        <w:t>J., Patrick, C.</w:t>
      </w:r>
      <w:r w:rsidR="006E46A2" w:rsidRPr="001401D1">
        <w:t xml:space="preserve"> </w:t>
      </w:r>
      <w:r w:rsidRPr="001401D1">
        <w:t>J., &amp; Latzman, R.</w:t>
      </w:r>
      <w:r w:rsidR="006E46A2" w:rsidRPr="001401D1">
        <w:t xml:space="preserve"> </w:t>
      </w:r>
      <w:r w:rsidRPr="001401D1">
        <w:t xml:space="preserve">D. (2020). Toward a multi-modal measurement model for the neurobehavioral trait of affiliative capacity. </w:t>
      </w:r>
      <w:r w:rsidRPr="001401D1">
        <w:rPr>
          <w:i/>
          <w:iCs/>
        </w:rPr>
        <w:t>Personality Neuroscience, 3,</w:t>
      </w:r>
      <w:r w:rsidRPr="001401D1">
        <w:t xml:space="preserve"> e11.</w:t>
      </w:r>
    </w:p>
    <w:p w14:paraId="6FCC80F0" w14:textId="0BE65352" w:rsidR="00305FAD" w:rsidRPr="001401D1" w:rsidRDefault="00305FAD" w:rsidP="00305FAD">
      <w:pPr>
        <w:pStyle w:val="Bibliography"/>
        <w:ind w:left="540" w:right="-216" w:hanging="540"/>
      </w:pPr>
      <w:r w:rsidRPr="001401D1">
        <w:lastRenderedPageBreak/>
        <w:t>Patrick, C.</w:t>
      </w:r>
      <w:r w:rsidR="006E46A2" w:rsidRPr="001401D1">
        <w:t xml:space="preserve"> </w:t>
      </w:r>
      <w:r w:rsidRPr="001401D1">
        <w:t>J., Durbin, C.</w:t>
      </w:r>
      <w:r w:rsidR="006E46A2" w:rsidRPr="001401D1">
        <w:t xml:space="preserve"> </w:t>
      </w:r>
      <w:r w:rsidRPr="001401D1">
        <w:t>E., &amp; Moser, J.</w:t>
      </w:r>
      <w:r w:rsidR="006E46A2" w:rsidRPr="001401D1">
        <w:t xml:space="preserve"> </w:t>
      </w:r>
      <w:r w:rsidRPr="001401D1">
        <w:t xml:space="preserve">S. (2012). Reconceptualizing antisocial deviance in neurobehavioral terms. </w:t>
      </w:r>
      <w:r w:rsidRPr="001401D1">
        <w:rPr>
          <w:i/>
          <w:iCs/>
        </w:rPr>
        <w:t>Development and Psychopathology</w:t>
      </w:r>
      <w:r w:rsidRPr="001401D1">
        <w:t xml:space="preserve">, </w:t>
      </w:r>
      <w:r w:rsidRPr="001401D1">
        <w:rPr>
          <w:i/>
          <w:iCs/>
        </w:rPr>
        <w:t>24</w:t>
      </w:r>
      <w:r w:rsidRPr="001401D1">
        <w:t xml:space="preserve">(3), 1047-1071. </w:t>
      </w:r>
    </w:p>
    <w:p w14:paraId="137B6E40" w14:textId="0DE96425" w:rsidR="00305FAD" w:rsidRPr="001401D1" w:rsidRDefault="00305FAD" w:rsidP="00305FAD">
      <w:pPr>
        <w:pStyle w:val="Bibliography"/>
        <w:ind w:left="540" w:right="-216" w:hanging="540"/>
      </w:pPr>
      <w:r w:rsidRPr="001401D1">
        <w:t>Patrick, C.</w:t>
      </w:r>
      <w:r w:rsidR="006E46A2" w:rsidRPr="001401D1">
        <w:t xml:space="preserve"> </w:t>
      </w:r>
      <w:r w:rsidRPr="001401D1">
        <w:t>J., Fowles, D.</w:t>
      </w:r>
      <w:r w:rsidR="006E46A2" w:rsidRPr="001401D1">
        <w:t xml:space="preserve"> </w:t>
      </w:r>
      <w:r w:rsidRPr="001401D1">
        <w:t>C., &amp; Krueger, R.</w:t>
      </w:r>
      <w:r w:rsidR="006E46A2" w:rsidRPr="001401D1">
        <w:t xml:space="preserve"> </w:t>
      </w:r>
      <w:r w:rsidRPr="001401D1">
        <w:t xml:space="preserve">F. (2009). Triarchic conceptualization of psychopathy: Developmental origins of disinhibition, boldness, and meanness. </w:t>
      </w:r>
      <w:r w:rsidRPr="001401D1">
        <w:rPr>
          <w:i/>
          <w:iCs/>
        </w:rPr>
        <w:t>Development and Psychopathology</w:t>
      </w:r>
      <w:r w:rsidRPr="001401D1">
        <w:t xml:space="preserve">, </w:t>
      </w:r>
      <w:r w:rsidRPr="001401D1">
        <w:rPr>
          <w:i/>
          <w:iCs/>
        </w:rPr>
        <w:t>21</w:t>
      </w:r>
      <w:r w:rsidRPr="001401D1">
        <w:t xml:space="preserve">(3), 913-938. </w:t>
      </w:r>
    </w:p>
    <w:p w14:paraId="5F822BEB" w14:textId="77777777" w:rsidR="00E007B3" w:rsidRPr="001401D1" w:rsidRDefault="00E007B3" w:rsidP="00E007B3">
      <w:pPr>
        <w:pStyle w:val="Bibliography"/>
      </w:pPr>
      <w:r w:rsidRPr="001401D1">
        <w:t xml:space="preserve">Patrick, C. J., Kramer, M. D., Krueger, R. F., &amp; Markon, K. E. (2013). Optimizing efficiency of psychopathology assessment through quantitative modeling: Development of a brief form of the Externalizing Spectrum Inventory. </w:t>
      </w:r>
      <w:r w:rsidRPr="001401D1">
        <w:rPr>
          <w:i/>
          <w:iCs/>
        </w:rPr>
        <w:t>Psychological Assessment</w:t>
      </w:r>
      <w:r w:rsidRPr="001401D1">
        <w:t xml:space="preserve">, </w:t>
      </w:r>
      <w:r w:rsidRPr="001401D1">
        <w:rPr>
          <w:i/>
          <w:iCs/>
        </w:rPr>
        <w:t>25</w:t>
      </w:r>
      <w:r w:rsidRPr="001401D1">
        <w:t>(4), 1332–1348. https://doi.org/10.1037/a0034864</w:t>
      </w:r>
    </w:p>
    <w:p w14:paraId="683F26CE" w14:textId="78B5868D" w:rsidR="00305FAD" w:rsidRPr="001401D1" w:rsidRDefault="00305FAD" w:rsidP="00305FAD">
      <w:pPr>
        <w:pStyle w:val="Bibliography"/>
        <w:ind w:left="540" w:right="-216" w:hanging="540"/>
      </w:pPr>
      <w:r w:rsidRPr="001401D1">
        <w:t>Perkins, E.</w:t>
      </w:r>
      <w:r w:rsidR="006E46A2" w:rsidRPr="001401D1">
        <w:t xml:space="preserve"> </w:t>
      </w:r>
      <w:r w:rsidRPr="001401D1">
        <w:t>R., Joyner, K.</w:t>
      </w:r>
      <w:r w:rsidR="006E46A2" w:rsidRPr="001401D1">
        <w:t xml:space="preserve"> </w:t>
      </w:r>
      <w:r w:rsidRPr="001401D1">
        <w:t>J., Patrick, C.</w:t>
      </w:r>
      <w:r w:rsidR="006E46A2" w:rsidRPr="001401D1">
        <w:t xml:space="preserve"> </w:t>
      </w:r>
      <w:r w:rsidRPr="001401D1">
        <w:t>J., Bartholow, B.</w:t>
      </w:r>
      <w:r w:rsidR="006E46A2" w:rsidRPr="001401D1">
        <w:t xml:space="preserve"> </w:t>
      </w:r>
      <w:r w:rsidRPr="001401D1">
        <w:t>D., Latzman, R.</w:t>
      </w:r>
      <w:r w:rsidR="006E46A2" w:rsidRPr="001401D1">
        <w:t xml:space="preserve"> </w:t>
      </w:r>
      <w:r w:rsidRPr="001401D1">
        <w:t>D., DeYoung, C.</w:t>
      </w:r>
      <w:r w:rsidR="006E46A2" w:rsidRPr="001401D1">
        <w:t xml:space="preserve"> </w:t>
      </w:r>
      <w:r w:rsidRPr="001401D1">
        <w:t>G., Kotov, R., Reininghaus, U., Cooper, S.</w:t>
      </w:r>
      <w:r w:rsidR="006E46A2" w:rsidRPr="001401D1">
        <w:t xml:space="preserve"> </w:t>
      </w:r>
      <w:r w:rsidRPr="001401D1">
        <w:t>E., Afzali, M.</w:t>
      </w:r>
      <w:r w:rsidR="006E46A2" w:rsidRPr="001401D1">
        <w:t xml:space="preserve"> </w:t>
      </w:r>
      <w:r w:rsidRPr="001401D1">
        <w:t>H., Docherty, A.</w:t>
      </w:r>
      <w:r w:rsidR="006E46A2" w:rsidRPr="001401D1">
        <w:t xml:space="preserve"> </w:t>
      </w:r>
      <w:r w:rsidRPr="001401D1">
        <w:t>R., Dretsch, M.</w:t>
      </w:r>
      <w:r w:rsidR="006E46A2" w:rsidRPr="001401D1">
        <w:t xml:space="preserve"> </w:t>
      </w:r>
      <w:r w:rsidRPr="001401D1">
        <w:t>N., Eaton, N.</w:t>
      </w:r>
      <w:r w:rsidR="006E46A2" w:rsidRPr="001401D1">
        <w:t xml:space="preserve"> </w:t>
      </w:r>
      <w:r w:rsidRPr="001401D1">
        <w:t>R., Goghari, V.</w:t>
      </w:r>
      <w:r w:rsidR="006E46A2" w:rsidRPr="001401D1">
        <w:t xml:space="preserve"> </w:t>
      </w:r>
      <w:r w:rsidRPr="001401D1">
        <w:t>M., Haltigan, J.</w:t>
      </w:r>
      <w:r w:rsidR="006E46A2" w:rsidRPr="001401D1">
        <w:t xml:space="preserve"> </w:t>
      </w:r>
      <w:r w:rsidRPr="001401D1">
        <w:t>D., Krueger, R.</w:t>
      </w:r>
      <w:r w:rsidR="006E46A2" w:rsidRPr="001401D1">
        <w:t xml:space="preserve"> </w:t>
      </w:r>
      <w:r w:rsidRPr="001401D1">
        <w:t>F., Martin, E.</w:t>
      </w:r>
      <w:r w:rsidR="006E46A2" w:rsidRPr="001401D1">
        <w:t xml:space="preserve"> </w:t>
      </w:r>
      <w:r w:rsidRPr="001401D1">
        <w:t>A., Michelini, G., Ruocco, A.</w:t>
      </w:r>
      <w:r w:rsidR="006E46A2" w:rsidRPr="001401D1">
        <w:t xml:space="preserve"> </w:t>
      </w:r>
      <w:r w:rsidRPr="001401D1">
        <w:t>C., … Zald, D.</w:t>
      </w:r>
      <w:r w:rsidR="006E46A2" w:rsidRPr="001401D1">
        <w:t xml:space="preserve"> </w:t>
      </w:r>
      <w:r w:rsidRPr="001401D1">
        <w:t xml:space="preserve">H. (2020a). Neurobiology and the Hierarchical Taxonomy of Psychopathology: Progress toward ontogenetically informed and clinically useful nosology. </w:t>
      </w:r>
      <w:r w:rsidRPr="001401D1">
        <w:rPr>
          <w:i/>
          <w:iCs/>
        </w:rPr>
        <w:t>Dialogues in Clinical Neuroscience</w:t>
      </w:r>
      <w:r w:rsidRPr="001401D1">
        <w:t xml:space="preserve">, </w:t>
      </w:r>
      <w:r w:rsidRPr="001401D1">
        <w:rPr>
          <w:i/>
          <w:iCs/>
        </w:rPr>
        <w:t>22</w:t>
      </w:r>
      <w:r w:rsidRPr="001401D1">
        <w:t>(1), 51-63.</w:t>
      </w:r>
    </w:p>
    <w:p w14:paraId="635E92AB" w14:textId="58ABE793" w:rsidR="00A7082F" w:rsidRPr="001401D1" w:rsidRDefault="00A7082F" w:rsidP="00A7082F">
      <w:pPr>
        <w:pStyle w:val="Bibliography"/>
        <w:ind w:left="540" w:right="-216" w:hanging="540"/>
      </w:pPr>
      <w:r w:rsidRPr="001401D1">
        <w:t>Perkins, E.</w:t>
      </w:r>
      <w:r w:rsidR="006E46A2" w:rsidRPr="001401D1">
        <w:t xml:space="preserve"> </w:t>
      </w:r>
      <w:r w:rsidRPr="001401D1">
        <w:t>R., Latzman, R.</w:t>
      </w:r>
      <w:r w:rsidR="006E46A2" w:rsidRPr="001401D1">
        <w:t xml:space="preserve"> </w:t>
      </w:r>
      <w:r w:rsidRPr="001401D1">
        <w:t>D., &amp; Patrick, C.</w:t>
      </w:r>
      <w:r w:rsidR="006E46A2" w:rsidRPr="001401D1">
        <w:t xml:space="preserve"> </w:t>
      </w:r>
      <w:r w:rsidRPr="001401D1">
        <w:t xml:space="preserve">J. (2020b). Interfacing neural constructs with the Hierarchical Taxonomy of Psychopathology: ‘Why’ and ‘how’. </w:t>
      </w:r>
      <w:r w:rsidRPr="001401D1">
        <w:rPr>
          <w:i/>
          <w:iCs/>
        </w:rPr>
        <w:t>Personality and Mental Health</w:t>
      </w:r>
      <w:r w:rsidRPr="001401D1">
        <w:t xml:space="preserve">, </w:t>
      </w:r>
      <w:r w:rsidRPr="001401D1">
        <w:rPr>
          <w:i/>
          <w:iCs/>
        </w:rPr>
        <w:t>14</w:t>
      </w:r>
      <w:r w:rsidRPr="001401D1">
        <w:t xml:space="preserve">(1), 106-122. </w:t>
      </w:r>
    </w:p>
    <w:p w14:paraId="49B13E7E" w14:textId="3BE93A46" w:rsidR="003D7D31" w:rsidRPr="001401D1" w:rsidRDefault="003D7D31" w:rsidP="003D7D31">
      <w:pPr>
        <w:pStyle w:val="Bibliography"/>
      </w:pPr>
      <w:r w:rsidRPr="001401D1">
        <w:t xml:space="preserve">Polanczyk, G., de Lima, M. S., Horta, B. L., Biederman, J., &amp; Rohde, L. A. (2007). The </w:t>
      </w:r>
      <w:r w:rsidR="00AC6FB2" w:rsidRPr="001401D1">
        <w:t>w</w:t>
      </w:r>
      <w:r w:rsidRPr="001401D1">
        <w:t xml:space="preserve">orldwide </w:t>
      </w:r>
      <w:r w:rsidR="00AC6FB2" w:rsidRPr="001401D1">
        <w:t>p</w:t>
      </w:r>
      <w:r w:rsidRPr="001401D1">
        <w:t xml:space="preserve">revalence of ADHD: A </w:t>
      </w:r>
      <w:r w:rsidR="00AC6FB2" w:rsidRPr="001401D1">
        <w:t>sy</w:t>
      </w:r>
      <w:r w:rsidRPr="001401D1">
        <w:t xml:space="preserve">stematic </w:t>
      </w:r>
      <w:r w:rsidR="00AC6FB2" w:rsidRPr="001401D1">
        <w:t>r</w:t>
      </w:r>
      <w:r w:rsidRPr="001401D1">
        <w:t xml:space="preserve">eview and </w:t>
      </w:r>
      <w:r w:rsidR="00AC6FB2" w:rsidRPr="001401D1">
        <w:t>m</w:t>
      </w:r>
      <w:r w:rsidRPr="001401D1">
        <w:t xml:space="preserve">etaregression </w:t>
      </w:r>
      <w:r w:rsidR="00AC6FB2" w:rsidRPr="001401D1">
        <w:t>a</w:t>
      </w:r>
      <w:r w:rsidRPr="001401D1">
        <w:t xml:space="preserve">nalysis. </w:t>
      </w:r>
      <w:r w:rsidRPr="001401D1">
        <w:rPr>
          <w:i/>
          <w:iCs/>
        </w:rPr>
        <w:t>American Journal of Psychiatry</w:t>
      </w:r>
      <w:r w:rsidRPr="001401D1">
        <w:t xml:space="preserve">, </w:t>
      </w:r>
      <w:r w:rsidRPr="001401D1">
        <w:rPr>
          <w:i/>
          <w:iCs/>
        </w:rPr>
        <w:t>164</w:t>
      </w:r>
      <w:r w:rsidRPr="001401D1">
        <w:t>, 942–948.</w:t>
      </w:r>
    </w:p>
    <w:p w14:paraId="7E540602" w14:textId="77777777" w:rsidR="00412669" w:rsidRPr="001401D1" w:rsidRDefault="00412669" w:rsidP="00412669">
      <w:pPr>
        <w:pStyle w:val="Bibliography"/>
        <w:ind w:left="540" w:right="-216" w:hanging="540"/>
      </w:pPr>
      <w:r w:rsidRPr="001401D1">
        <w:t xml:space="preserve">Saunders, J. B., Aasland, O. G., Babor, T. F., De La Fuente, J. R., &amp; Grant, M. (1993). Development of the Alcohol Use Disorders Identification Test (AUDIT): WHO Collaborative Project on Early Detection of Persons with Harmful Alcohol Consumption-II. </w:t>
      </w:r>
      <w:r w:rsidRPr="001401D1">
        <w:rPr>
          <w:i/>
          <w:iCs/>
        </w:rPr>
        <w:t>Addiction</w:t>
      </w:r>
      <w:r w:rsidRPr="001401D1">
        <w:t xml:space="preserve">, </w:t>
      </w:r>
      <w:r w:rsidRPr="001401D1">
        <w:rPr>
          <w:i/>
          <w:iCs/>
        </w:rPr>
        <w:t>88</w:t>
      </w:r>
      <w:r w:rsidRPr="001401D1">
        <w:t xml:space="preserve">(6), 791–804. </w:t>
      </w:r>
    </w:p>
    <w:p w14:paraId="1FDBBD40" w14:textId="77777777" w:rsidR="00E007B3" w:rsidRPr="001401D1" w:rsidRDefault="00E007B3" w:rsidP="00E007B3">
      <w:pPr>
        <w:pStyle w:val="Bibliography"/>
      </w:pPr>
      <w:r w:rsidRPr="001401D1">
        <w:lastRenderedPageBreak/>
        <w:t xml:space="preserve">Sellbom, M., Drislane, L. E., Johnson, A. K., Goodwin, B. E., Phillips, T. R., &amp; Patrick, C. J. (2016). Development and validation of MMPI-2-RF scales for indexing triarchic psychopathy constructs. </w:t>
      </w:r>
      <w:r w:rsidRPr="001401D1">
        <w:rPr>
          <w:i/>
          <w:iCs/>
        </w:rPr>
        <w:t>Assessment</w:t>
      </w:r>
      <w:r w:rsidRPr="001401D1">
        <w:t xml:space="preserve">, </w:t>
      </w:r>
      <w:r w:rsidRPr="001401D1">
        <w:rPr>
          <w:i/>
          <w:iCs/>
        </w:rPr>
        <w:t>23</w:t>
      </w:r>
      <w:r w:rsidRPr="001401D1">
        <w:t>(5), 527–543. https://doi.org/10.1177/1073191115590853</w:t>
      </w:r>
    </w:p>
    <w:p w14:paraId="6F54BD85" w14:textId="77777777" w:rsidR="003D7D31" w:rsidRPr="001401D1" w:rsidRDefault="003D7D31" w:rsidP="003D7D31">
      <w:pPr>
        <w:pStyle w:val="Bibliography"/>
      </w:pPr>
      <w:r w:rsidRPr="001401D1">
        <w:t xml:space="preserve">Soellner, R., Göbel, K., Scheithauer, H., &amp; Bräker, A.-B. (2014). Alcohol use of adolescents from 25 European countries. </w:t>
      </w:r>
      <w:r w:rsidRPr="001401D1">
        <w:rPr>
          <w:i/>
          <w:iCs/>
        </w:rPr>
        <w:t>Journal of Public Health</w:t>
      </w:r>
      <w:r w:rsidRPr="001401D1">
        <w:t xml:space="preserve">, </w:t>
      </w:r>
      <w:r w:rsidRPr="001401D1">
        <w:rPr>
          <w:i/>
          <w:iCs/>
        </w:rPr>
        <w:t>22</w:t>
      </w:r>
      <w:r w:rsidRPr="001401D1">
        <w:t xml:space="preserve">(1), 57–65. </w:t>
      </w:r>
    </w:p>
    <w:p w14:paraId="64D5F0C1" w14:textId="58EB2831" w:rsidR="00201E1B" w:rsidRPr="001401D1" w:rsidRDefault="00201E1B" w:rsidP="00201E1B">
      <w:pPr>
        <w:pStyle w:val="Bibliography"/>
        <w:ind w:left="540" w:right="-216" w:hanging="540"/>
      </w:pPr>
      <w:r w:rsidRPr="001401D1">
        <w:t>Venables, N.</w:t>
      </w:r>
      <w:r w:rsidR="006E46A2" w:rsidRPr="001401D1">
        <w:t xml:space="preserve"> </w:t>
      </w:r>
      <w:r w:rsidRPr="001401D1">
        <w:t>C., Foell, J., Yancey, J.</w:t>
      </w:r>
      <w:r w:rsidR="006E46A2" w:rsidRPr="001401D1">
        <w:t xml:space="preserve"> </w:t>
      </w:r>
      <w:r w:rsidRPr="001401D1">
        <w:t>R., Kane, M.</w:t>
      </w:r>
      <w:r w:rsidR="006E46A2" w:rsidRPr="001401D1">
        <w:t xml:space="preserve"> </w:t>
      </w:r>
      <w:r w:rsidRPr="001401D1">
        <w:t>J., Engle, R.</w:t>
      </w:r>
      <w:r w:rsidR="006E46A2" w:rsidRPr="001401D1">
        <w:t xml:space="preserve"> </w:t>
      </w:r>
      <w:r w:rsidRPr="001401D1">
        <w:t>W., &amp; Patrick, C.</w:t>
      </w:r>
      <w:r w:rsidR="006E46A2" w:rsidRPr="001401D1">
        <w:t xml:space="preserve"> </w:t>
      </w:r>
      <w:r w:rsidRPr="001401D1">
        <w:t>J. (2018</w:t>
      </w:r>
      <w:r w:rsidR="00A7082F" w:rsidRPr="001401D1">
        <w:t>a</w:t>
      </w:r>
      <w:r w:rsidRPr="001401D1">
        <w:t xml:space="preserve">). Quantifying inhibitory control as externalizing proneness: A cross-domain model. </w:t>
      </w:r>
      <w:r w:rsidRPr="001401D1">
        <w:rPr>
          <w:i/>
          <w:iCs/>
        </w:rPr>
        <w:t>Clinical Psychological Science</w:t>
      </w:r>
      <w:r w:rsidRPr="001401D1">
        <w:t xml:space="preserve">, </w:t>
      </w:r>
      <w:r w:rsidRPr="001401D1">
        <w:rPr>
          <w:i/>
          <w:iCs/>
        </w:rPr>
        <w:t>6</w:t>
      </w:r>
      <w:r w:rsidRPr="001401D1">
        <w:t xml:space="preserve">(4), 561-580. </w:t>
      </w:r>
    </w:p>
    <w:p w14:paraId="5C301F2A" w14:textId="5B28BF6D" w:rsidR="00A7082F" w:rsidRPr="001401D1" w:rsidRDefault="00A7082F" w:rsidP="00A7082F">
      <w:pPr>
        <w:pStyle w:val="Bibliography"/>
        <w:ind w:left="540" w:right="-216" w:hanging="540"/>
      </w:pPr>
      <w:r w:rsidRPr="001401D1">
        <w:t>Venables, N.</w:t>
      </w:r>
      <w:r w:rsidR="006E46A2" w:rsidRPr="001401D1">
        <w:t xml:space="preserve"> </w:t>
      </w:r>
      <w:r w:rsidRPr="001401D1">
        <w:t>C., Yancey, J.</w:t>
      </w:r>
      <w:r w:rsidR="006E46A2" w:rsidRPr="001401D1">
        <w:t xml:space="preserve"> </w:t>
      </w:r>
      <w:r w:rsidRPr="001401D1">
        <w:t>R., Kramer, M.</w:t>
      </w:r>
      <w:r w:rsidR="006E46A2" w:rsidRPr="001401D1">
        <w:t xml:space="preserve"> </w:t>
      </w:r>
      <w:r w:rsidRPr="001401D1">
        <w:t>D., Hicks, B.</w:t>
      </w:r>
      <w:r w:rsidR="006E46A2" w:rsidRPr="001401D1">
        <w:t xml:space="preserve"> </w:t>
      </w:r>
      <w:r w:rsidRPr="001401D1">
        <w:t>M., Krueger, R.</w:t>
      </w:r>
      <w:r w:rsidR="006E46A2" w:rsidRPr="001401D1">
        <w:t xml:space="preserve"> </w:t>
      </w:r>
      <w:r w:rsidRPr="001401D1">
        <w:t>F., Iacono, W.</w:t>
      </w:r>
      <w:r w:rsidR="006E46A2" w:rsidRPr="001401D1">
        <w:t xml:space="preserve"> </w:t>
      </w:r>
      <w:r w:rsidRPr="001401D1">
        <w:t>G., Joiner, T.</w:t>
      </w:r>
      <w:r w:rsidR="006E46A2" w:rsidRPr="001401D1">
        <w:t xml:space="preserve"> </w:t>
      </w:r>
      <w:r w:rsidRPr="001401D1">
        <w:t>E., &amp; Patrick, C.</w:t>
      </w:r>
      <w:r w:rsidR="006E46A2" w:rsidRPr="001401D1">
        <w:t xml:space="preserve"> </w:t>
      </w:r>
      <w:r w:rsidRPr="001401D1">
        <w:t xml:space="preserve">J. (2018b). Psychoneurometric assessment of dispositional liabilities for suicidal behavior: Phenotypic and etiological associations. </w:t>
      </w:r>
      <w:r w:rsidRPr="001401D1">
        <w:rPr>
          <w:i/>
          <w:iCs/>
        </w:rPr>
        <w:t>Psychological Medicine</w:t>
      </w:r>
      <w:r w:rsidRPr="001401D1">
        <w:t xml:space="preserve">, </w:t>
      </w:r>
      <w:r w:rsidRPr="001401D1">
        <w:rPr>
          <w:i/>
          <w:iCs/>
        </w:rPr>
        <w:t>48</w:t>
      </w:r>
      <w:r w:rsidRPr="001401D1">
        <w:t xml:space="preserve">(3), 463-472. </w:t>
      </w:r>
    </w:p>
    <w:p w14:paraId="4BF802C9" w14:textId="77777777" w:rsidR="00E007B3" w:rsidRPr="001401D1" w:rsidRDefault="00E007B3" w:rsidP="00E007B3">
      <w:pPr>
        <w:pStyle w:val="Bibliography"/>
      </w:pPr>
      <w:r w:rsidRPr="001401D1">
        <w:t xml:space="preserve">Woicik, P. A., Stewart, S. H., Pihl, R. O., &amp; Conrod, P. J. (2009). The Substance Use Risk Profile Scale: A scale measuring traits linked to reinforcement-specific substance use profiles. </w:t>
      </w:r>
      <w:r w:rsidRPr="001401D1">
        <w:rPr>
          <w:i/>
          <w:iCs/>
        </w:rPr>
        <w:t>Addictive Behaviors</w:t>
      </w:r>
      <w:r w:rsidRPr="001401D1">
        <w:t xml:space="preserve">, </w:t>
      </w:r>
      <w:r w:rsidRPr="001401D1">
        <w:rPr>
          <w:i/>
          <w:iCs/>
        </w:rPr>
        <w:t>34</w:t>
      </w:r>
      <w:r w:rsidRPr="001401D1">
        <w:t>(12), 1042–1055. https://doi.org/10.1016/j.addbeh.2009.07.001</w:t>
      </w:r>
    </w:p>
    <w:p w14:paraId="7AE73BCC" w14:textId="6B410AEC" w:rsidR="00201E1B" w:rsidRPr="001401D1" w:rsidRDefault="00201E1B" w:rsidP="00201E1B">
      <w:pPr>
        <w:pStyle w:val="Bibliography"/>
        <w:ind w:left="540" w:right="-216" w:hanging="540"/>
      </w:pPr>
      <w:r w:rsidRPr="001401D1">
        <w:t>Yancey, J.</w:t>
      </w:r>
      <w:r w:rsidR="006E46A2" w:rsidRPr="001401D1">
        <w:t xml:space="preserve"> </w:t>
      </w:r>
      <w:r w:rsidRPr="001401D1">
        <w:t>R., Venables, N.</w:t>
      </w:r>
      <w:r w:rsidR="006E46A2" w:rsidRPr="001401D1">
        <w:t xml:space="preserve"> </w:t>
      </w:r>
      <w:r w:rsidRPr="001401D1">
        <w:t>C., Hicks, B.</w:t>
      </w:r>
      <w:r w:rsidR="006E46A2" w:rsidRPr="001401D1">
        <w:t xml:space="preserve"> </w:t>
      </w:r>
      <w:r w:rsidRPr="001401D1">
        <w:t>M., &amp; Patrick, C.</w:t>
      </w:r>
      <w:r w:rsidR="006E46A2" w:rsidRPr="001401D1">
        <w:t xml:space="preserve"> </w:t>
      </w:r>
      <w:r w:rsidRPr="001401D1">
        <w:t xml:space="preserve">J. (2013). Evidence for a heritable brain basis to deviance-promoting deficits in self-control. </w:t>
      </w:r>
      <w:r w:rsidRPr="001401D1">
        <w:rPr>
          <w:i/>
          <w:iCs/>
        </w:rPr>
        <w:t>Journal of Criminal Justice</w:t>
      </w:r>
      <w:r w:rsidRPr="001401D1">
        <w:t xml:space="preserve">, </w:t>
      </w:r>
      <w:r w:rsidRPr="001401D1">
        <w:rPr>
          <w:i/>
          <w:iCs/>
        </w:rPr>
        <w:t>41</w:t>
      </w:r>
      <w:r w:rsidRPr="001401D1">
        <w:t xml:space="preserve">(5), 309-317. </w:t>
      </w:r>
    </w:p>
    <w:p w14:paraId="7DFA700D" w14:textId="3485EA9F" w:rsidR="00DD1D61" w:rsidRPr="004611D4" w:rsidRDefault="00DD1D61" w:rsidP="00DD1D61">
      <w:pPr>
        <w:spacing w:before="80"/>
        <w:ind w:right="-144"/>
      </w:pPr>
    </w:p>
    <w:sectPr w:rsidR="00DD1D61" w:rsidRPr="004611D4" w:rsidSect="000F39E6">
      <w:pgSz w:w="12240" w:h="15840"/>
      <w:pgMar w:top="1296"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619B5" w14:textId="77777777" w:rsidR="00A5415C" w:rsidRDefault="00A5415C" w:rsidP="004555E7">
      <w:r>
        <w:separator/>
      </w:r>
    </w:p>
  </w:endnote>
  <w:endnote w:type="continuationSeparator" w:id="0">
    <w:p w14:paraId="018B19BE" w14:textId="77777777" w:rsidR="00A5415C" w:rsidRDefault="00A5415C" w:rsidP="0045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3903" w14:textId="77777777" w:rsidR="00A5415C" w:rsidRDefault="00A5415C" w:rsidP="004555E7">
      <w:r>
        <w:separator/>
      </w:r>
    </w:p>
  </w:footnote>
  <w:footnote w:type="continuationSeparator" w:id="0">
    <w:p w14:paraId="74E2BF27" w14:textId="77777777" w:rsidR="00A5415C" w:rsidRDefault="00A5415C" w:rsidP="004555E7">
      <w:r>
        <w:continuationSeparator/>
      </w:r>
    </w:p>
  </w:footnote>
  <w:footnote w:id="1">
    <w:p w14:paraId="649A3A40" w14:textId="1DBFC305" w:rsidR="008D0AB9" w:rsidRPr="00E0604A" w:rsidRDefault="008D0AB9" w:rsidP="00D93A0F">
      <w:pPr>
        <w:pStyle w:val="FootnoteText"/>
        <w:rPr>
          <w:rFonts w:ascii="Times New Roman" w:hAnsi="Times New Roman" w:cs="Times New Roman"/>
        </w:rPr>
      </w:pPr>
      <w:r w:rsidRPr="00B52962">
        <w:rPr>
          <w:rStyle w:val="FootnoteReference"/>
          <w:rFonts w:ascii="Times New Roman" w:hAnsi="Times New Roman" w:cs="Times New Roman"/>
        </w:rPr>
        <w:footnoteRef/>
      </w:r>
      <w:r w:rsidRPr="00B52962">
        <w:rPr>
          <w:rFonts w:ascii="Times New Roman" w:hAnsi="Times New Roman" w:cs="Times New Roman"/>
        </w:rPr>
        <w:t xml:space="preserve"> </w:t>
      </w:r>
      <w:r w:rsidRPr="008D60F1">
        <w:rPr>
          <w:rFonts w:ascii="Times New Roman" w:hAnsi="Times New Roman" w:cs="Times New Roman"/>
          <w:sz w:val="22"/>
          <w:szCs w:val="22"/>
        </w:rPr>
        <w:t xml:space="preserve">The Construct Definition Form can be found in the online supplement to </w:t>
      </w:r>
      <w:r>
        <w:rPr>
          <w:rFonts w:ascii="Times New Roman" w:hAnsi="Times New Roman" w:cs="Times New Roman"/>
          <w:noProof/>
          <w:sz w:val="22"/>
          <w:szCs w:val="22"/>
        </w:rPr>
        <w:t>Hall et al. (2014)</w:t>
      </w:r>
      <w:r>
        <w:rPr>
          <w:rFonts w:ascii="Times New Roman" w:hAnsi="Times New Roman" w:cs="Times New Roman"/>
          <w:sz w:val="22"/>
          <w:szCs w:val="22"/>
        </w:rPr>
        <w:t>,</w:t>
      </w:r>
      <w:r w:rsidRPr="008D60F1">
        <w:rPr>
          <w:rFonts w:ascii="Times New Roman" w:hAnsi="Times New Roman" w:cs="Times New Roman"/>
          <w:sz w:val="22"/>
          <w:szCs w:val="22"/>
        </w:rPr>
        <w:t xml:space="preserve"> http://supp.apa.org/psycarticles/supplemental/a0035665/a0035665_supp.html</w:t>
      </w:r>
      <w:r>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9987961"/>
      <w:docPartObj>
        <w:docPartGallery w:val="Page Numbers (Top of Page)"/>
        <w:docPartUnique/>
      </w:docPartObj>
    </w:sdtPr>
    <w:sdtEndPr>
      <w:rPr>
        <w:rStyle w:val="PageNumber"/>
      </w:rPr>
    </w:sdtEndPr>
    <w:sdtContent>
      <w:p w14:paraId="7436E351" w14:textId="4DBDDFF7" w:rsidR="008D0AB9" w:rsidRDefault="008D0AB9" w:rsidP="006526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C0C573" w14:textId="77777777" w:rsidR="008D0AB9" w:rsidRDefault="008D0AB9" w:rsidP="004E1C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9550590"/>
      <w:docPartObj>
        <w:docPartGallery w:val="Page Numbers (Top of Page)"/>
        <w:docPartUnique/>
      </w:docPartObj>
    </w:sdtPr>
    <w:sdtEndPr>
      <w:rPr>
        <w:rStyle w:val="PageNumber"/>
      </w:rPr>
    </w:sdtEndPr>
    <w:sdtContent>
      <w:p w14:paraId="5A6CD407" w14:textId="1CF5C42C" w:rsidR="008D0AB9" w:rsidRDefault="008D0AB9" w:rsidP="006526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6EB1">
          <w:rPr>
            <w:rStyle w:val="PageNumber"/>
            <w:noProof/>
          </w:rPr>
          <w:t>21</w:t>
        </w:r>
        <w:r>
          <w:rPr>
            <w:rStyle w:val="PageNumber"/>
          </w:rPr>
          <w:fldChar w:fldCharType="end"/>
        </w:r>
      </w:p>
    </w:sdtContent>
  </w:sdt>
  <w:p w14:paraId="7D3B0A39" w14:textId="77777777" w:rsidR="008D0AB9" w:rsidRDefault="008D0AB9" w:rsidP="004E1C5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A6BB" w14:textId="45C2F268" w:rsidR="008D0AB9" w:rsidRDefault="008D0AB9" w:rsidP="00736DE1">
    <w:pPr>
      <w:pStyle w:val="Header"/>
      <w:ind w:right="-1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A64B2"/>
    <w:multiLevelType w:val="hybridMultilevel"/>
    <w:tmpl w:val="7B1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D2E30"/>
    <w:multiLevelType w:val="hybridMultilevel"/>
    <w:tmpl w:val="232C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81930"/>
    <w:multiLevelType w:val="hybridMultilevel"/>
    <w:tmpl w:val="003AF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0309F0"/>
    <w:multiLevelType w:val="hybridMultilevel"/>
    <w:tmpl w:val="D448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CB"/>
    <w:rsid w:val="00000B5B"/>
    <w:rsid w:val="00005B17"/>
    <w:rsid w:val="00007302"/>
    <w:rsid w:val="000075AB"/>
    <w:rsid w:val="00010430"/>
    <w:rsid w:val="000105B4"/>
    <w:rsid w:val="00016D42"/>
    <w:rsid w:val="000253B3"/>
    <w:rsid w:val="00030E66"/>
    <w:rsid w:val="000334CD"/>
    <w:rsid w:val="000358F1"/>
    <w:rsid w:val="00040F5E"/>
    <w:rsid w:val="000515BB"/>
    <w:rsid w:val="00051D62"/>
    <w:rsid w:val="0005284D"/>
    <w:rsid w:val="00055333"/>
    <w:rsid w:val="00056544"/>
    <w:rsid w:val="00062AB9"/>
    <w:rsid w:val="00064EF8"/>
    <w:rsid w:val="000707D8"/>
    <w:rsid w:val="00071783"/>
    <w:rsid w:val="00075B7F"/>
    <w:rsid w:val="00076196"/>
    <w:rsid w:val="000775D6"/>
    <w:rsid w:val="00080ACE"/>
    <w:rsid w:val="00092B52"/>
    <w:rsid w:val="00093ABB"/>
    <w:rsid w:val="00097890"/>
    <w:rsid w:val="00097F1C"/>
    <w:rsid w:val="000A20C2"/>
    <w:rsid w:val="000A4F77"/>
    <w:rsid w:val="000A5267"/>
    <w:rsid w:val="000B74F5"/>
    <w:rsid w:val="000B7CE5"/>
    <w:rsid w:val="000C4F39"/>
    <w:rsid w:val="000D745E"/>
    <w:rsid w:val="000E042E"/>
    <w:rsid w:val="000E097F"/>
    <w:rsid w:val="000E31D0"/>
    <w:rsid w:val="000E5F08"/>
    <w:rsid w:val="000E7C84"/>
    <w:rsid w:val="000F0757"/>
    <w:rsid w:val="000F39E6"/>
    <w:rsid w:val="000F6411"/>
    <w:rsid w:val="00104C7D"/>
    <w:rsid w:val="00105EE1"/>
    <w:rsid w:val="00106D73"/>
    <w:rsid w:val="001077AB"/>
    <w:rsid w:val="001147D8"/>
    <w:rsid w:val="001159F9"/>
    <w:rsid w:val="00126212"/>
    <w:rsid w:val="00132226"/>
    <w:rsid w:val="00133250"/>
    <w:rsid w:val="00135CCF"/>
    <w:rsid w:val="00137C1B"/>
    <w:rsid w:val="001401D1"/>
    <w:rsid w:val="00145005"/>
    <w:rsid w:val="00146093"/>
    <w:rsid w:val="00152EA8"/>
    <w:rsid w:val="00156427"/>
    <w:rsid w:val="0015761C"/>
    <w:rsid w:val="00162190"/>
    <w:rsid w:val="00163CA2"/>
    <w:rsid w:val="001648D1"/>
    <w:rsid w:val="00167239"/>
    <w:rsid w:val="00170C51"/>
    <w:rsid w:val="00176E8F"/>
    <w:rsid w:val="00181ECA"/>
    <w:rsid w:val="00191E53"/>
    <w:rsid w:val="00193B9F"/>
    <w:rsid w:val="001A1DA6"/>
    <w:rsid w:val="001B035C"/>
    <w:rsid w:val="001C5169"/>
    <w:rsid w:val="001D1466"/>
    <w:rsid w:val="001E1120"/>
    <w:rsid w:val="001E3653"/>
    <w:rsid w:val="001E4B4A"/>
    <w:rsid w:val="001E5418"/>
    <w:rsid w:val="001E608B"/>
    <w:rsid w:val="001E6221"/>
    <w:rsid w:val="001F0491"/>
    <w:rsid w:val="001F1111"/>
    <w:rsid w:val="001F3BFB"/>
    <w:rsid w:val="001F5464"/>
    <w:rsid w:val="001F6A00"/>
    <w:rsid w:val="002013CC"/>
    <w:rsid w:val="00201E1B"/>
    <w:rsid w:val="002047FF"/>
    <w:rsid w:val="00204DCA"/>
    <w:rsid w:val="002079EE"/>
    <w:rsid w:val="002101C4"/>
    <w:rsid w:val="0021039E"/>
    <w:rsid w:val="002133C1"/>
    <w:rsid w:val="0021445D"/>
    <w:rsid w:val="00216E2F"/>
    <w:rsid w:val="002227A0"/>
    <w:rsid w:val="0023175A"/>
    <w:rsid w:val="0023198E"/>
    <w:rsid w:val="00247195"/>
    <w:rsid w:val="00251590"/>
    <w:rsid w:val="0025289D"/>
    <w:rsid w:val="00275640"/>
    <w:rsid w:val="00282895"/>
    <w:rsid w:val="00285B06"/>
    <w:rsid w:val="00290A39"/>
    <w:rsid w:val="00293385"/>
    <w:rsid w:val="002966FA"/>
    <w:rsid w:val="002A15B0"/>
    <w:rsid w:val="002A53AA"/>
    <w:rsid w:val="002B09AB"/>
    <w:rsid w:val="002B5957"/>
    <w:rsid w:val="002C231D"/>
    <w:rsid w:val="002C556E"/>
    <w:rsid w:val="002C7473"/>
    <w:rsid w:val="002C755D"/>
    <w:rsid w:val="002D058C"/>
    <w:rsid w:val="002E465F"/>
    <w:rsid w:val="002E4F8E"/>
    <w:rsid w:val="002F069F"/>
    <w:rsid w:val="002F46C1"/>
    <w:rsid w:val="00300C6E"/>
    <w:rsid w:val="0030347E"/>
    <w:rsid w:val="00305FAD"/>
    <w:rsid w:val="0030615A"/>
    <w:rsid w:val="003163B7"/>
    <w:rsid w:val="00316A83"/>
    <w:rsid w:val="0031708A"/>
    <w:rsid w:val="003255D8"/>
    <w:rsid w:val="00325CF6"/>
    <w:rsid w:val="003303AD"/>
    <w:rsid w:val="0033540D"/>
    <w:rsid w:val="00346049"/>
    <w:rsid w:val="003545E1"/>
    <w:rsid w:val="00356C22"/>
    <w:rsid w:val="00360CA1"/>
    <w:rsid w:val="00365FDA"/>
    <w:rsid w:val="00366312"/>
    <w:rsid w:val="00372715"/>
    <w:rsid w:val="00376034"/>
    <w:rsid w:val="003761E2"/>
    <w:rsid w:val="0038103F"/>
    <w:rsid w:val="00383AC7"/>
    <w:rsid w:val="003847D3"/>
    <w:rsid w:val="00384B44"/>
    <w:rsid w:val="00387AAA"/>
    <w:rsid w:val="00391D88"/>
    <w:rsid w:val="00391E8C"/>
    <w:rsid w:val="00394351"/>
    <w:rsid w:val="00397034"/>
    <w:rsid w:val="00397801"/>
    <w:rsid w:val="003A260B"/>
    <w:rsid w:val="003A4FB2"/>
    <w:rsid w:val="003B0A47"/>
    <w:rsid w:val="003B65FC"/>
    <w:rsid w:val="003B6DBA"/>
    <w:rsid w:val="003C33CB"/>
    <w:rsid w:val="003C4036"/>
    <w:rsid w:val="003C57CA"/>
    <w:rsid w:val="003C57FD"/>
    <w:rsid w:val="003C624E"/>
    <w:rsid w:val="003C6A57"/>
    <w:rsid w:val="003C6E97"/>
    <w:rsid w:val="003D1A86"/>
    <w:rsid w:val="003D25BB"/>
    <w:rsid w:val="003D4CD1"/>
    <w:rsid w:val="003D7D31"/>
    <w:rsid w:val="003E219E"/>
    <w:rsid w:val="003E5DEB"/>
    <w:rsid w:val="003E6A17"/>
    <w:rsid w:val="003F71B7"/>
    <w:rsid w:val="003F75A5"/>
    <w:rsid w:val="0040048E"/>
    <w:rsid w:val="00403B90"/>
    <w:rsid w:val="00410A62"/>
    <w:rsid w:val="00412093"/>
    <w:rsid w:val="00412669"/>
    <w:rsid w:val="004147EE"/>
    <w:rsid w:val="00416A41"/>
    <w:rsid w:val="004206A4"/>
    <w:rsid w:val="00423A26"/>
    <w:rsid w:val="00426F4A"/>
    <w:rsid w:val="00431608"/>
    <w:rsid w:val="00433D29"/>
    <w:rsid w:val="00440949"/>
    <w:rsid w:val="0044445A"/>
    <w:rsid w:val="00454F1B"/>
    <w:rsid w:val="004555E7"/>
    <w:rsid w:val="004605A4"/>
    <w:rsid w:val="004611D4"/>
    <w:rsid w:val="00463E07"/>
    <w:rsid w:val="004669E3"/>
    <w:rsid w:val="004670BC"/>
    <w:rsid w:val="00472960"/>
    <w:rsid w:val="00480E23"/>
    <w:rsid w:val="004811C7"/>
    <w:rsid w:val="00494283"/>
    <w:rsid w:val="00494D73"/>
    <w:rsid w:val="004955E6"/>
    <w:rsid w:val="004A7EC3"/>
    <w:rsid w:val="004C4AA2"/>
    <w:rsid w:val="004C641E"/>
    <w:rsid w:val="004C6B94"/>
    <w:rsid w:val="004C77A2"/>
    <w:rsid w:val="004C7D1B"/>
    <w:rsid w:val="004D6611"/>
    <w:rsid w:val="004E1A3C"/>
    <w:rsid w:val="004E1C56"/>
    <w:rsid w:val="004E6EB1"/>
    <w:rsid w:val="004F1073"/>
    <w:rsid w:val="004F2584"/>
    <w:rsid w:val="004F398C"/>
    <w:rsid w:val="004F6BE2"/>
    <w:rsid w:val="005066FC"/>
    <w:rsid w:val="00514ABB"/>
    <w:rsid w:val="00514E18"/>
    <w:rsid w:val="00517E20"/>
    <w:rsid w:val="0052018D"/>
    <w:rsid w:val="00521F45"/>
    <w:rsid w:val="0052361A"/>
    <w:rsid w:val="00526EFF"/>
    <w:rsid w:val="00526F09"/>
    <w:rsid w:val="005361EF"/>
    <w:rsid w:val="00542560"/>
    <w:rsid w:val="00542843"/>
    <w:rsid w:val="00543663"/>
    <w:rsid w:val="00557F2D"/>
    <w:rsid w:val="00560874"/>
    <w:rsid w:val="005635AE"/>
    <w:rsid w:val="00563A55"/>
    <w:rsid w:val="005713BA"/>
    <w:rsid w:val="00571436"/>
    <w:rsid w:val="00572215"/>
    <w:rsid w:val="00577D35"/>
    <w:rsid w:val="00583A5D"/>
    <w:rsid w:val="00591326"/>
    <w:rsid w:val="00595E72"/>
    <w:rsid w:val="0059636D"/>
    <w:rsid w:val="005A6398"/>
    <w:rsid w:val="005A661A"/>
    <w:rsid w:val="005B0898"/>
    <w:rsid w:val="005B2816"/>
    <w:rsid w:val="005B2CCB"/>
    <w:rsid w:val="005B3113"/>
    <w:rsid w:val="005B4A50"/>
    <w:rsid w:val="005B7D91"/>
    <w:rsid w:val="005C48A5"/>
    <w:rsid w:val="005C5A71"/>
    <w:rsid w:val="005E25F1"/>
    <w:rsid w:val="005E3449"/>
    <w:rsid w:val="005E4F52"/>
    <w:rsid w:val="005E5528"/>
    <w:rsid w:val="005F0B65"/>
    <w:rsid w:val="005F1047"/>
    <w:rsid w:val="005F140C"/>
    <w:rsid w:val="005F1781"/>
    <w:rsid w:val="005F1E9A"/>
    <w:rsid w:val="005F6C8F"/>
    <w:rsid w:val="005F7BC2"/>
    <w:rsid w:val="00602A26"/>
    <w:rsid w:val="0060472C"/>
    <w:rsid w:val="00614368"/>
    <w:rsid w:val="006243A1"/>
    <w:rsid w:val="00624C01"/>
    <w:rsid w:val="00625352"/>
    <w:rsid w:val="00633923"/>
    <w:rsid w:val="00637A73"/>
    <w:rsid w:val="006410DF"/>
    <w:rsid w:val="00641B8E"/>
    <w:rsid w:val="006451CD"/>
    <w:rsid w:val="00647651"/>
    <w:rsid w:val="0065167F"/>
    <w:rsid w:val="00651914"/>
    <w:rsid w:val="00652638"/>
    <w:rsid w:val="00654F95"/>
    <w:rsid w:val="006577F5"/>
    <w:rsid w:val="00662D63"/>
    <w:rsid w:val="00662D9A"/>
    <w:rsid w:val="006635D3"/>
    <w:rsid w:val="006666E6"/>
    <w:rsid w:val="00671CB4"/>
    <w:rsid w:val="00672A70"/>
    <w:rsid w:val="00676427"/>
    <w:rsid w:val="00680B65"/>
    <w:rsid w:val="0069179B"/>
    <w:rsid w:val="00692777"/>
    <w:rsid w:val="0069518A"/>
    <w:rsid w:val="006A0B01"/>
    <w:rsid w:val="006A225E"/>
    <w:rsid w:val="006A35B1"/>
    <w:rsid w:val="006A511B"/>
    <w:rsid w:val="006A6E2C"/>
    <w:rsid w:val="006A7DBC"/>
    <w:rsid w:val="006B1101"/>
    <w:rsid w:val="006B29DA"/>
    <w:rsid w:val="006C2A4C"/>
    <w:rsid w:val="006D2DAD"/>
    <w:rsid w:val="006D73CE"/>
    <w:rsid w:val="006E2570"/>
    <w:rsid w:val="006E41E6"/>
    <w:rsid w:val="006E46A2"/>
    <w:rsid w:val="006E602D"/>
    <w:rsid w:val="006E7744"/>
    <w:rsid w:val="006E7A21"/>
    <w:rsid w:val="006F4884"/>
    <w:rsid w:val="006F73B7"/>
    <w:rsid w:val="00705454"/>
    <w:rsid w:val="0072575C"/>
    <w:rsid w:val="00725B20"/>
    <w:rsid w:val="007265ED"/>
    <w:rsid w:val="00730578"/>
    <w:rsid w:val="00736134"/>
    <w:rsid w:val="00736DE1"/>
    <w:rsid w:val="0073796A"/>
    <w:rsid w:val="00737FE6"/>
    <w:rsid w:val="00746481"/>
    <w:rsid w:val="00746F86"/>
    <w:rsid w:val="00747A88"/>
    <w:rsid w:val="00751FB3"/>
    <w:rsid w:val="00760705"/>
    <w:rsid w:val="00760D5C"/>
    <w:rsid w:val="00762E95"/>
    <w:rsid w:val="00767CA8"/>
    <w:rsid w:val="00771567"/>
    <w:rsid w:val="007763B1"/>
    <w:rsid w:val="00780B62"/>
    <w:rsid w:val="007815EB"/>
    <w:rsid w:val="007818A1"/>
    <w:rsid w:val="0078423E"/>
    <w:rsid w:val="00785890"/>
    <w:rsid w:val="00791157"/>
    <w:rsid w:val="0079342C"/>
    <w:rsid w:val="007963E8"/>
    <w:rsid w:val="007A1EC5"/>
    <w:rsid w:val="007A24B2"/>
    <w:rsid w:val="007A2AE9"/>
    <w:rsid w:val="007A5AD4"/>
    <w:rsid w:val="007B00DA"/>
    <w:rsid w:val="007B25D8"/>
    <w:rsid w:val="007B2A41"/>
    <w:rsid w:val="007B5C19"/>
    <w:rsid w:val="007C0596"/>
    <w:rsid w:val="007C146A"/>
    <w:rsid w:val="007C2955"/>
    <w:rsid w:val="007C32CB"/>
    <w:rsid w:val="007C4043"/>
    <w:rsid w:val="007D2626"/>
    <w:rsid w:val="007E013E"/>
    <w:rsid w:val="007E56BC"/>
    <w:rsid w:val="007E5B64"/>
    <w:rsid w:val="007F3958"/>
    <w:rsid w:val="007F3CC7"/>
    <w:rsid w:val="007F73F2"/>
    <w:rsid w:val="00801252"/>
    <w:rsid w:val="00801421"/>
    <w:rsid w:val="00802ECB"/>
    <w:rsid w:val="008060AC"/>
    <w:rsid w:val="00806332"/>
    <w:rsid w:val="00810490"/>
    <w:rsid w:val="008114CE"/>
    <w:rsid w:val="008131F7"/>
    <w:rsid w:val="0081533C"/>
    <w:rsid w:val="0082409C"/>
    <w:rsid w:val="00832F47"/>
    <w:rsid w:val="00836EB0"/>
    <w:rsid w:val="008417A7"/>
    <w:rsid w:val="008417DC"/>
    <w:rsid w:val="00843C81"/>
    <w:rsid w:val="008505DF"/>
    <w:rsid w:val="0085208E"/>
    <w:rsid w:val="00852279"/>
    <w:rsid w:val="0085430D"/>
    <w:rsid w:val="00863F59"/>
    <w:rsid w:val="00863F67"/>
    <w:rsid w:val="008641F5"/>
    <w:rsid w:val="00871842"/>
    <w:rsid w:val="008762CB"/>
    <w:rsid w:val="00880576"/>
    <w:rsid w:val="00883187"/>
    <w:rsid w:val="00883B77"/>
    <w:rsid w:val="00890C0C"/>
    <w:rsid w:val="0089319E"/>
    <w:rsid w:val="008A215F"/>
    <w:rsid w:val="008A3189"/>
    <w:rsid w:val="008A3B08"/>
    <w:rsid w:val="008A49AA"/>
    <w:rsid w:val="008B5361"/>
    <w:rsid w:val="008C310A"/>
    <w:rsid w:val="008C5426"/>
    <w:rsid w:val="008D0AB9"/>
    <w:rsid w:val="008D1E7B"/>
    <w:rsid w:val="008D347D"/>
    <w:rsid w:val="008D3DD5"/>
    <w:rsid w:val="008D47CE"/>
    <w:rsid w:val="008D4F61"/>
    <w:rsid w:val="008F083F"/>
    <w:rsid w:val="00900838"/>
    <w:rsid w:val="00900C3C"/>
    <w:rsid w:val="00901B25"/>
    <w:rsid w:val="00903940"/>
    <w:rsid w:val="00904E3D"/>
    <w:rsid w:val="009067F4"/>
    <w:rsid w:val="00915665"/>
    <w:rsid w:val="00916D4E"/>
    <w:rsid w:val="009254C0"/>
    <w:rsid w:val="0092698F"/>
    <w:rsid w:val="00934A22"/>
    <w:rsid w:val="00943923"/>
    <w:rsid w:val="00952109"/>
    <w:rsid w:val="009522E4"/>
    <w:rsid w:val="00952A15"/>
    <w:rsid w:val="009628E5"/>
    <w:rsid w:val="0096427A"/>
    <w:rsid w:val="009642B6"/>
    <w:rsid w:val="00967457"/>
    <w:rsid w:val="009726FE"/>
    <w:rsid w:val="00972719"/>
    <w:rsid w:val="009734CE"/>
    <w:rsid w:val="0098544D"/>
    <w:rsid w:val="00990C0A"/>
    <w:rsid w:val="00992AE5"/>
    <w:rsid w:val="0099691D"/>
    <w:rsid w:val="00996FCF"/>
    <w:rsid w:val="009A11A2"/>
    <w:rsid w:val="009A34AE"/>
    <w:rsid w:val="009B02C3"/>
    <w:rsid w:val="009B338C"/>
    <w:rsid w:val="009C2DE7"/>
    <w:rsid w:val="009D0EEB"/>
    <w:rsid w:val="009E09E7"/>
    <w:rsid w:val="009E4EA4"/>
    <w:rsid w:val="00A00AD7"/>
    <w:rsid w:val="00A022C8"/>
    <w:rsid w:val="00A06754"/>
    <w:rsid w:val="00A14D0E"/>
    <w:rsid w:val="00A151DD"/>
    <w:rsid w:val="00A16645"/>
    <w:rsid w:val="00A20848"/>
    <w:rsid w:val="00A20ABB"/>
    <w:rsid w:val="00A24E1E"/>
    <w:rsid w:val="00A254E7"/>
    <w:rsid w:val="00A25CA8"/>
    <w:rsid w:val="00A322C7"/>
    <w:rsid w:val="00A342D5"/>
    <w:rsid w:val="00A41D18"/>
    <w:rsid w:val="00A41FB7"/>
    <w:rsid w:val="00A43377"/>
    <w:rsid w:val="00A43536"/>
    <w:rsid w:val="00A46858"/>
    <w:rsid w:val="00A50CF2"/>
    <w:rsid w:val="00A5415C"/>
    <w:rsid w:val="00A54E22"/>
    <w:rsid w:val="00A67974"/>
    <w:rsid w:val="00A7082F"/>
    <w:rsid w:val="00A713F9"/>
    <w:rsid w:val="00A722E2"/>
    <w:rsid w:val="00A738FA"/>
    <w:rsid w:val="00A7392B"/>
    <w:rsid w:val="00A76806"/>
    <w:rsid w:val="00A83F95"/>
    <w:rsid w:val="00A85668"/>
    <w:rsid w:val="00A8642F"/>
    <w:rsid w:val="00A87E1C"/>
    <w:rsid w:val="00A91DCA"/>
    <w:rsid w:val="00A92679"/>
    <w:rsid w:val="00A92B01"/>
    <w:rsid w:val="00AA1648"/>
    <w:rsid w:val="00AB1DB8"/>
    <w:rsid w:val="00AC6FB2"/>
    <w:rsid w:val="00AD4752"/>
    <w:rsid w:val="00AD59A4"/>
    <w:rsid w:val="00AE4AE6"/>
    <w:rsid w:val="00AE7C4F"/>
    <w:rsid w:val="00AF199D"/>
    <w:rsid w:val="00AF6B00"/>
    <w:rsid w:val="00B0358F"/>
    <w:rsid w:val="00B2298B"/>
    <w:rsid w:val="00B23E74"/>
    <w:rsid w:val="00B24B2A"/>
    <w:rsid w:val="00B3028C"/>
    <w:rsid w:val="00B34CA6"/>
    <w:rsid w:val="00B35249"/>
    <w:rsid w:val="00B43A00"/>
    <w:rsid w:val="00B46707"/>
    <w:rsid w:val="00B46BF0"/>
    <w:rsid w:val="00B46DA7"/>
    <w:rsid w:val="00B52962"/>
    <w:rsid w:val="00B53AED"/>
    <w:rsid w:val="00B670F2"/>
    <w:rsid w:val="00B746E2"/>
    <w:rsid w:val="00B7510F"/>
    <w:rsid w:val="00B75E4F"/>
    <w:rsid w:val="00B859F0"/>
    <w:rsid w:val="00B91FA6"/>
    <w:rsid w:val="00B9497F"/>
    <w:rsid w:val="00B95A24"/>
    <w:rsid w:val="00BB169F"/>
    <w:rsid w:val="00BB1FCF"/>
    <w:rsid w:val="00BB4CDD"/>
    <w:rsid w:val="00BB579A"/>
    <w:rsid w:val="00BC17F9"/>
    <w:rsid w:val="00BD78CC"/>
    <w:rsid w:val="00BE2350"/>
    <w:rsid w:val="00BE3932"/>
    <w:rsid w:val="00BE7E6C"/>
    <w:rsid w:val="00BF2096"/>
    <w:rsid w:val="00BF73CB"/>
    <w:rsid w:val="00C06481"/>
    <w:rsid w:val="00C1058A"/>
    <w:rsid w:val="00C106AC"/>
    <w:rsid w:val="00C134E7"/>
    <w:rsid w:val="00C13B7B"/>
    <w:rsid w:val="00C21AB7"/>
    <w:rsid w:val="00C2212E"/>
    <w:rsid w:val="00C2494A"/>
    <w:rsid w:val="00C2642E"/>
    <w:rsid w:val="00C27669"/>
    <w:rsid w:val="00C31F67"/>
    <w:rsid w:val="00C34699"/>
    <w:rsid w:val="00C34DC9"/>
    <w:rsid w:val="00C371B6"/>
    <w:rsid w:val="00C452E9"/>
    <w:rsid w:val="00C51D15"/>
    <w:rsid w:val="00C52547"/>
    <w:rsid w:val="00C54B26"/>
    <w:rsid w:val="00C559A8"/>
    <w:rsid w:val="00C57B93"/>
    <w:rsid w:val="00C60ED7"/>
    <w:rsid w:val="00C64086"/>
    <w:rsid w:val="00C71AD3"/>
    <w:rsid w:val="00C76502"/>
    <w:rsid w:val="00C81149"/>
    <w:rsid w:val="00C95EE8"/>
    <w:rsid w:val="00CA2B97"/>
    <w:rsid w:val="00CA66A7"/>
    <w:rsid w:val="00CB55EA"/>
    <w:rsid w:val="00CB6E17"/>
    <w:rsid w:val="00CB7CFC"/>
    <w:rsid w:val="00CB7FD4"/>
    <w:rsid w:val="00CC0437"/>
    <w:rsid w:val="00CC1254"/>
    <w:rsid w:val="00CD14E0"/>
    <w:rsid w:val="00CD1C8F"/>
    <w:rsid w:val="00CE0D60"/>
    <w:rsid w:val="00CF12FF"/>
    <w:rsid w:val="00CF1BA2"/>
    <w:rsid w:val="00CF23B8"/>
    <w:rsid w:val="00CF2BC4"/>
    <w:rsid w:val="00CF3CCD"/>
    <w:rsid w:val="00CF55F2"/>
    <w:rsid w:val="00CF7E36"/>
    <w:rsid w:val="00D0655F"/>
    <w:rsid w:val="00D0674E"/>
    <w:rsid w:val="00D20413"/>
    <w:rsid w:val="00D2648E"/>
    <w:rsid w:val="00D41391"/>
    <w:rsid w:val="00D41CC0"/>
    <w:rsid w:val="00D5014A"/>
    <w:rsid w:val="00D509EF"/>
    <w:rsid w:val="00D511E5"/>
    <w:rsid w:val="00D5664E"/>
    <w:rsid w:val="00D5744F"/>
    <w:rsid w:val="00D631D3"/>
    <w:rsid w:val="00D63E18"/>
    <w:rsid w:val="00D66043"/>
    <w:rsid w:val="00D67FC6"/>
    <w:rsid w:val="00D72723"/>
    <w:rsid w:val="00D7377C"/>
    <w:rsid w:val="00D76886"/>
    <w:rsid w:val="00D77448"/>
    <w:rsid w:val="00D840A9"/>
    <w:rsid w:val="00D84D76"/>
    <w:rsid w:val="00D861A5"/>
    <w:rsid w:val="00D87989"/>
    <w:rsid w:val="00D93A0F"/>
    <w:rsid w:val="00D94472"/>
    <w:rsid w:val="00D9596B"/>
    <w:rsid w:val="00DB217A"/>
    <w:rsid w:val="00DB7F7F"/>
    <w:rsid w:val="00DC047A"/>
    <w:rsid w:val="00DC1AE3"/>
    <w:rsid w:val="00DC2EFE"/>
    <w:rsid w:val="00DC6501"/>
    <w:rsid w:val="00DD1D61"/>
    <w:rsid w:val="00DD3622"/>
    <w:rsid w:val="00DD3650"/>
    <w:rsid w:val="00DD605C"/>
    <w:rsid w:val="00DD629A"/>
    <w:rsid w:val="00DD78DC"/>
    <w:rsid w:val="00DE4098"/>
    <w:rsid w:val="00DE4421"/>
    <w:rsid w:val="00DE729D"/>
    <w:rsid w:val="00DE72BC"/>
    <w:rsid w:val="00DF57B6"/>
    <w:rsid w:val="00DF591D"/>
    <w:rsid w:val="00DF662C"/>
    <w:rsid w:val="00DF7C73"/>
    <w:rsid w:val="00E007B3"/>
    <w:rsid w:val="00E02075"/>
    <w:rsid w:val="00E0604A"/>
    <w:rsid w:val="00E10197"/>
    <w:rsid w:val="00E108F8"/>
    <w:rsid w:val="00E12F90"/>
    <w:rsid w:val="00E161D3"/>
    <w:rsid w:val="00E26770"/>
    <w:rsid w:val="00E36C5E"/>
    <w:rsid w:val="00E43B3C"/>
    <w:rsid w:val="00E508D1"/>
    <w:rsid w:val="00E53C70"/>
    <w:rsid w:val="00E60395"/>
    <w:rsid w:val="00E61336"/>
    <w:rsid w:val="00E63357"/>
    <w:rsid w:val="00E63B96"/>
    <w:rsid w:val="00E66FA1"/>
    <w:rsid w:val="00E77566"/>
    <w:rsid w:val="00E96A08"/>
    <w:rsid w:val="00E96E6C"/>
    <w:rsid w:val="00EA70B5"/>
    <w:rsid w:val="00EB329B"/>
    <w:rsid w:val="00EB3BB7"/>
    <w:rsid w:val="00EB59AB"/>
    <w:rsid w:val="00EC3EF0"/>
    <w:rsid w:val="00EC478D"/>
    <w:rsid w:val="00ED2985"/>
    <w:rsid w:val="00ED6790"/>
    <w:rsid w:val="00EE4B62"/>
    <w:rsid w:val="00EE685C"/>
    <w:rsid w:val="00EF0392"/>
    <w:rsid w:val="00EF49CD"/>
    <w:rsid w:val="00EF7AAF"/>
    <w:rsid w:val="00F039F0"/>
    <w:rsid w:val="00F042DD"/>
    <w:rsid w:val="00F045F6"/>
    <w:rsid w:val="00F05A86"/>
    <w:rsid w:val="00F05E43"/>
    <w:rsid w:val="00F07625"/>
    <w:rsid w:val="00F07F48"/>
    <w:rsid w:val="00F13A1D"/>
    <w:rsid w:val="00F20A4B"/>
    <w:rsid w:val="00F31C1D"/>
    <w:rsid w:val="00F3523C"/>
    <w:rsid w:val="00F3585B"/>
    <w:rsid w:val="00F35D7B"/>
    <w:rsid w:val="00F40D5C"/>
    <w:rsid w:val="00F47F31"/>
    <w:rsid w:val="00F508F8"/>
    <w:rsid w:val="00F51165"/>
    <w:rsid w:val="00F556FC"/>
    <w:rsid w:val="00F5613E"/>
    <w:rsid w:val="00F56E0A"/>
    <w:rsid w:val="00F57421"/>
    <w:rsid w:val="00F63299"/>
    <w:rsid w:val="00F708F7"/>
    <w:rsid w:val="00F72623"/>
    <w:rsid w:val="00F741E0"/>
    <w:rsid w:val="00F75BB9"/>
    <w:rsid w:val="00F76EF8"/>
    <w:rsid w:val="00F80DF2"/>
    <w:rsid w:val="00F810C6"/>
    <w:rsid w:val="00F82FBB"/>
    <w:rsid w:val="00F90B75"/>
    <w:rsid w:val="00F92B65"/>
    <w:rsid w:val="00F95369"/>
    <w:rsid w:val="00FA1651"/>
    <w:rsid w:val="00FA5183"/>
    <w:rsid w:val="00FB21D4"/>
    <w:rsid w:val="00FC036E"/>
    <w:rsid w:val="00FC07DB"/>
    <w:rsid w:val="00FC1146"/>
    <w:rsid w:val="00FD5681"/>
    <w:rsid w:val="00FE41C5"/>
    <w:rsid w:val="00FE7161"/>
    <w:rsid w:val="00FF19E3"/>
    <w:rsid w:val="00FF5D88"/>
    <w:rsid w:val="00FF5D8F"/>
    <w:rsid w:val="00FF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116E"/>
  <w15:chartTrackingRefBased/>
  <w15:docId w15:val="{E4E38AF7-9AE3-4824-9E43-345E662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5B2CCB"/>
    <w:rPr>
      <w:rFonts w:cs="Times New Roman"/>
      <w:sz w:val="16"/>
      <w:szCs w:val="16"/>
    </w:rPr>
  </w:style>
  <w:style w:type="paragraph" w:styleId="CommentText">
    <w:name w:val="annotation text"/>
    <w:basedOn w:val="Normal"/>
    <w:link w:val="CommentTextChar"/>
    <w:uiPriority w:val="99"/>
    <w:semiHidden/>
    <w:rsid w:val="005B2CCB"/>
    <w:rPr>
      <w:sz w:val="20"/>
      <w:szCs w:val="20"/>
    </w:rPr>
  </w:style>
  <w:style w:type="character" w:customStyle="1" w:styleId="CommentTextChar">
    <w:name w:val="Comment Text Char"/>
    <w:link w:val="CommentText"/>
    <w:uiPriority w:val="99"/>
    <w:semiHidden/>
    <w:rsid w:val="005B2C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B2CCB"/>
    <w:rPr>
      <w:rFonts w:ascii="Segoe UI" w:hAnsi="Segoe UI" w:cs="Segoe UI"/>
      <w:sz w:val="18"/>
      <w:szCs w:val="18"/>
    </w:rPr>
  </w:style>
  <w:style w:type="character" w:customStyle="1" w:styleId="BalloonTextChar">
    <w:name w:val="Balloon Text Char"/>
    <w:link w:val="BalloonText"/>
    <w:uiPriority w:val="99"/>
    <w:semiHidden/>
    <w:rsid w:val="005B2CCB"/>
    <w:rPr>
      <w:rFonts w:ascii="Segoe UI" w:eastAsia="Times New Roman" w:hAnsi="Segoe UI" w:cs="Segoe UI"/>
      <w:sz w:val="18"/>
      <w:szCs w:val="18"/>
    </w:rPr>
  </w:style>
  <w:style w:type="paragraph" w:styleId="Header">
    <w:name w:val="header"/>
    <w:basedOn w:val="Normal"/>
    <w:link w:val="HeaderChar"/>
    <w:uiPriority w:val="99"/>
    <w:rsid w:val="00654F95"/>
    <w:pPr>
      <w:tabs>
        <w:tab w:val="center" w:pos="4320"/>
        <w:tab w:val="right" w:pos="8640"/>
      </w:tabs>
    </w:pPr>
  </w:style>
  <w:style w:type="character" w:customStyle="1" w:styleId="HeaderChar">
    <w:name w:val="Header Char"/>
    <w:link w:val="Header"/>
    <w:uiPriority w:val="99"/>
    <w:rsid w:val="00654F95"/>
    <w:rPr>
      <w:rFonts w:ascii="Times New Roman" w:eastAsia="Times New Roman" w:hAnsi="Times New Roman"/>
      <w:sz w:val="24"/>
      <w:szCs w:val="24"/>
    </w:rPr>
  </w:style>
  <w:style w:type="character" w:styleId="Hyperlink">
    <w:name w:val="Hyperlink"/>
    <w:rsid w:val="00654F95"/>
    <w:rPr>
      <w:color w:val="0000FF"/>
      <w:u w:val="single"/>
    </w:rPr>
  </w:style>
  <w:style w:type="paragraph" w:styleId="HTMLPreformatted">
    <w:name w:val="HTML Preformatted"/>
    <w:basedOn w:val="Normal"/>
    <w:link w:val="HTMLPreformattedChar"/>
    <w:rsid w:val="0065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54F95"/>
    <w:rPr>
      <w:rFonts w:ascii="Courier New" w:eastAsia="Times New Roman" w:hAnsi="Courier New" w:cs="Courier New"/>
    </w:rPr>
  </w:style>
  <w:style w:type="paragraph" w:styleId="Footer">
    <w:name w:val="footer"/>
    <w:basedOn w:val="Normal"/>
    <w:link w:val="FooterChar"/>
    <w:uiPriority w:val="99"/>
    <w:unhideWhenUsed/>
    <w:rsid w:val="004555E7"/>
    <w:pPr>
      <w:tabs>
        <w:tab w:val="center" w:pos="4680"/>
        <w:tab w:val="right" w:pos="9360"/>
      </w:tabs>
    </w:pPr>
  </w:style>
  <w:style w:type="character" w:customStyle="1" w:styleId="FooterChar">
    <w:name w:val="Footer Char"/>
    <w:link w:val="Footer"/>
    <w:uiPriority w:val="99"/>
    <w:rsid w:val="004555E7"/>
    <w:rPr>
      <w:rFonts w:ascii="Times New Roman" w:eastAsia="Times New Roman" w:hAnsi="Times New Roman"/>
      <w:sz w:val="24"/>
      <w:szCs w:val="24"/>
    </w:rPr>
  </w:style>
  <w:style w:type="paragraph" w:customStyle="1" w:styleId="RefText">
    <w:name w:val="RefText"/>
    <w:uiPriority w:val="99"/>
    <w:rsid w:val="00C52547"/>
    <w:pPr>
      <w:widowControl w:val="0"/>
      <w:autoSpaceDE w:val="0"/>
      <w:autoSpaceDN w:val="0"/>
      <w:adjustRightInd w:val="0"/>
      <w:spacing w:line="200" w:lineRule="atLeast"/>
      <w:ind w:left="200" w:hanging="200"/>
      <w:jc w:val="both"/>
    </w:pPr>
    <w:rPr>
      <w:rFonts w:ascii="Sabon" w:eastAsia="Times New Roman" w:hAnsi="Sabon" w:cs="Sabon"/>
      <w:sz w:val="16"/>
      <w:szCs w:val="16"/>
    </w:rPr>
  </w:style>
  <w:style w:type="paragraph" w:styleId="CommentSubject">
    <w:name w:val="annotation subject"/>
    <w:basedOn w:val="CommentText"/>
    <w:next w:val="CommentText"/>
    <w:link w:val="CommentSubjectChar"/>
    <w:uiPriority w:val="99"/>
    <w:semiHidden/>
    <w:unhideWhenUsed/>
    <w:rsid w:val="00C31F67"/>
    <w:rPr>
      <w:b/>
      <w:bCs/>
    </w:rPr>
  </w:style>
  <w:style w:type="character" w:customStyle="1" w:styleId="CommentSubjectChar">
    <w:name w:val="Comment Subject Char"/>
    <w:basedOn w:val="CommentTextChar"/>
    <w:link w:val="CommentSubject"/>
    <w:uiPriority w:val="99"/>
    <w:semiHidden/>
    <w:rsid w:val="00C31F6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DE4098"/>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DE4098"/>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DE4098"/>
    <w:rPr>
      <w:vertAlign w:val="superscript"/>
    </w:rPr>
  </w:style>
  <w:style w:type="paragraph" w:styleId="Revision">
    <w:name w:val="Revision"/>
    <w:hidden/>
    <w:uiPriority w:val="99"/>
    <w:semiHidden/>
    <w:rsid w:val="00F5613E"/>
    <w:rPr>
      <w:rFonts w:ascii="Times New Roman" w:eastAsia="Times New Roman" w:hAnsi="Times New Roman"/>
      <w:sz w:val="24"/>
      <w:szCs w:val="24"/>
    </w:rPr>
  </w:style>
  <w:style w:type="character" w:styleId="PageNumber">
    <w:name w:val="page number"/>
    <w:basedOn w:val="DefaultParagraphFont"/>
    <w:uiPriority w:val="99"/>
    <w:semiHidden/>
    <w:unhideWhenUsed/>
    <w:rsid w:val="004E1C56"/>
  </w:style>
  <w:style w:type="paragraph" w:styleId="Bibliography">
    <w:name w:val="Bibliography"/>
    <w:basedOn w:val="Normal"/>
    <w:next w:val="Normal"/>
    <w:uiPriority w:val="37"/>
    <w:unhideWhenUsed/>
    <w:rsid w:val="0085208E"/>
    <w:pPr>
      <w:spacing w:line="480" w:lineRule="auto"/>
      <w:ind w:left="720" w:hanging="720"/>
    </w:pPr>
  </w:style>
  <w:style w:type="paragraph" w:styleId="ListParagraph">
    <w:name w:val="List Paragraph"/>
    <w:basedOn w:val="Normal"/>
    <w:uiPriority w:val="34"/>
    <w:qFormat/>
    <w:rsid w:val="00CF1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71287">
      <w:bodyDiv w:val="1"/>
      <w:marLeft w:val="0"/>
      <w:marRight w:val="0"/>
      <w:marTop w:val="0"/>
      <w:marBottom w:val="0"/>
      <w:divBdr>
        <w:top w:val="none" w:sz="0" w:space="0" w:color="auto"/>
        <w:left w:val="none" w:sz="0" w:space="0" w:color="auto"/>
        <w:bottom w:val="none" w:sz="0" w:space="0" w:color="auto"/>
        <w:right w:val="none" w:sz="0" w:space="0" w:color="auto"/>
      </w:divBdr>
    </w:div>
    <w:div w:id="659507210">
      <w:bodyDiv w:val="1"/>
      <w:marLeft w:val="0"/>
      <w:marRight w:val="0"/>
      <w:marTop w:val="0"/>
      <w:marBottom w:val="0"/>
      <w:divBdr>
        <w:top w:val="none" w:sz="0" w:space="0" w:color="auto"/>
        <w:left w:val="none" w:sz="0" w:space="0" w:color="auto"/>
        <w:bottom w:val="none" w:sz="0" w:space="0" w:color="auto"/>
        <w:right w:val="none" w:sz="0" w:space="0" w:color="auto"/>
      </w:divBdr>
    </w:div>
    <w:div w:id="670062783">
      <w:bodyDiv w:val="1"/>
      <w:marLeft w:val="0"/>
      <w:marRight w:val="0"/>
      <w:marTop w:val="0"/>
      <w:marBottom w:val="0"/>
      <w:divBdr>
        <w:top w:val="none" w:sz="0" w:space="0" w:color="auto"/>
        <w:left w:val="none" w:sz="0" w:space="0" w:color="auto"/>
        <w:bottom w:val="none" w:sz="0" w:space="0" w:color="auto"/>
        <w:right w:val="none" w:sz="0" w:space="0" w:color="auto"/>
      </w:divBdr>
    </w:div>
    <w:div w:id="680161054">
      <w:bodyDiv w:val="1"/>
      <w:marLeft w:val="0"/>
      <w:marRight w:val="0"/>
      <w:marTop w:val="0"/>
      <w:marBottom w:val="0"/>
      <w:divBdr>
        <w:top w:val="none" w:sz="0" w:space="0" w:color="auto"/>
        <w:left w:val="none" w:sz="0" w:space="0" w:color="auto"/>
        <w:bottom w:val="none" w:sz="0" w:space="0" w:color="auto"/>
        <w:right w:val="none" w:sz="0" w:space="0" w:color="auto"/>
      </w:divBdr>
    </w:div>
    <w:div w:id="762188156">
      <w:bodyDiv w:val="1"/>
      <w:marLeft w:val="0"/>
      <w:marRight w:val="0"/>
      <w:marTop w:val="0"/>
      <w:marBottom w:val="0"/>
      <w:divBdr>
        <w:top w:val="none" w:sz="0" w:space="0" w:color="auto"/>
        <w:left w:val="none" w:sz="0" w:space="0" w:color="auto"/>
        <w:bottom w:val="none" w:sz="0" w:space="0" w:color="auto"/>
        <w:right w:val="none" w:sz="0" w:space="0" w:color="auto"/>
      </w:divBdr>
    </w:div>
    <w:div w:id="842471666">
      <w:bodyDiv w:val="1"/>
      <w:marLeft w:val="0"/>
      <w:marRight w:val="0"/>
      <w:marTop w:val="0"/>
      <w:marBottom w:val="0"/>
      <w:divBdr>
        <w:top w:val="none" w:sz="0" w:space="0" w:color="auto"/>
        <w:left w:val="none" w:sz="0" w:space="0" w:color="auto"/>
        <w:bottom w:val="none" w:sz="0" w:space="0" w:color="auto"/>
        <w:right w:val="none" w:sz="0" w:space="0" w:color="auto"/>
      </w:divBdr>
    </w:div>
    <w:div w:id="853572391">
      <w:bodyDiv w:val="1"/>
      <w:marLeft w:val="0"/>
      <w:marRight w:val="0"/>
      <w:marTop w:val="0"/>
      <w:marBottom w:val="0"/>
      <w:divBdr>
        <w:top w:val="none" w:sz="0" w:space="0" w:color="auto"/>
        <w:left w:val="none" w:sz="0" w:space="0" w:color="auto"/>
        <w:bottom w:val="none" w:sz="0" w:space="0" w:color="auto"/>
        <w:right w:val="none" w:sz="0" w:space="0" w:color="auto"/>
      </w:divBdr>
    </w:div>
    <w:div w:id="885994322">
      <w:bodyDiv w:val="1"/>
      <w:marLeft w:val="0"/>
      <w:marRight w:val="0"/>
      <w:marTop w:val="0"/>
      <w:marBottom w:val="0"/>
      <w:divBdr>
        <w:top w:val="none" w:sz="0" w:space="0" w:color="auto"/>
        <w:left w:val="none" w:sz="0" w:space="0" w:color="auto"/>
        <w:bottom w:val="none" w:sz="0" w:space="0" w:color="auto"/>
        <w:right w:val="none" w:sz="0" w:space="0" w:color="auto"/>
      </w:divBdr>
    </w:div>
    <w:div w:id="954215013">
      <w:bodyDiv w:val="1"/>
      <w:marLeft w:val="0"/>
      <w:marRight w:val="0"/>
      <w:marTop w:val="0"/>
      <w:marBottom w:val="0"/>
      <w:divBdr>
        <w:top w:val="none" w:sz="0" w:space="0" w:color="auto"/>
        <w:left w:val="none" w:sz="0" w:space="0" w:color="auto"/>
        <w:bottom w:val="none" w:sz="0" w:space="0" w:color="auto"/>
        <w:right w:val="none" w:sz="0" w:space="0" w:color="auto"/>
      </w:divBdr>
    </w:div>
    <w:div w:id="1086534828">
      <w:bodyDiv w:val="1"/>
      <w:marLeft w:val="0"/>
      <w:marRight w:val="0"/>
      <w:marTop w:val="0"/>
      <w:marBottom w:val="0"/>
      <w:divBdr>
        <w:top w:val="none" w:sz="0" w:space="0" w:color="auto"/>
        <w:left w:val="none" w:sz="0" w:space="0" w:color="auto"/>
        <w:bottom w:val="none" w:sz="0" w:space="0" w:color="auto"/>
        <w:right w:val="none" w:sz="0" w:space="0" w:color="auto"/>
      </w:divBdr>
    </w:div>
    <w:div w:id="1095396202">
      <w:bodyDiv w:val="1"/>
      <w:marLeft w:val="0"/>
      <w:marRight w:val="0"/>
      <w:marTop w:val="0"/>
      <w:marBottom w:val="0"/>
      <w:divBdr>
        <w:top w:val="none" w:sz="0" w:space="0" w:color="auto"/>
        <w:left w:val="none" w:sz="0" w:space="0" w:color="auto"/>
        <w:bottom w:val="none" w:sz="0" w:space="0" w:color="auto"/>
        <w:right w:val="none" w:sz="0" w:space="0" w:color="auto"/>
      </w:divBdr>
    </w:div>
    <w:div w:id="1145665385">
      <w:bodyDiv w:val="1"/>
      <w:marLeft w:val="0"/>
      <w:marRight w:val="0"/>
      <w:marTop w:val="0"/>
      <w:marBottom w:val="0"/>
      <w:divBdr>
        <w:top w:val="none" w:sz="0" w:space="0" w:color="auto"/>
        <w:left w:val="none" w:sz="0" w:space="0" w:color="auto"/>
        <w:bottom w:val="none" w:sz="0" w:space="0" w:color="auto"/>
        <w:right w:val="none" w:sz="0" w:space="0" w:color="auto"/>
      </w:divBdr>
    </w:div>
    <w:div w:id="1271426564">
      <w:bodyDiv w:val="1"/>
      <w:marLeft w:val="0"/>
      <w:marRight w:val="0"/>
      <w:marTop w:val="0"/>
      <w:marBottom w:val="0"/>
      <w:divBdr>
        <w:top w:val="none" w:sz="0" w:space="0" w:color="auto"/>
        <w:left w:val="none" w:sz="0" w:space="0" w:color="auto"/>
        <w:bottom w:val="none" w:sz="0" w:space="0" w:color="auto"/>
        <w:right w:val="none" w:sz="0" w:space="0" w:color="auto"/>
      </w:divBdr>
    </w:div>
    <w:div w:id="1313096111">
      <w:bodyDiv w:val="1"/>
      <w:marLeft w:val="0"/>
      <w:marRight w:val="0"/>
      <w:marTop w:val="0"/>
      <w:marBottom w:val="0"/>
      <w:divBdr>
        <w:top w:val="none" w:sz="0" w:space="0" w:color="auto"/>
        <w:left w:val="none" w:sz="0" w:space="0" w:color="auto"/>
        <w:bottom w:val="none" w:sz="0" w:space="0" w:color="auto"/>
        <w:right w:val="none" w:sz="0" w:space="0" w:color="auto"/>
      </w:divBdr>
    </w:div>
    <w:div w:id="1410811092">
      <w:bodyDiv w:val="1"/>
      <w:marLeft w:val="0"/>
      <w:marRight w:val="0"/>
      <w:marTop w:val="0"/>
      <w:marBottom w:val="0"/>
      <w:divBdr>
        <w:top w:val="none" w:sz="0" w:space="0" w:color="auto"/>
        <w:left w:val="none" w:sz="0" w:space="0" w:color="auto"/>
        <w:bottom w:val="none" w:sz="0" w:space="0" w:color="auto"/>
        <w:right w:val="none" w:sz="0" w:space="0" w:color="auto"/>
      </w:divBdr>
    </w:div>
    <w:div w:id="1845393975">
      <w:bodyDiv w:val="1"/>
      <w:marLeft w:val="0"/>
      <w:marRight w:val="0"/>
      <w:marTop w:val="0"/>
      <w:marBottom w:val="0"/>
      <w:divBdr>
        <w:top w:val="none" w:sz="0" w:space="0" w:color="auto"/>
        <w:left w:val="none" w:sz="0" w:space="0" w:color="auto"/>
        <w:bottom w:val="none" w:sz="0" w:space="0" w:color="auto"/>
        <w:right w:val="none" w:sz="0" w:space="0" w:color="auto"/>
      </w:divBdr>
    </w:div>
    <w:div w:id="1846435831">
      <w:bodyDiv w:val="1"/>
      <w:marLeft w:val="0"/>
      <w:marRight w:val="0"/>
      <w:marTop w:val="0"/>
      <w:marBottom w:val="0"/>
      <w:divBdr>
        <w:top w:val="none" w:sz="0" w:space="0" w:color="auto"/>
        <w:left w:val="none" w:sz="0" w:space="0" w:color="auto"/>
        <w:bottom w:val="none" w:sz="0" w:space="0" w:color="auto"/>
        <w:right w:val="none" w:sz="0" w:space="0" w:color="auto"/>
      </w:divBdr>
    </w:div>
    <w:div w:id="1927835658">
      <w:bodyDiv w:val="1"/>
      <w:marLeft w:val="0"/>
      <w:marRight w:val="0"/>
      <w:marTop w:val="0"/>
      <w:marBottom w:val="0"/>
      <w:divBdr>
        <w:top w:val="none" w:sz="0" w:space="0" w:color="auto"/>
        <w:left w:val="none" w:sz="0" w:space="0" w:color="auto"/>
        <w:bottom w:val="none" w:sz="0" w:space="0" w:color="auto"/>
        <w:right w:val="none" w:sz="0" w:space="0" w:color="auto"/>
      </w:divBdr>
    </w:div>
    <w:div w:id="2018536836">
      <w:bodyDiv w:val="1"/>
      <w:marLeft w:val="0"/>
      <w:marRight w:val="0"/>
      <w:marTop w:val="0"/>
      <w:marBottom w:val="0"/>
      <w:divBdr>
        <w:top w:val="none" w:sz="0" w:space="0" w:color="auto"/>
        <w:left w:val="none" w:sz="0" w:space="0" w:color="auto"/>
        <w:bottom w:val="none" w:sz="0" w:space="0" w:color="auto"/>
        <w:right w:val="none" w:sz="0" w:space="0" w:color="auto"/>
      </w:divBdr>
    </w:div>
    <w:div w:id="21201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doi.org/10.1111/j.1469-7610.2004.00250.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D9E209-E776-4802-BB9A-A2D40AB0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5650</Words>
  <Characters>32207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Mark D</dc:creator>
  <cp:keywords/>
  <dc:description/>
  <cp:lastModifiedBy>Ouellette, Anthony</cp:lastModifiedBy>
  <cp:revision>2</cp:revision>
  <cp:lastPrinted>2018-12-10T20:39:00Z</cp:lastPrinted>
  <dcterms:created xsi:type="dcterms:W3CDTF">2022-09-23T15:24:00Z</dcterms:created>
  <dcterms:modified xsi:type="dcterms:W3CDTF">2022-09-23T15:24:00Z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id="TbrpMmKT"/&gt;&lt;style id="http://www.zotero.org/styles/apa-6th-edition" locale="en-US"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ies>
</file>