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A9" w:rsidRDefault="001E21A9" w:rsidP="001E21A9">
      <w:pPr>
        <w:spacing w:line="480" w:lineRule="auto"/>
        <w:rPr>
          <w:rFonts w:ascii="Times New Roman" w:hAnsi="Times New Roman"/>
          <w:color w:val="000000"/>
        </w:rPr>
      </w:pPr>
      <w:r w:rsidRPr="00614F14">
        <w:rPr>
          <w:rFonts w:ascii="Times New Roman" w:hAnsi="Times New Roman"/>
          <w:b/>
          <w:color w:val="000000"/>
        </w:rPr>
        <w:t>Supplemental Online Material</w:t>
      </w:r>
      <w:r>
        <w:rPr>
          <w:rFonts w:ascii="Times New Roman" w:hAnsi="Times New Roman"/>
          <w:color w:val="000000"/>
        </w:rPr>
        <w:t xml:space="preserve"> (not to be included as part of the main manuscript)</w:t>
      </w:r>
    </w:p>
    <w:p w:rsidR="001E21A9" w:rsidRDefault="001E21A9" w:rsidP="001E21A9">
      <w:pPr>
        <w:spacing w:line="480" w:lineRule="auto"/>
        <w:rPr>
          <w:rFonts w:ascii="Times New Roman" w:hAnsi="Times New Roman"/>
          <w:color w:val="000000"/>
        </w:rPr>
      </w:pPr>
    </w:p>
    <w:p w:rsidR="001E21A9" w:rsidRPr="001A500E" w:rsidRDefault="001E21A9" w:rsidP="001E21A9">
      <w:pPr>
        <w:spacing w:line="480" w:lineRule="auto"/>
        <w:jc w:val="center"/>
        <w:rPr>
          <w:rFonts w:ascii="Times New Roman" w:hAnsi="Times New Roman"/>
        </w:rPr>
      </w:pPr>
      <w:r w:rsidRPr="001A500E">
        <w:rPr>
          <w:rFonts w:ascii="Times New Roman" w:hAnsi="Times New Roman"/>
        </w:rPr>
        <w:t>Supplemental Method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  <w:i/>
        </w:rPr>
      </w:pPr>
      <w:r w:rsidRPr="001A0CEE">
        <w:rPr>
          <w:rFonts w:ascii="Times New Roman" w:hAnsi="Times New Roman"/>
          <w:i/>
        </w:rPr>
        <w:t>Questionnaires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tab/>
      </w:r>
      <w:r w:rsidRPr="001A0CEE">
        <w:rPr>
          <w:rFonts w:ascii="Times New Roman" w:hAnsi="Times New Roman"/>
          <w:u w:val="single"/>
        </w:rPr>
        <w:t>Affect.</w:t>
      </w:r>
      <w:r w:rsidRPr="001A0CEE">
        <w:rPr>
          <w:rFonts w:ascii="Times New Roman" w:hAnsi="Times New Roman"/>
        </w:rPr>
        <w:t xml:space="preserve"> Participants completed the Positive and Negative Affect Schedule (PANAS; Watson, Clark, &amp; </w:t>
      </w:r>
      <w:proofErr w:type="spellStart"/>
      <w:r w:rsidRPr="001A0CEE">
        <w:rPr>
          <w:rFonts w:ascii="Times New Roman" w:hAnsi="Times New Roman"/>
        </w:rPr>
        <w:t>Tellegen</w:t>
      </w:r>
      <w:proofErr w:type="spellEnd"/>
      <w:r w:rsidRPr="001A0CEE">
        <w:rPr>
          <w:rFonts w:ascii="Times New Roman" w:hAnsi="Times New Roman"/>
        </w:rPr>
        <w:t>, 1988) 3 times (at baseline, post-manipulation but pre-TSST, and post-TSST).  We computed positive and negative affect composites, then constructed reactivity scores for both pre- and post-TSST by subtracting baseline scores from those obtained at each time, respectively.</w:t>
      </w:r>
    </w:p>
    <w:p w:rsidR="001E21A9" w:rsidRPr="001A0CEE" w:rsidRDefault="001E21A9" w:rsidP="001E21A9">
      <w:pPr>
        <w:spacing w:line="480" w:lineRule="auto"/>
        <w:ind w:firstLine="720"/>
        <w:rPr>
          <w:rFonts w:ascii="Times New Roman" w:hAnsi="Times New Roman"/>
        </w:rPr>
      </w:pPr>
      <w:proofErr w:type="gramStart"/>
      <w:r w:rsidRPr="001A0CEE">
        <w:rPr>
          <w:rFonts w:ascii="Times New Roman" w:hAnsi="Times New Roman"/>
          <w:u w:val="single"/>
        </w:rPr>
        <w:t>Risk perception.</w:t>
      </w:r>
      <w:proofErr w:type="gramEnd"/>
      <w:r w:rsidRPr="001A0CEE">
        <w:rPr>
          <w:rFonts w:ascii="Times New Roman" w:hAnsi="Times New Roman"/>
        </w:rPr>
        <w:t xml:space="preserve"> A risk perception questionnaire was given post-TSST that asked participants to rate the likelihood of positive and negative events occurring within 1-week, 1-year, and 10-year timeframes by marking the probability on a continuous percentage scale anchored at 0% and 100% (e.g., de Bruin, Parker, &amp; </w:t>
      </w:r>
      <w:proofErr w:type="spellStart"/>
      <w:r w:rsidRPr="001A0CEE">
        <w:rPr>
          <w:rFonts w:ascii="Times New Roman" w:hAnsi="Times New Roman"/>
        </w:rPr>
        <w:t>Fischhoff</w:t>
      </w:r>
      <w:proofErr w:type="spellEnd"/>
      <w:r w:rsidRPr="001A0CEE">
        <w:rPr>
          <w:rFonts w:ascii="Times New Roman" w:hAnsi="Times New Roman"/>
        </w:rPr>
        <w:t xml:space="preserve">, 2007; </w:t>
      </w:r>
      <w:proofErr w:type="spellStart"/>
      <w:r w:rsidRPr="001A0CEE">
        <w:rPr>
          <w:rFonts w:ascii="Times New Roman" w:hAnsi="Times New Roman"/>
        </w:rPr>
        <w:t>Woloshin</w:t>
      </w:r>
      <w:proofErr w:type="spellEnd"/>
      <w:r w:rsidRPr="001A0CEE">
        <w:rPr>
          <w:rFonts w:ascii="Times New Roman" w:hAnsi="Times New Roman"/>
        </w:rPr>
        <w:t xml:space="preserve">, Schwartz, </w:t>
      </w:r>
      <w:proofErr w:type="spellStart"/>
      <w:r w:rsidRPr="001A0CEE">
        <w:rPr>
          <w:rFonts w:ascii="Times New Roman" w:hAnsi="Times New Roman"/>
        </w:rPr>
        <w:t>Byram</w:t>
      </w:r>
      <w:proofErr w:type="spellEnd"/>
      <w:r w:rsidRPr="001A0CEE">
        <w:rPr>
          <w:rFonts w:ascii="Times New Roman" w:hAnsi="Times New Roman"/>
        </w:rPr>
        <w:t xml:space="preserve">, </w:t>
      </w:r>
      <w:proofErr w:type="spellStart"/>
      <w:r w:rsidRPr="001A0CEE">
        <w:rPr>
          <w:rFonts w:ascii="Times New Roman" w:hAnsi="Times New Roman"/>
        </w:rPr>
        <w:t>Fischhoff</w:t>
      </w:r>
      <w:proofErr w:type="spellEnd"/>
      <w:r w:rsidRPr="001A0CEE">
        <w:rPr>
          <w:rFonts w:ascii="Times New Roman" w:hAnsi="Times New Roman"/>
        </w:rPr>
        <w:t>, &amp; Welch, 2000). The probability of positive (</w:t>
      </w:r>
      <w:proofErr w:type="spellStart"/>
      <w:r w:rsidRPr="001A0CEE">
        <w:rPr>
          <w:rFonts w:ascii="Times New Roman" w:hAnsi="Times New Roman"/>
        </w:rPr>
        <w:t>Cronbach’s</w:t>
      </w:r>
      <w:proofErr w:type="spellEnd"/>
      <w:r w:rsidRPr="001A0CEE">
        <w:rPr>
          <w:rFonts w:ascii="Times New Roman" w:hAnsi="Times New Roman"/>
        </w:rPr>
        <w:t xml:space="preserve"> </w:t>
      </w:r>
      <w:r w:rsidRPr="001A0CEE">
        <w:rPr>
          <w:rFonts w:ascii="Times New Roman" w:hAnsi="Times New Roman"/>
          <w:i/>
        </w:rPr>
        <w:t>α</w:t>
      </w:r>
      <w:r w:rsidRPr="001A0CEE">
        <w:rPr>
          <w:rFonts w:ascii="Times New Roman" w:hAnsi="Times New Roman"/>
        </w:rPr>
        <w:t xml:space="preserve"> = .708) and negative (</w:t>
      </w:r>
      <w:proofErr w:type="spellStart"/>
      <w:proofErr w:type="gramStart"/>
      <w:r w:rsidRPr="001A0CEE">
        <w:rPr>
          <w:rFonts w:ascii="Times New Roman" w:hAnsi="Times New Roman"/>
        </w:rPr>
        <w:t>Cronbach’s</w:t>
      </w:r>
      <w:proofErr w:type="spellEnd"/>
      <w:r w:rsidRPr="001A0CEE">
        <w:rPr>
          <w:rFonts w:ascii="Times New Roman" w:hAnsi="Times New Roman"/>
        </w:rPr>
        <w:t xml:space="preserve">  </w:t>
      </w:r>
      <w:r w:rsidRPr="001A0CEE">
        <w:rPr>
          <w:rFonts w:ascii="Times New Roman" w:hAnsi="Times New Roman"/>
          <w:i/>
        </w:rPr>
        <w:t>α</w:t>
      </w:r>
      <w:proofErr w:type="gramEnd"/>
      <w:r w:rsidRPr="001A0CEE">
        <w:rPr>
          <w:rFonts w:ascii="Times New Roman" w:hAnsi="Times New Roman"/>
        </w:rPr>
        <w:t xml:space="preserve"> = .756) events were averaged across time, and a risk perception composite was constructed by averaging the probability of negative events and the probability of positive events subtracted from 100%. Thus, higher scores indicated greater risk perception.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  <w:i/>
        </w:rPr>
      </w:pPr>
      <w:r w:rsidRPr="001A0CEE">
        <w:rPr>
          <w:rFonts w:ascii="Times New Roman" w:hAnsi="Times New Roman"/>
          <w:i/>
        </w:rPr>
        <w:t>Behavioral Displays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tab/>
        <w:t xml:space="preserve">After all three raters coded participants’ videotaped speeches, </w:t>
      </w:r>
      <w:proofErr w:type="spellStart"/>
      <w:r w:rsidRPr="001A0CEE">
        <w:rPr>
          <w:rFonts w:ascii="Times New Roman" w:hAnsi="Times New Roman"/>
        </w:rPr>
        <w:t>interrater</w:t>
      </w:r>
      <w:proofErr w:type="spellEnd"/>
      <w:r w:rsidRPr="001A0CEE">
        <w:rPr>
          <w:rFonts w:ascii="Times New Roman" w:hAnsi="Times New Roman"/>
        </w:rPr>
        <w:t xml:space="preserve"> reliability was calculated for each individual item in the coding scheme.  </w:t>
      </w:r>
      <w:proofErr w:type="spellStart"/>
      <w:r w:rsidRPr="001A0CEE">
        <w:rPr>
          <w:rFonts w:ascii="Times New Roman" w:hAnsi="Times New Roman"/>
        </w:rPr>
        <w:t>Intraclass</w:t>
      </w:r>
      <w:proofErr w:type="spellEnd"/>
      <w:r w:rsidRPr="001A0CEE">
        <w:rPr>
          <w:rFonts w:ascii="Times New Roman" w:hAnsi="Times New Roman"/>
        </w:rPr>
        <w:t xml:space="preserve"> correlation coefficients (ICCs) for each item are reported in Table 1s.  </w:t>
      </w:r>
      <w:proofErr w:type="spellStart"/>
      <w:r w:rsidRPr="001A0CEE">
        <w:rPr>
          <w:rFonts w:ascii="Times New Roman" w:hAnsi="Times New Roman"/>
        </w:rPr>
        <w:t>Interrater</w:t>
      </w:r>
      <w:proofErr w:type="spellEnd"/>
      <w:r w:rsidRPr="001A0CEE">
        <w:rPr>
          <w:rFonts w:ascii="Times New Roman" w:hAnsi="Times New Roman"/>
        </w:rPr>
        <w:t xml:space="preserve"> reliability was high for all items except “defensive,” which was excluded from further analyses. </w:t>
      </w:r>
    </w:p>
    <w:p w:rsidR="001E21A9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lastRenderedPageBreak/>
        <w:tab/>
      </w:r>
      <w:proofErr w:type="gramStart"/>
      <w:r w:rsidRPr="001A0CEE">
        <w:rPr>
          <w:rFonts w:ascii="Times New Roman" w:hAnsi="Times New Roman"/>
          <w:u w:val="single"/>
        </w:rPr>
        <w:t>Talking Time</w:t>
      </w:r>
      <w:r w:rsidRPr="001A0CEE">
        <w:rPr>
          <w:rFonts w:ascii="Times New Roman" w:hAnsi="Times New Roman"/>
          <w:b/>
          <w:u w:val="single"/>
        </w:rPr>
        <w:t>.</w:t>
      </w:r>
      <w:proofErr w:type="gramEnd"/>
      <w:r w:rsidRPr="001A0CEE">
        <w:rPr>
          <w:rFonts w:ascii="Times New Roman" w:hAnsi="Times New Roman"/>
        </w:rPr>
        <w:t xml:space="preserve">  Since the video recordings of some speeches were not exactly 5 minutes and fixing problems with equipment took time out of some speeches, the percentage of the available talking time that the participant filled with speech was used as a measure of talking time.  To calculate this, the amount of time spent pausing (a pause was defined as 5 seconds or longer without any meaningful words spoken) was subtracted from the amount of time available for the speech. </w:t>
      </w:r>
    </w:p>
    <w:p w:rsidR="001E21A9" w:rsidRPr="00717389" w:rsidRDefault="001E21A9" w:rsidP="001E21A9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The full coding manual is available upon request. If you are interested in replicating this project or utilizing the coding scheme presented here, please contact Jeremy Jamieson at jeremy.jamieson@rochester.edu</w:t>
      </w:r>
      <w:r w:rsidRPr="00717389">
        <w:rPr>
          <w:rFonts w:ascii="Times New Roman" w:hAnsi="Times New Roman"/>
        </w:rPr>
        <w:t xml:space="preserve">. </w:t>
      </w:r>
    </w:p>
    <w:p w:rsidR="001E21A9" w:rsidRPr="00717389" w:rsidRDefault="001E21A9" w:rsidP="001E21A9">
      <w:pPr>
        <w:spacing w:line="480" w:lineRule="auto"/>
        <w:rPr>
          <w:rFonts w:ascii="Times New Roman" w:hAnsi="Times New Roman"/>
          <w:i/>
        </w:rPr>
      </w:pPr>
      <w:r w:rsidRPr="00717389">
        <w:rPr>
          <w:rFonts w:ascii="Times New Roman" w:hAnsi="Times New Roman"/>
          <w:i/>
        </w:rPr>
        <w:t>Physiological Measurement</w:t>
      </w:r>
    </w:p>
    <w:p w:rsidR="001E21A9" w:rsidRPr="00717389" w:rsidRDefault="001E21A9" w:rsidP="001E21A9">
      <w:pPr>
        <w:spacing w:line="480" w:lineRule="auto"/>
        <w:rPr>
          <w:rFonts w:ascii="Times New Roman" w:hAnsi="Times New Roman"/>
        </w:rPr>
      </w:pPr>
      <w:r w:rsidRPr="00717389">
        <w:rPr>
          <w:rFonts w:ascii="Times New Roman" w:hAnsi="Times New Roman"/>
        </w:rPr>
        <w:tab/>
        <w:t xml:space="preserve">Saliva samples were collected using passive drool procedures. Specifically, participants will be told to transfer saliva into </w:t>
      </w:r>
      <w:r>
        <w:rPr>
          <w:rFonts w:ascii="Times New Roman" w:hAnsi="Times New Roman"/>
        </w:rPr>
        <w:t>a</w:t>
      </w:r>
      <w:r w:rsidRPr="00717389">
        <w:rPr>
          <w:rFonts w:ascii="Times New Roman" w:hAnsi="Times New Roman"/>
        </w:rPr>
        <w:t xml:space="preserve"> test tube up to </w:t>
      </w:r>
      <w:r>
        <w:rPr>
          <w:rFonts w:ascii="Times New Roman" w:hAnsi="Times New Roman"/>
        </w:rPr>
        <w:t xml:space="preserve">a </w:t>
      </w:r>
      <w:r w:rsidRPr="00717389">
        <w:rPr>
          <w:rFonts w:ascii="Times New Roman" w:hAnsi="Times New Roman"/>
        </w:rPr>
        <w:t>black line [marked at 1 ml]</w:t>
      </w:r>
      <w:r>
        <w:rPr>
          <w:rFonts w:ascii="Times New Roman" w:hAnsi="Times New Roman"/>
        </w:rPr>
        <w:t xml:space="preserve"> using a sanitary straw (or no straw if they preferred). This method is preferred (time permitting)</w:t>
      </w:r>
      <w:r w:rsidRPr="007173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the </w:t>
      </w:r>
      <w:r w:rsidRPr="00717389">
        <w:rPr>
          <w:rFonts w:ascii="Times New Roman" w:hAnsi="Times New Roman"/>
        </w:rPr>
        <w:t xml:space="preserve">common cotton swab method (i.e. having participants place a cotton </w:t>
      </w:r>
      <w:proofErr w:type="spellStart"/>
      <w:r w:rsidRPr="00717389">
        <w:rPr>
          <w:rFonts w:ascii="Times New Roman" w:hAnsi="Times New Roman"/>
        </w:rPr>
        <w:t>pledget</w:t>
      </w:r>
      <w:proofErr w:type="spellEnd"/>
      <w:r w:rsidRPr="00717389">
        <w:rPr>
          <w:rFonts w:ascii="Times New Roman" w:hAnsi="Times New Roman"/>
        </w:rPr>
        <w:t xml:space="preserve"> in their mouth to absorb saliva) because </w:t>
      </w:r>
      <w:r>
        <w:rPr>
          <w:rFonts w:ascii="Times New Roman" w:hAnsi="Times New Roman"/>
        </w:rPr>
        <w:t xml:space="preserve">cotton </w:t>
      </w:r>
      <w:proofErr w:type="spellStart"/>
      <w:r>
        <w:rPr>
          <w:rFonts w:ascii="Times New Roman" w:hAnsi="Times New Roman"/>
        </w:rPr>
        <w:t>pledgets</w:t>
      </w:r>
      <w:proofErr w:type="spellEnd"/>
      <w:r>
        <w:rPr>
          <w:rFonts w:ascii="Times New Roman" w:hAnsi="Times New Roman"/>
        </w:rPr>
        <w:t xml:space="preserve"> can interfere</w:t>
      </w:r>
      <w:r w:rsidRPr="00717389">
        <w:rPr>
          <w:rFonts w:ascii="Times New Roman" w:hAnsi="Times New Roman"/>
        </w:rPr>
        <w:t xml:space="preserve"> with immunoassay (</w:t>
      </w:r>
      <w:proofErr w:type="spellStart"/>
      <w:r w:rsidRPr="00717389">
        <w:rPr>
          <w:rFonts w:ascii="Times New Roman" w:hAnsi="Times New Roman"/>
        </w:rPr>
        <w:t>Shirtcliff</w:t>
      </w:r>
      <w:proofErr w:type="spellEnd"/>
      <w:r w:rsidRPr="00717389">
        <w:rPr>
          <w:rFonts w:ascii="Times New Roman" w:hAnsi="Times New Roman"/>
        </w:rPr>
        <w:t>, Granger, Schwartz, &amp; Curran, 2001).</w:t>
      </w:r>
    </w:p>
    <w:p w:rsidR="001E21A9" w:rsidRPr="001A500E" w:rsidRDefault="001E21A9" w:rsidP="001E21A9">
      <w:pPr>
        <w:spacing w:line="480" w:lineRule="auto"/>
        <w:jc w:val="center"/>
        <w:rPr>
          <w:rFonts w:ascii="Times New Roman" w:hAnsi="Times New Roman"/>
        </w:rPr>
      </w:pPr>
      <w:r w:rsidRPr="001A500E">
        <w:rPr>
          <w:rFonts w:ascii="Times New Roman" w:hAnsi="Times New Roman"/>
        </w:rPr>
        <w:t>Supplemental Results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  <w:i/>
        </w:rPr>
      </w:pPr>
      <w:r w:rsidRPr="001A0CEE">
        <w:rPr>
          <w:rFonts w:ascii="Times New Roman" w:hAnsi="Times New Roman"/>
          <w:i/>
        </w:rPr>
        <w:t>Questionnaires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tab/>
      </w:r>
      <w:r w:rsidRPr="001A0CEE">
        <w:rPr>
          <w:rFonts w:ascii="Times New Roman" w:hAnsi="Times New Roman"/>
          <w:u w:val="single"/>
        </w:rPr>
        <w:t>Affect.</w:t>
      </w:r>
      <w:r w:rsidRPr="001A0CEE">
        <w:rPr>
          <w:rFonts w:ascii="Times New Roman" w:hAnsi="Times New Roman"/>
        </w:rPr>
        <w:t xml:space="preserve"> At all three time points when affect was measured, there were significant main effects of social anxiety on negative and positive affect.  Socially anxious people reported more negative affect than non-anxious controls at baseline, </w:t>
      </w:r>
      <w:proofErr w:type="gramStart"/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>(</w:t>
      </w:r>
      <w:proofErr w:type="gramEnd"/>
      <w:r w:rsidRPr="001A0CEE">
        <w:rPr>
          <w:rFonts w:ascii="Times New Roman" w:hAnsi="Times New Roman"/>
        </w:rPr>
        <w:t xml:space="preserve">1,79) = 41.89,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&lt; .001,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1.46, post-manipulation, pre-TSST, </w:t>
      </w:r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 xml:space="preserve">(1,78) = 57.08,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&lt; .001,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1.55, and post-TSST,</w:t>
      </w:r>
      <w:r w:rsidRPr="001A0CEE">
        <w:rPr>
          <w:rFonts w:ascii="Times New Roman" w:hAnsi="Times New Roman"/>
          <w:i/>
        </w:rPr>
        <w:t xml:space="preserve"> F</w:t>
      </w:r>
      <w:r w:rsidRPr="001A0CEE">
        <w:rPr>
          <w:rFonts w:ascii="Times New Roman" w:hAnsi="Times New Roman"/>
        </w:rPr>
        <w:t xml:space="preserve">(1,77) = 19.99,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&lt; .001,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.99.  Means and standard deviations are reported in Table 2s. A main effect was also </w:t>
      </w:r>
      <w:r w:rsidRPr="001A0CEE">
        <w:rPr>
          <w:rFonts w:ascii="Times New Roman" w:hAnsi="Times New Roman"/>
        </w:rPr>
        <w:lastRenderedPageBreak/>
        <w:t xml:space="preserve">found for reappraisal instructions on negative affect post-manipulation, pre-TSST, </w:t>
      </w:r>
      <w:proofErr w:type="gramStart"/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>(</w:t>
      </w:r>
      <w:proofErr w:type="gramEnd"/>
      <w:r w:rsidRPr="001A0CEE">
        <w:rPr>
          <w:rFonts w:ascii="Times New Roman" w:hAnsi="Times New Roman"/>
        </w:rPr>
        <w:t xml:space="preserve">1,78) = 12.10,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= .001,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.56, such that reappraisal lowered negative affect.  Post-TSST, we found a marginal interaction between reappraisal and social anxiety on negative affect, </w:t>
      </w:r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 xml:space="preserve">(1,77) = 2.83,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= .097,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.38, such that receiving reappraisal instructions decreased negative affect after the speech for socially anxious participants, but increased negative affect for non-anxious controls.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tab/>
        <w:t xml:space="preserve">In addition to consistently reporting higher negative affect, socially anxious participants reported lower positive affect than non-anxious controls at baseline, </w:t>
      </w:r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 xml:space="preserve">(1,79) = 16.11,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&lt; .001,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.91, post-manipulation, pre-TSST, </w:t>
      </w:r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 xml:space="preserve">(1,80) = 5.42,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= .023,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.51, and post-TSST, </w:t>
      </w:r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 xml:space="preserve">(1,77) = 5.80,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= .019,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.55.  Means and standard deviations are reported in Table 3s.  There were no main effects of reappraisal, nor any interactions between reappraisal and social anxiety, on positive affect.  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tab/>
        <w:t>We also examined the changes in positive and negative affect from baseline to post-manipulation, pre-TSST and post-TSST.  Reappraisal participants reported a decrease in negative affect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-.18,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.61) from baseline to post-manipulation, pre-TSST, whereas the no instruction group reported an increase in negative affect for this same time interval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.16,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.46), </w:t>
      </w:r>
      <w:proofErr w:type="gramStart"/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>(</w:t>
      </w:r>
      <w:proofErr w:type="gramEnd"/>
      <w:r w:rsidRPr="001A0CEE">
        <w:rPr>
          <w:rFonts w:ascii="Times New Roman" w:hAnsi="Times New Roman"/>
        </w:rPr>
        <w:t xml:space="preserve">1,79) = 7.66 , </w:t>
      </w:r>
      <w:r w:rsidRPr="001A0CEE">
        <w:rPr>
          <w:rFonts w:ascii="Times New Roman" w:hAnsi="Times New Roman"/>
          <w:i/>
        </w:rPr>
        <w:t>p =</w:t>
      </w:r>
      <w:r w:rsidRPr="001A0CEE">
        <w:rPr>
          <w:rFonts w:ascii="Times New Roman" w:hAnsi="Times New Roman"/>
        </w:rPr>
        <w:t xml:space="preserve">.007,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.63.  There was no main effect for social anxiety at this interval, nor was there an interaction, </w:t>
      </w:r>
      <w:proofErr w:type="spellStart"/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>s</w:t>
      </w:r>
      <w:proofErr w:type="spellEnd"/>
      <w:r w:rsidRPr="001A0CEE">
        <w:rPr>
          <w:rFonts w:ascii="Times New Roman" w:hAnsi="Times New Roman"/>
        </w:rPr>
        <w:t xml:space="preserve"> &gt; .54.  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tab/>
        <w:t xml:space="preserve">There was, however a main effect for social anxiety on the change in negative affect reported from baseline to post-TSST, </w:t>
      </w:r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 xml:space="preserve">(1,79) = 4.23,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= .043,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.48, but no main effect for reappraisal and no interaction, </w:t>
      </w:r>
      <w:proofErr w:type="spellStart"/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>s</w:t>
      </w:r>
      <w:proofErr w:type="spellEnd"/>
      <w:r w:rsidRPr="001A0CEE">
        <w:rPr>
          <w:rFonts w:ascii="Times New Roman" w:hAnsi="Times New Roman"/>
        </w:rPr>
        <w:t xml:space="preserve"> &gt; .26.  Socially anxious participants reported a decrease in negative affect after the speech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-.16,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.94), whereas non-anxious controls reported an increase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.19,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.42).  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lastRenderedPageBreak/>
        <w:tab/>
        <w:t>Between baseline and post-manipulation, pre-TSST, participants who received the reappraisal instructions reported a marginal increase in positive affect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.35,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1.38), whereas no instruction controls reported a decrease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-.16,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.87), </w:t>
      </w:r>
      <w:proofErr w:type="gramStart"/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>(</w:t>
      </w:r>
      <w:proofErr w:type="gramEnd"/>
      <w:r w:rsidRPr="001A0CEE">
        <w:rPr>
          <w:rFonts w:ascii="Times New Roman" w:hAnsi="Times New Roman"/>
        </w:rPr>
        <w:t xml:space="preserve">1,79) = 3.78,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= .056,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.44.  There was no main effect for social anxiety at this interval, nor was there an interaction, </w:t>
      </w:r>
      <w:proofErr w:type="spellStart"/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>s</w:t>
      </w:r>
      <w:proofErr w:type="spellEnd"/>
      <w:r w:rsidRPr="001A0CEE">
        <w:rPr>
          <w:rFonts w:ascii="Times New Roman" w:hAnsi="Times New Roman"/>
        </w:rPr>
        <w:t xml:space="preserve"> &gt; .42.  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tab/>
        <w:t>From baseline to post-TSST, both reappraisal and no-reappraisal groups reported a decrease in positive affect, but this decrease was significantly smaller for the reappraisal group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-.19,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.67) than the no-reappraisal group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-.56,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.59), </w:t>
      </w:r>
      <w:proofErr w:type="gramStart"/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>(</w:t>
      </w:r>
      <w:proofErr w:type="gramEnd"/>
      <w:r w:rsidRPr="001A0CEE">
        <w:rPr>
          <w:rFonts w:ascii="Times New Roman" w:hAnsi="Times New Roman"/>
        </w:rPr>
        <w:t xml:space="preserve">1,79) = 6.60,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= .012,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.59.  There was no main effect for social anxiety at this interval, nor was there an interaction, </w:t>
      </w:r>
      <w:proofErr w:type="spellStart"/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>s</w:t>
      </w:r>
      <w:proofErr w:type="spellEnd"/>
      <w:r w:rsidRPr="001A0CEE">
        <w:rPr>
          <w:rFonts w:ascii="Times New Roman" w:hAnsi="Times New Roman"/>
        </w:rPr>
        <w:t xml:space="preserve"> &gt; .52.  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tab/>
      </w:r>
      <w:r w:rsidRPr="001A0CEE">
        <w:rPr>
          <w:rFonts w:ascii="Times New Roman" w:hAnsi="Times New Roman"/>
          <w:u w:val="single"/>
        </w:rPr>
        <w:t>Risk Perception.</w:t>
      </w:r>
      <w:r w:rsidRPr="001A0CEE">
        <w:rPr>
          <w:rFonts w:ascii="Times New Roman" w:hAnsi="Times New Roman"/>
        </w:rPr>
        <w:t xml:space="preserve"> Analysis of the risk perception composite produced a main effect for social anxiety, </w:t>
      </w:r>
      <w:proofErr w:type="gramStart"/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>(</w:t>
      </w:r>
      <w:proofErr w:type="gramEnd"/>
      <w:r w:rsidRPr="001A0CEE">
        <w:rPr>
          <w:rFonts w:ascii="Times New Roman" w:hAnsi="Times New Roman"/>
        </w:rPr>
        <w:t xml:space="preserve">1,81) = 17.81,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&lt; .001,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.95, with socially anxious individuals perceiving more risk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51.46,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10.24) than their non-anxious counterparts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42.61,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8.23). There was no main effect for instruction condition or interaction, </w:t>
      </w:r>
      <w:proofErr w:type="spellStart"/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>s</w:t>
      </w:r>
      <w:proofErr w:type="spellEnd"/>
      <w:r w:rsidRPr="001A0CEE">
        <w:rPr>
          <w:rFonts w:ascii="Times New Roman" w:hAnsi="Times New Roman"/>
        </w:rPr>
        <w:t xml:space="preserve"> &gt; .41.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  <w:i/>
        </w:rPr>
      </w:pPr>
      <w:r w:rsidRPr="001A0CEE">
        <w:rPr>
          <w:rFonts w:ascii="Times New Roman" w:hAnsi="Times New Roman"/>
          <w:i/>
        </w:rPr>
        <w:t>Behavioral Measures</w:t>
      </w:r>
    </w:p>
    <w:p w:rsidR="001E21A9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tab/>
      </w:r>
      <w:proofErr w:type="gramStart"/>
      <w:r w:rsidRPr="001A0CEE">
        <w:rPr>
          <w:rFonts w:ascii="Times New Roman" w:hAnsi="Times New Roman"/>
          <w:u w:val="single"/>
        </w:rPr>
        <w:t>Talking Time</w:t>
      </w:r>
      <w:r>
        <w:rPr>
          <w:rFonts w:ascii="Times New Roman" w:hAnsi="Times New Roman"/>
          <w:u w:val="single"/>
        </w:rPr>
        <w:t xml:space="preserve"> &amp; Speech Fluidity</w:t>
      </w:r>
      <w:r w:rsidRPr="001A0CEE">
        <w:rPr>
          <w:rFonts w:ascii="Times New Roman" w:hAnsi="Times New Roman"/>
          <w:u w:val="single"/>
        </w:rPr>
        <w:t>.</w:t>
      </w:r>
      <w:proofErr w:type="gramEnd"/>
      <w:r w:rsidRPr="001A0CEE">
        <w:rPr>
          <w:rFonts w:ascii="Times New Roman" w:hAnsi="Times New Roman"/>
        </w:rPr>
        <w:t xml:space="preserve"> Socially anxious participants spent less time talking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81.05,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22.67) than did non-anxious controls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93.05,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9.95), </w:t>
      </w:r>
      <w:proofErr w:type="gramStart"/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>(</w:t>
      </w:r>
      <w:proofErr w:type="gramEnd"/>
      <w:r w:rsidRPr="001A0CEE">
        <w:rPr>
          <w:rFonts w:ascii="Times New Roman" w:hAnsi="Times New Roman"/>
        </w:rPr>
        <w:t xml:space="preserve">1,80) = 9.71,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= .003,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.69. Socially anxious participants also had less fluid speeches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3.01,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.97) than did non-anxious controls (</w:t>
      </w:r>
      <w:r w:rsidRPr="001A0CEE">
        <w:rPr>
          <w:rFonts w:ascii="Times New Roman" w:hAnsi="Times New Roman"/>
          <w:i/>
        </w:rPr>
        <w:t>M</w:t>
      </w:r>
      <w:r w:rsidRPr="001A0CEE">
        <w:rPr>
          <w:rFonts w:ascii="Times New Roman" w:hAnsi="Times New Roman"/>
        </w:rPr>
        <w:t xml:space="preserve"> = 3.58, </w:t>
      </w:r>
      <w:r w:rsidRPr="001A0CEE">
        <w:rPr>
          <w:rFonts w:ascii="Times New Roman" w:hAnsi="Times New Roman"/>
          <w:i/>
        </w:rPr>
        <w:t>SD</w:t>
      </w:r>
      <w:r w:rsidRPr="001A0CEE">
        <w:rPr>
          <w:rFonts w:ascii="Times New Roman" w:hAnsi="Times New Roman"/>
        </w:rPr>
        <w:t xml:space="preserve"> = .55), </w:t>
      </w:r>
      <w:proofErr w:type="gramStart"/>
      <w:r w:rsidRPr="001A0CEE">
        <w:rPr>
          <w:rFonts w:ascii="Times New Roman" w:hAnsi="Times New Roman"/>
          <w:i/>
        </w:rPr>
        <w:t>F</w:t>
      </w:r>
      <w:r w:rsidRPr="001A0CEE">
        <w:rPr>
          <w:rFonts w:ascii="Times New Roman" w:hAnsi="Times New Roman"/>
        </w:rPr>
        <w:t>(</w:t>
      </w:r>
      <w:proofErr w:type="gramEnd"/>
      <w:r w:rsidRPr="001A0CEE">
        <w:rPr>
          <w:rFonts w:ascii="Times New Roman" w:hAnsi="Times New Roman"/>
        </w:rPr>
        <w:t xml:space="preserve">1,80) = 10.69,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= .002, </w:t>
      </w:r>
      <w:r w:rsidRPr="001A0CEE">
        <w:rPr>
          <w:rFonts w:ascii="Times New Roman" w:hAnsi="Times New Roman"/>
          <w:i/>
        </w:rPr>
        <w:t>d</w:t>
      </w:r>
      <w:r w:rsidRPr="001A0CEE">
        <w:rPr>
          <w:rFonts w:ascii="Times New Roman" w:hAnsi="Times New Roman"/>
        </w:rPr>
        <w:t xml:space="preserve"> = .72. </w:t>
      </w:r>
      <w:r>
        <w:rPr>
          <w:rFonts w:ascii="Times New Roman" w:hAnsi="Times New Roman"/>
        </w:rPr>
        <w:t xml:space="preserve">No other effects reached significance, </w:t>
      </w:r>
      <w:proofErr w:type="spellStart"/>
      <w:r w:rsidRPr="009A5FF8"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&gt; .20.</w:t>
      </w:r>
    </w:p>
    <w:p w:rsidR="001E21A9" w:rsidRPr="009A5FF8" w:rsidRDefault="001E21A9" w:rsidP="001E21A9">
      <w:pPr>
        <w:spacing w:line="480" w:lineRule="auto"/>
        <w:rPr>
          <w:rFonts w:ascii="Times New Roman" w:hAnsi="Times New Roman"/>
          <w:i/>
        </w:rPr>
      </w:pPr>
      <w:r w:rsidRPr="009A5FF8">
        <w:rPr>
          <w:rFonts w:ascii="Times New Roman" w:hAnsi="Times New Roman"/>
          <w:i/>
        </w:rPr>
        <w:t>Post-hoc Correlations</w:t>
      </w:r>
    </w:p>
    <w:p w:rsidR="001E21A9" w:rsidRDefault="001E21A9" w:rsidP="001E21A9">
      <w:pPr>
        <w:spacing w:line="480" w:lineRule="auto"/>
        <w:ind w:firstLine="720"/>
        <w:rPr>
          <w:rFonts w:ascii="Times New Roman" w:hAnsi="Times New Roman"/>
        </w:rPr>
      </w:pPr>
      <w:r w:rsidRPr="00154203">
        <w:rPr>
          <w:rFonts w:ascii="Times New Roman" w:hAnsi="Times New Roman"/>
        </w:rPr>
        <w:t>To further explore the relationship between affective displays and speech performance, we tested the associations</w:t>
      </w:r>
      <w:r>
        <w:rPr>
          <w:rFonts w:ascii="Times New Roman" w:hAnsi="Times New Roman"/>
        </w:rPr>
        <w:t xml:space="preserve"> (across the entire sample)</w:t>
      </w:r>
      <w:r w:rsidRPr="00154203">
        <w:rPr>
          <w:rFonts w:ascii="Times New Roman" w:hAnsi="Times New Roman"/>
        </w:rPr>
        <w:t xml:space="preserve"> between displays of shame and anxiety</w:t>
      </w:r>
      <w:r>
        <w:rPr>
          <w:rFonts w:ascii="Times New Roman" w:hAnsi="Times New Roman"/>
        </w:rPr>
        <w:t>,</w:t>
      </w:r>
      <w:r w:rsidRPr="00154203">
        <w:rPr>
          <w:rFonts w:ascii="Times New Roman" w:hAnsi="Times New Roman"/>
        </w:rPr>
        <w:t xml:space="preserve"> </w:t>
      </w:r>
      <w:r w:rsidRPr="00154203">
        <w:rPr>
          <w:rFonts w:ascii="Times New Roman" w:hAnsi="Times New Roman"/>
        </w:rPr>
        <w:lastRenderedPageBreak/>
        <w:t xml:space="preserve">nonverbal signaling, and speech performance. Performance was negatively correlated with displays of anxiety, </w:t>
      </w:r>
      <w:r w:rsidRPr="00154203">
        <w:rPr>
          <w:rFonts w:ascii="Times New Roman" w:hAnsi="Times New Roman"/>
          <w:i/>
        </w:rPr>
        <w:t>r</w:t>
      </w:r>
      <w:r w:rsidRPr="00154203">
        <w:rPr>
          <w:rFonts w:ascii="Times New Roman" w:hAnsi="Times New Roman"/>
        </w:rPr>
        <w:t xml:space="preserve"> = -.86, </w:t>
      </w:r>
      <w:r w:rsidRPr="00154203">
        <w:rPr>
          <w:rFonts w:ascii="Times New Roman" w:hAnsi="Times New Roman"/>
          <w:i/>
        </w:rPr>
        <w:t>p</w:t>
      </w:r>
      <w:r w:rsidRPr="00154203">
        <w:rPr>
          <w:rFonts w:ascii="Times New Roman" w:hAnsi="Times New Roman"/>
        </w:rPr>
        <w:t xml:space="preserve"> &lt; .001, and shame, </w:t>
      </w:r>
      <w:r w:rsidRPr="00154203">
        <w:rPr>
          <w:rFonts w:ascii="Times New Roman" w:hAnsi="Times New Roman"/>
          <w:i/>
        </w:rPr>
        <w:t xml:space="preserve">r </w:t>
      </w:r>
      <w:r w:rsidRPr="00154203">
        <w:rPr>
          <w:rFonts w:ascii="Times New Roman" w:hAnsi="Times New Roman"/>
        </w:rPr>
        <w:t xml:space="preserve">= -.88, </w:t>
      </w:r>
      <w:r w:rsidRPr="00154203">
        <w:rPr>
          <w:rFonts w:ascii="Times New Roman" w:hAnsi="Times New Roman"/>
          <w:i/>
        </w:rPr>
        <w:t>p</w:t>
      </w:r>
      <w:r w:rsidRPr="00154203">
        <w:rPr>
          <w:rFonts w:ascii="Times New Roman" w:hAnsi="Times New Roman"/>
        </w:rPr>
        <w:t xml:space="preserve"> &lt; .001, and positively correlated with approach-oriented nonverbal signaling, </w:t>
      </w:r>
      <w:r w:rsidRPr="00154203">
        <w:rPr>
          <w:rFonts w:ascii="Times New Roman" w:hAnsi="Times New Roman"/>
          <w:i/>
        </w:rPr>
        <w:t xml:space="preserve">r </w:t>
      </w:r>
      <w:r w:rsidRPr="00154203">
        <w:rPr>
          <w:rFonts w:ascii="Times New Roman" w:hAnsi="Times New Roman"/>
        </w:rPr>
        <w:t xml:space="preserve">= .59, </w:t>
      </w:r>
      <w:r w:rsidRPr="00154203">
        <w:rPr>
          <w:rFonts w:ascii="Times New Roman" w:hAnsi="Times New Roman"/>
          <w:i/>
        </w:rPr>
        <w:t>p</w:t>
      </w:r>
      <w:r w:rsidRPr="00154203">
        <w:rPr>
          <w:rFonts w:ascii="Times New Roman" w:hAnsi="Times New Roman"/>
        </w:rPr>
        <w:t xml:space="preserve"> &lt; .001. </w:t>
      </w:r>
      <w:r w:rsidRPr="001A0CEE">
        <w:rPr>
          <w:rFonts w:ascii="Times New Roman" w:hAnsi="Times New Roman"/>
        </w:rPr>
        <w:t xml:space="preserve">Talking time, </w:t>
      </w:r>
      <w:proofErr w:type="gramStart"/>
      <w:r w:rsidRPr="001A0CEE">
        <w:rPr>
          <w:rFonts w:ascii="Times New Roman" w:hAnsi="Times New Roman"/>
          <w:i/>
        </w:rPr>
        <w:t>r</w:t>
      </w:r>
      <w:r w:rsidRPr="001A0CEE">
        <w:rPr>
          <w:rFonts w:ascii="Times New Roman" w:hAnsi="Times New Roman"/>
        </w:rPr>
        <w:t>(</w:t>
      </w:r>
      <w:proofErr w:type="gramEnd"/>
      <w:r w:rsidRPr="001A0CEE">
        <w:rPr>
          <w:rFonts w:ascii="Times New Roman" w:hAnsi="Times New Roman"/>
        </w:rPr>
        <w:t xml:space="preserve">82) = .805, </w:t>
      </w:r>
      <w:r w:rsidRPr="001A0CEE"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&lt; .001, and s</w:t>
      </w:r>
      <w:r w:rsidRPr="001A0CEE">
        <w:rPr>
          <w:rFonts w:ascii="Times New Roman" w:hAnsi="Times New Roman"/>
        </w:rPr>
        <w:t>peech fluidity</w:t>
      </w:r>
      <w:r>
        <w:rPr>
          <w:rFonts w:ascii="Times New Roman" w:hAnsi="Times New Roman"/>
        </w:rPr>
        <w:t>,</w:t>
      </w:r>
      <w:r w:rsidRPr="001A0CEE">
        <w:rPr>
          <w:rFonts w:ascii="Times New Roman" w:hAnsi="Times New Roman"/>
        </w:rPr>
        <w:t xml:space="preserve"> </w:t>
      </w:r>
      <w:r w:rsidRPr="001A0CEE">
        <w:rPr>
          <w:rFonts w:ascii="Times New Roman" w:hAnsi="Times New Roman"/>
          <w:i/>
        </w:rPr>
        <w:t>r</w:t>
      </w:r>
      <w:r w:rsidRPr="001A0CEE">
        <w:rPr>
          <w:rFonts w:ascii="Times New Roman" w:hAnsi="Times New Roman"/>
        </w:rPr>
        <w:t xml:space="preserve">(82) = .714, </w:t>
      </w:r>
      <w:r w:rsidRPr="001A0CEE">
        <w:rPr>
          <w:rFonts w:ascii="Times New Roman" w:hAnsi="Times New Roman"/>
          <w:i/>
        </w:rPr>
        <w:t>p</w:t>
      </w:r>
      <w:r w:rsidRPr="001A0CEE">
        <w:rPr>
          <w:rFonts w:ascii="Times New Roman" w:hAnsi="Times New Roman"/>
        </w:rPr>
        <w:t xml:space="preserve"> &lt; .001</w:t>
      </w:r>
      <w:r>
        <w:rPr>
          <w:rFonts w:ascii="Times New Roman" w:hAnsi="Times New Roman"/>
        </w:rPr>
        <w:t>, were also</w:t>
      </w:r>
      <w:r w:rsidRPr="001A0CEE">
        <w:rPr>
          <w:rFonts w:ascii="Times New Roman" w:hAnsi="Times New Roman"/>
        </w:rPr>
        <w:t xml:space="preserve"> positively correlated with performance.  </w:t>
      </w:r>
    </w:p>
    <w:p w:rsidR="001E21A9" w:rsidRDefault="001E21A9" w:rsidP="001E21A9">
      <w:pPr>
        <w:spacing w:line="480" w:lineRule="auto"/>
        <w:jc w:val="center"/>
        <w:rPr>
          <w:rFonts w:ascii="Times New Roman" w:hAnsi="Times New Roman"/>
        </w:rPr>
      </w:pPr>
      <w:r w:rsidRPr="00C31AFC">
        <w:rPr>
          <w:rFonts w:ascii="Times New Roman" w:hAnsi="Times New Roman"/>
        </w:rPr>
        <w:t>Open-source data access</w:t>
      </w:r>
    </w:p>
    <w:p w:rsidR="001E21A9" w:rsidRDefault="001E21A9" w:rsidP="001E21A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full dataset is available in SPSS or Excel format upon request. If you are interested in replicating this project or re-analyzing the data reported here, please contact Jeremy Jamieson at jeremy.jamieson@rochester.edu</w:t>
      </w:r>
      <w:r w:rsidRPr="00717389">
        <w:rPr>
          <w:rFonts w:ascii="Times New Roman" w:hAnsi="Times New Roman"/>
        </w:rPr>
        <w:t>.</w:t>
      </w: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br w:type="page"/>
      </w:r>
      <w:proofErr w:type="gramStart"/>
      <w:r w:rsidRPr="001A0CEE">
        <w:rPr>
          <w:rFonts w:ascii="Times New Roman" w:hAnsi="Times New Roman"/>
        </w:rPr>
        <w:lastRenderedPageBreak/>
        <w:t>Table 1s.</w:t>
      </w:r>
      <w:proofErr w:type="gramEnd"/>
      <w:r w:rsidRPr="001A0CEE">
        <w:rPr>
          <w:rFonts w:ascii="Times New Roman" w:hAnsi="Times New Roman"/>
        </w:rPr>
        <w:t xml:space="preserve"> </w:t>
      </w:r>
      <w:proofErr w:type="gramStart"/>
      <w:r w:rsidRPr="001A0CEE">
        <w:rPr>
          <w:rFonts w:ascii="Times New Roman" w:hAnsi="Times New Roman"/>
        </w:rPr>
        <w:t>Intra-class correlation coefficients for items included in the behavioral coding.</w:t>
      </w:r>
      <w:proofErr w:type="gramEnd"/>
      <w:r w:rsidRPr="001A0CEE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810"/>
      </w:tblGrid>
      <w:tr w:rsidR="001E21A9" w:rsidRPr="001A0CEE" w:rsidTr="0013331A"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rPr>
                <w:rFonts w:ascii="Times New Roman" w:hAnsi="Times New Roman"/>
                <w:b/>
              </w:rPr>
            </w:pPr>
            <w:r w:rsidRPr="001A0CEE">
              <w:rPr>
                <w:rFonts w:ascii="Times New Roman" w:hAnsi="Times New Roman"/>
                <w:b/>
              </w:rPr>
              <w:t>Coding Scheme Item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rPr>
                <w:rFonts w:ascii="Times New Roman" w:hAnsi="Times New Roman"/>
                <w:b/>
              </w:rPr>
            </w:pPr>
            <w:r w:rsidRPr="001A0CEE">
              <w:rPr>
                <w:rFonts w:ascii="Times New Roman" w:hAnsi="Times New Roman"/>
                <w:b/>
              </w:rPr>
              <w:t>ICC</w:t>
            </w:r>
          </w:p>
        </w:tc>
      </w:tr>
      <w:tr w:rsidR="001E21A9" w:rsidRPr="001A0CEE" w:rsidTr="0013331A">
        <w:tc>
          <w:tcPr>
            <w:tcW w:w="2898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Tense/loose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.724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Closed/open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.825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Leaning back/forward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.895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Fidgeting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.867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Gestures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.943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Eye contact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.827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Smiling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.880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Personal disclosure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.719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Self-handicapping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.949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Thought out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.924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Awkward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.881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Confident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.879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Nervous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.872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Comfortable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.885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Performance – Minute 1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.870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Performance – Minute 2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.897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Performance – Minute 3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.913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Performance – Minute 4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.889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Performance – Minute 5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.917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Performance – Overall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.912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Fluidity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.736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Embarrassed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.852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Angry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.806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Ashamed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.858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Hostile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.789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Impatient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.845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Agitated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.781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Disengaged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.754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Sad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.710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Defensive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.454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Afraid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.831</w:t>
            </w:r>
          </w:p>
        </w:tc>
      </w:tr>
      <w:tr w:rsidR="001E21A9" w:rsidRPr="001A0CEE" w:rsidTr="0013331A">
        <w:tc>
          <w:tcPr>
            <w:tcW w:w="2898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Anxious</w:t>
            </w:r>
          </w:p>
        </w:tc>
        <w:tc>
          <w:tcPr>
            <w:tcW w:w="810" w:type="dxa"/>
          </w:tcPr>
          <w:p w:rsidR="001E21A9" w:rsidRPr="001A0CEE" w:rsidRDefault="001E21A9" w:rsidP="0013331A">
            <w:pPr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.837</w:t>
            </w:r>
          </w:p>
        </w:tc>
      </w:tr>
    </w:tbl>
    <w:p w:rsidR="001E21A9" w:rsidRPr="001A0CEE" w:rsidRDefault="001E21A9" w:rsidP="001E21A9">
      <w:pPr>
        <w:spacing w:line="480" w:lineRule="auto"/>
        <w:jc w:val="center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br w:type="page"/>
      </w:r>
      <w:proofErr w:type="gramStart"/>
      <w:r w:rsidRPr="001A0CEE">
        <w:rPr>
          <w:rFonts w:ascii="Times New Roman" w:hAnsi="Times New Roman"/>
        </w:rPr>
        <w:lastRenderedPageBreak/>
        <w:t>Table 2s.</w:t>
      </w:r>
      <w:proofErr w:type="gramEnd"/>
      <w:r w:rsidRPr="001A0CEE">
        <w:rPr>
          <w:rFonts w:ascii="Times New Roman" w:hAnsi="Times New Roman"/>
        </w:rPr>
        <w:t xml:space="preserve"> Means and standard deviations for negative affect by social anxiety and instruction condition</w:t>
      </w:r>
    </w:p>
    <w:tbl>
      <w:tblPr>
        <w:tblpPr w:leftFromText="180" w:rightFromText="180" w:vertAnchor="page" w:horzAnchor="margin" w:tblpY="2677"/>
        <w:tblOverlap w:val="never"/>
        <w:tblW w:w="8532" w:type="dxa"/>
        <w:tblLook w:val="00A0" w:firstRow="1" w:lastRow="0" w:firstColumn="1" w:lastColumn="0" w:noHBand="0" w:noVBand="0"/>
      </w:tblPr>
      <w:tblGrid>
        <w:gridCol w:w="1908"/>
        <w:gridCol w:w="1104"/>
        <w:gridCol w:w="1104"/>
        <w:gridCol w:w="1104"/>
        <w:gridCol w:w="1104"/>
        <w:gridCol w:w="1104"/>
        <w:gridCol w:w="1104"/>
      </w:tblGrid>
      <w:tr w:rsidR="001E21A9" w:rsidRPr="001A0CEE" w:rsidTr="0013331A">
        <w:tc>
          <w:tcPr>
            <w:tcW w:w="8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Negative Affect</w:t>
            </w:r>
          </w:p>
        </w:tc>
      </w:tr>
      <w:tr w:rsidR="001E21A9" w:rsidRPr="001A0CEE" w:rsidTr="001333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Condition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Baseline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jc w:val="center"/>
              <w:rPr>
                <w:rFonts w:ascii="Times New Roman" w:hAnsi="Times New Roman"/>
              </w:rPr>
            </w:pPr>
          </w:p>
          <w:p w:rsidR="001E21A9" w:rsidRPr="001A0CEE" w:rsidRDefault="001E21A9" w:rsidP="0013331A">
            <w:pPr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Post-manipulation, </w:t>
            </w:r>
          </w:p>
          <w:p w:rsidR="001E21A9" w:rsidRPr="001A0CEE" w:rsidRDefault="001E21A9" w:rsidP="0013331A">
            <w:pPr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pre-TSST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Post-TSST</w:t>
            </w:r>
          </w:p>
        </w:tc>
      </w:tr>
      <w:tr w:rsidR="001E21A9" w:rsidRPr="001A0CEE" w:rsidTr="0013331A"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M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SD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M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SD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M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SD</w:t>
            </w:r>
          </w:p>
        </w:tc>
      </w:tr>
      <w:tr w:rsidR="001E21A9" w:rsidRPr="001A0CEE" w:rsidTr="0013331A">
        <w:tc>
          <w:tcPr>
            <w:tcW w:w="1908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1A0CEE">
              <w:rPr>
                <w:rFonts w:ascii="Times New Roman" w:hAnsi="Times New Roman"/>
                <w:b/>
              </w:rPr>
              <w:t>Socially anxious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21A9" w:rsidRPr="001A0CEE" w:rsidTr="0013331A">
        <w:tc>
          <w:tcPr>
            <w:tcW w:w="1908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   Reappraisal 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2.20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.83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1.97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.65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1.99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.71</w:t>
            </w:r>
          </w:p>
        </w:tc>
      </w:tr>
      <w:tr w:rsidR="001E21A9" w:rsidRPr="001A0CEE" w:rsidTr="0013331A">
        <w:tc>
          <w:tcPr>
            <w:tcW w:w="1908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   No instruction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2.38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.73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2.56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.52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2.36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.67</w:t>
            </w:r>
          </w:p>
        </w:tc>
      </w:tr>
      <w:tr w:rsidR="001E21A9" w:rsidRPr="001A0CEE" w:rsidTr="0013331A">
        <w:tc>
          <w:tcPr>
            <w:tcW w:w="1908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1A0CEE">
              <w:rPr>
                <w:rFonts w:ascii="Times New Roman" w:hAnsi="Times New Roman"/>
                <w:b/>
              </w:rPr>
              <w:t xml:space="preserve">Non-anxious 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21A9" w:rsidRPr="001A0CEE" w:rsidTr="0013331A">
        <w:tc>
          <w:tcPr>
            <w:tcW w:w="1908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   Reappraisal 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1.39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.41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1.23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.48</w:t>
            </w:r>
          </w:p>
        </w:tc>
        <w:tc>
          <w:tcPr>
            <w:tcW w:w="110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1.60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.56</w:t>
            </w:r>
          </w:p>
        </w:tc>
      </w:tr>
      <w:tr w:rsidR="001E21A9" w:rsidRPr="001A0CEE" w:rsidTr="0013331A"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   No instruction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1.39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.34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1.48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.44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1.50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.51</w:t>
            </w:r>
          </w:p>
        </w:tc>
      </w:tr>
    </w:tbl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  <w:r w:rsidRPr="001A0CEE">
        <w:rPr>
          <w:rFonts w:ascii="Times New Roman" w:hAnsi="Times New Roman"/>
        </w:rPr>
        <w:br w:type="page"/>
      </w:r>
      <w:proofErr w:type="gramStart"/>
      <w:r w:rsidRPr="001A0CEE">
        <w:rPr>
          <w:rFonts w:ascii="Times New Roman" w:hAnsi="Times New Roman"/>
        </w:rPr>
        <w:lastRenderedPageBreak/>
        <w:t>Table 3s.</w:t>
      </w:r>
      <w:proofErr w:type="gramEnd"/>
      <w:r w:rsidRPr="001A0CEE">
        <w:rPr>
          <w:rFonts w:ascii="Times New Roman" w:hAnsi="Times New Roman"/>
        </w:rPr>
        <w:t xml:space="preserve"> Means and standard deviations for positive affect by social anxiety and instruction condition</w:t>
      </w:r>
    </w:p>
    <w:tbl>
      <w:tblPr>
        <w:tblpPr w:leftFromText="180" w:rightFromText="180" w:vertAnchor="page" w:horzAnchor="margin" w:tblpY="2749"/>
        <w:tblOverlap w:val="never"/>
        <w:tblW w:w="8550" w:type="dxa"/>
        <w:tblLook w:val="00A0" w:firstRow="1" w:lastRow="0" w:firstColumn="1" w:lastColumn="0" w:noHBand="0" w:noVBand="0"/>
      </w:tblPr>
      <w:tblGrid>
        <w:gridCol w:w="1983"/>
        <w:gridCol w:w="1094"/>
        <w:gridCol w:w="1095"/>
        <w:gridCol w:w="1094"/>
        <w:gridCol w:w="1095"/>
        <w:gridCol w:w="1094"/>
        <w:gridCol w:w="1095"/>
      </w:tblGrid>
      <w:tr w:rsidR="001E21A9" w:rsidRPr="001A0CEE" w:rsidTr="0013331A">
        <w:trPr>
          <w:trHeight w:val="407"/>
        </w:trPr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Positive Affect</w:t>
            </w:r>
          </w:p>
        </w:tc>
      </w:tr>
      <w:tr w:rsidR="001E21A9" w:rsidRPr="001A0CEE" w:rsidTr="0013331A">
        <w:trPr>
          <w:trHeight w:val="40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Condition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Baseline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jc w:val="center"/>
              <w:rPr>
                <w:rFonts w:ascii="Times New Roman" w:hAnsi="Times New Roman"/>
              </w:rPr>
            </w:pPr>
          </w:p>
          <w:p w:rsidR="001E21A9" w:rsidRPr="001A0CEE" w:rsidRDefault="001E21A9" w:rsidP="0013331A">
            <w:pPr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Post-manipulation, </w:t>
            </w:r>
          </w:p>
          <w:p w:rsidR="001E21A9" w:rsidRPr="001A0CEE" w:rsidRDefault="001E21A9" w:rsidP="0013331A">
            <w:pPr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pre-TSST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Post-TSST</w:t>
            </w:r>
          </w:p>
        </w:tc>
      </w:tr>
      <w:tr w:rsidR="001E21A9" w:rsidRPr="001A0CEE" w:rsidTr="0013331A">
        <w:trPr>
          <w:trHeight w:val="40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M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SD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M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SD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M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1A0CEE">
              <w:rPr>
                <w:rFonts w:ascii="Times New Roman" w:hAnsi="Times New Roman"/>
                <w:i/>
              </w:rPr>
              <w:t>SD</w:t>
            </w:r>
          </w:p>
        </w:tc>
      </w:tr>
      <w:tr w:rsidR="001E21A9" w:rsidRPr="001A0CEE" w:rsidTr="0013331A">
        <w:trPr>
          <w:trHeight w:val="407"/>
        </w:trPr>
        <w:tc>
          <w:tcPr>
            <w:tcW w:w="1983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1A0CEE">
              <w:rPr>
                <w:rFonts w:ascii="Times New Roman" w:hAnsi="Times New Roman"/>
                <w:b/>
              </w:rPr>
              <w:t xml:space="preserve">Socially anxious 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21A9" w:rsidRPr="001A0CEE" w:rsidTr="0013331A">
        <w:trPr>
          <w:trHeight w:val="426"/>
        </w:trPr>
        <w:tc>
          <w:tcPr>
            <w:tcW w:w="1983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   Reappraisal 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2.07</w:t>
            </w:r>
          </w:p>
        </w:tc>
        <w:tc>
          <w:tcPr>
            <w:tcW w:w="1095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.63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2.22</w:t>
            </w:r>
          </w:p>
        </w:tc>
        <w:tc>
          <w:tcPr>
            <w:tcW w:w="1095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.74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2.00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.83</w:t>
            </w:r>
          </w:p>
        </w:tc>
      </w:tr>
      <w:tr w:rsidR="001E21A9" w:rsidRPr="001A0CEE" w:rsidTr="0013331A">
        <w:trPr>
          <w:trHeight w:val="407"/>
        </w:trPr>
        <w:tc>
          <w:tcPr>
            <w:tcW w:w="1983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   No instruction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2.42</w:t>
            </w:r>
          </w:p>
        </w:tc>
        <w:tc>
          <w:tcPr>
            <w:tcW w:w="1095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.68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1.97</w:t>
            </w:r>
          </w:p>
        </w:tc>
        <w:tc>
          <w:tcPr>
            <w:tcW w:w="1095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.71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1.92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.73</w:t>
            </w:r>
          </w:p>
        </w:tc>
      </w:tr>
      <w:tr w:rsidR="001E21A9" w:rsidRPr="001A0CEE" w:rsidTr="0013331A">
        <w:trPr>
          <w:trHeight w:val="426"/>
        </w:trPr>
        <w:tc>
          <w:tcPr>
            <w:tcW w:w="1983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1A0CEE">
              <w:rPr>
                <w:rFonts w:ascii="Times New Roman" w:hAnsi="Times New Roman"/>
                <w:b/>
              </w:rPr>
              <w:t xml:space="preserve">Non-anxious 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21A9" w:rsidRPr="001A0CEE" w:rsidTr="0013331A">
        <w:trPr>
          <w:trHeight w:val="426"/>
        </w:trPr>
        <w:tc>
          <w:tcPr>
            <w:tcW w:w="1983" w:type="dxa"/>
            <w:tcBorders>
              <w:lef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   Reappraisal 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2.84</w:t>
            </w:r>
          </w:p>
        </w:tc>
        <w:tc>
          <w:tcPr>
            <w:tcW w:w="1095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.74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2.60</w:t>
            </w:r>
          </w:p>
        </w:tc>
        <w:tc>
          <w:tcPr>
            <w:tcW w:w="1095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.98</w:t>
            </w:r>
          </w:p>
        </w:tc>
        <w:tc>
          <w:tcPr>
            <w:tcW w:w="1094" w:type="dxa"/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2.54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.73</w:t>
            </w:r>
          </w:p>
        </w:tc>
      </w:tr>
      <w:tr w:rsidR="001E21A9" w:rsidRPr="001A0CEE" w:rsidTr="0013331A">
        <w:trPr>
          <w:trHeight w:val="407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 xml:space="preserve">   No instruction 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2.85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.62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2.46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.90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2.22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1E21A9" w:rsidRPr="001A0CEE" w:rsidRDefault="001E21A9" w:rsidP="0013331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A0CEE">
              <w:rPr>
                <w:rFonts w:ascii="Times New Roman" w:hAnsi="Times New Roman"/>
              </w:rPr>
              <w:t>.72</w:t>
            </w:r>
          </w:p>
        </w:tc>
      </w:tr>
    </w:tbl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</w:rPr>
      </w:pPr>
    </w:p>
    <w:p w:rsidR="001E21A9" w:rsidRPr="001A0CEE" w:rsidRDefault="001E21A9" w:rsidP="001E21A9">
      <w:pPr>
        <w:rPr>
          <w:rFonts w:ascii="Times New Roman" w:hAnsi="Times New Roman"/>
          <w:i/>
        </w:rPr>
      </w:pPr>
    </w:p>
    <w:p w:rsidR="001E21A9" w:rsidRPr="001A0CEE" w:rsidRDefault="001E21A9" w:rsidP="001E21A9">
      <w:pPr>
        <w:spacing w:line="480" w:lineRule="auto"/>
        <w:rPr>
          <w:rFonts w:ascii="Times New Roman" w:hAnsi="Times New Roman"/>
          <w:color w:val="000000"/>
        </w:rPr>
      </w:pPr>
    </w:p>
    <w:p w:rsidR="001E21A9" w:rsidRPr="001A0CEE" w:rsidRDefault="001E21A9" w:rsidP="001E21A9">
      <w:pPr>
        <w:rPr>
          <w:rFonts w:ascii="Times New Roman" w:hAnsi="Times New Roman"/>
        </w:rPr>
      </w:pPr>
    </w:p>
    <w:p w:rsidR="001E21A9" w:rsidRDefault="001E21A9" w:rsidP="001E21A9">
      <w:pPr>
        <w:spacing w:line="480" w:lineRule="auto"/>
        <w:rPr>
          <w:rFonts w:ascii="Times New Roman" w:hAnsi="Times New Roman"/>
          <w:color w:val="000000"/>
        </w:rPr>
      </w:pPr>
    </w:p>
    <w:p w:rsidR="001E21A9" w:rsidRDefault="001E21A9" w:rsidP="001E21A9">
      <w:pPr>
        <w:spacing w:line="480" w:lineRule="auto"/>
        <w:rPr>
          <w:rFonts w:ascii="Times New Roman" w:hAnsi="Times New Roman"/>
          <w:color w:val="000000"/>
        </w:rPr>
      </w:pPr>
    </w:p>
    <w:p w:rsidR="00EA5BAC" w:rsidRDefault="00EA5BAC">
      <w:bookmarkStart w:id="0" w:name="_GoBack"/>
      <w:bookmarkEnd w:id="0"/>
    </w:p>
    <w:sectPr w:rsidR="00EA5BAC" w:rsidSect="009C3C4F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4F" w:rsidRDefault="001E21A9" w:rsidP="009C3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C4F" w:rsidRDefault="001E21A9" w:rsidP="009C3C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4F" w:rsidRDefault="001E21A9" w:rsidP="009C3C4F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4F" w:rsidRPr="00DF428C" w:rsidRDefault="001E21A9">
    <w:pPr>
      <w:pStyle w:val="Header"/>
      <w:jc w:val="right"/>
      <w:rPr>
        <w:rFonts w:ascii="Times New Roman" w:hAnsi="Times New Roman"/>
      </w:rPr>
    </w:pPr>
    <w:r w:rsidRPr="00DF428C">
      <w:rPr>
        <w:rFonts w:ascii="Times New Roman" w:hAnsi="Times New Roman"/>
      </w:rPr>
      <w:fldChar w:fldCharType="begin"/>
    </w:r>
    <w:r w:rsidRPr="00DF428C">
      <w:rPr>
        <w:rFonts w:ascii="Times New Roman" w:hAnsi="Times New Roman"/>
      </w:rPr>
      <w:instrText xml:space="preserve"> PAGE   \* MERGEFORMAT </w:instrText>
    </w:r>
    <w:r w:rsidRPr="00DF42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DF428C">
      <w:rPr>
        <w:rFonts w:ascii="Times New Roman" w:hAnsi="Times New Roman"/>
        <w:noProof/>
      </w:rPr>
      <w:fldChar w:fldCharType="end"/>
    </w:r>
  </w:p>
  <w:p w:rsidR="009C3C4F" w:rsidRDefault="001E2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A9"/>
    <w:rsid w:val="001E21A9"/>
    <w:rsid w:val="00E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A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1E21A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1A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1E21A9"/>
    <w:rPr>
      <w:rFonts w:ascii="Cambria" w:eastAsia="Cambria" w:hAnsi="Cambria" w:cs="Times New Roman"/>
      <w:sz w:val="24"/>
      <w:szCs w:val="24"/>
    </w:rPr>
  </w:style>
  <w:style w:type="character" w:customStyle="1" w:styleId="FooterChar">
    <w:name w:val="Footer Char"/>
    <w:link w:val="Footer"/>
    <w:rsid w:val="001E21A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E21A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E21A9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rsid w:val="001E2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A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1E21A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1A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1E21A9"/>
    <w:rPr>
      <w:rFonts w:ascii="Cambria" w:eastAsia="Cambria" w:hAnsi="Cambria" w:cs="Times New Roman"/>
      <w:sz w:val="24"/>
      <w:szCs w:val="24"/>
    </w:rPr>
  </w:style>
  <w:style w:type="character" w:customStyle="1" w:styleId="FooterChar">
    <w:name w:val="Footer Char"/>
    <w:link w:val="Footer"/>
    <w:rsid w:val="001E21A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E21A9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1E21A9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rsid w:val="001E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2014-02-20T18:32:00Z</dcterms:created>
  <dcterms:modified xsi:type="dcterms:W3CDTF">2014-02-20T18:33:00Z</dcterms:modified>
</cp:coreProperties>
</file>