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23" w:rsidRDefault="00527E23" w:rsidP="00527E23">
      <w:pPr>
        <w:pageBreakBefore/>
        <w:spacing w:line="480" w:lineRule="auto"/>
        <w:jc w:val="center"/>
      </w:pPr>
      <w:r>
        <w:rPr>
          <w:rFonts w:eastAsia="Times New Roman" w:cs="Times New Roman"/>
        </w:rPr>
        <w:t>Supplementary Material</w:t>
      </w:r>
    </w:p>
    <w:p w:rsidR="00527E23" w:rsidRDefault="00527E23" w:rsidP="00527E23">
      <w:pPr>
        <w:spacing w:line="480" w:lineRule="auto"/>
      </w:pPr>
      <w:r>
        <w:rPr>
          <w:rFonts w:eastAsia="Times New Roman" w:cs="Times New Roman"/>
        </w:rPr>
        <w:t>Supplementary Table S1</w:t>
      </w:r>
    </w:p>
    <w:p w:rsidR="00527E23" w:rsidRDefault="00527E23" w:rsidP="00527E23">
      <w:pPr>
        <w:spacing w:line="480" w:lineRule="auto"/>
      </w:pPr>
      <w:r>
        <w:rPr>
          <w:rFonts w:eastAsia="Times New Roman" w:cs="Times New Roman"/>
        </w:rPr>
        <w:t>(See Excel File)</w:t>
      </w:r>
    </w:p>
    <w:p w:rsidR="00527E23" w:rsidRDefault="00527E23" w:rsidP="00527E23">
      <w:pPr>
        <w:spacing w:before="120" w:line="480" w:lineRule="auto"/>
        <w:ind w:firstLine="720"/>
      </w:pPr>
      <w:r>
        <w:rPr>
          <w:rFonts w:eastAsia="Times New Roman" w:cs="Times New Roman"/>
          <w:b/>
        </w:rPr>
        <w:t xml:space="preserve"> (Supplementary Table 1): </w:t>
      </w:r>
      <w:r>
        <w:rPr>
          <w:rFonts w:eastAsia="Times New Roman" w:cs="Times New Roman"/>
        </w:rPr>
        <w:t xml:space="preserve">Data for each of Ronan’s test trials including criterial and entire trial (both pre-criterial and criterial bobs) values. Stimulus type abbreviations are as follows: Frequency-modulated: FM, Amplitude-modulated: AM, Tonal back beat: TB, “Down on the Corner”: DotC, “Everybody”: E, “Boogie Wonderland”: BW, 60-beat-criterion frequency-modulated trials: FM60, 60-beat-criterion “Boogie Wonderland” trials: BW60. Stimulus type trials marked with asterisks (*) represent cumulative data from the trials with the same tempo grouped immediately above in the table. P values &gt; .05 are highlighted in grey. </w:t>
      </w:r>
    </w:p>
    <w:p w:rsidR="00527E23" w:rsidRDefault="00527E23" w:rsidP="00527E23">
      <w:pPr>
        <w:spacing w:before="120" w:line="480" w:lineRule="auto"/>
        <w:ind w:firstLine="720"/>
      </w:pPr>
    </w:p>
    <w:p w:rsidR="00527E23" w:rsidRDefault="00527E23" w:rsidP="00527E23">
      <w:pPr>
        <w:spacing w:before="120" w:line="480" w:lineRule="auto"/>
      </w:pPr>
      <w:r>
        <w:rPr>
          <w:rFonts w:eastAsia="Times New Roman" w:cs="Times New Roman"/>
        </w:rPr>
        <w:t>List of Supplementary Video Files</w:t>
      </w:r>
    </w:p>
    <w:p w:rsidR="00527E23" w:rsidRDefault="00527E23" w:rsidP="00527E23">
      <w:pPr>
        <w:spacing w:line="480" w:lineRule="auto"/>
      </w:pPr>
      <w:r>
        <w:rPr>
          <w:rFonts w:eastAsia="Times New Roman" w:cs="Times New Roman"/>
        </w:rPr>
        <w:t>S1. Post-practice Test, Frequency-Modulated, 120bpm</w:t>
      </w:r>
    </w:p>
    <w:p w:rsidR="00527E23" w:rsidRDefault="00527E23" w:rsidP="00527E23">
      <w:pPr>
        <w:spacing w:line="480" w:lineRule="auto"/>
      </w:pPr>
      <w:r>
        <w:rPr>
          <w:rFonts w:eastAsia="Times New Roman" w:cs="Times New Roman"/>
        </w:rPr>
        <w:t>S2. Post-practice Test, Frequency-Modulated, 80bpm</w:t>
      </w:r>
    </w:p>
    <w:p w:rsidR="00527E23" w:rsidRDefault="00527E23" w:rsidP="00527E23">
      <w:pPr>
        <w:spacing w:line="480" w:lineRule="auto"/>
      </w:pPr>
      <w:r>
        <w:rPr>
          <w:rFonts w:eastAsia="Times New Roman" w:cs="Times New Roman"/>
        </w:rPr>
        <w:t>S3. Tempo Transfer Test, Frequency-Modulated, 96bpm</w:t>
      </w:r>
    </w:p>
    <w:p w:rsidR="00527E23" w:rsidRDefault="00527E23" w:rsidP="00527E23">
      <w:pPr>
        <w:spacing w:line="480" w:lineRule="auto"/>
      </w:pPr>
      <w:r>
        <w:rPr>
          <w:rFonts w:eastAsia="Times New Roman" w:cs="Times New Roman"/>
        </w:rPr>
        <w:t>S4. Tempo Transfer Test, Frequency-Modulated, 108bpm</w:t>
      </w:r>
    </w:p>
    <w:p w:rsidR="00527E23" w:rsidRDefault="00527E23" w:rsidP="00527E23">
      <w:pPr>
        <w:spacing w:line="480" w:lineRule="auto"/>
      </w:pPr>
      <w:r>
        <w:rPr>
          <w:rFonts w:eastAsia="Times New Roman" w:cs="Times New Roman"/>
        </w:rPr>
        <w:t>S5. Tempo Transfer Test, Frequency-Modulated, 88bpm</w:t>
      </w:r>
    </w:p>
    <w:p w:rsidR="00527E23" w:rsidRDefault="00527E23" w:rsidP="00527E23">
      <w:pPr>
        <w:spacing w:line="480" w:lineRule="auto"/>
      </w:pPr>
      <w:r>
        <w:rPr>
          <w:rFonts w:eastAsia="Times New Roman" w:cs="Times New Roman"/>
        </w:rPr>
        <w:t>S6. Tempo Transfer Test, Frequency-Modulated, 132bpm</w:t>
      </w:r>
    </w:p>
    <w:p w:rsidR="00527E23" w:rsidRDefault="00527E23" w:rsidP="00527E23">
      <w:pPr>
        <w:spacing w:line="480" w:lineRule="auto"/>
      </w:pPr>
      <w:r>
        <w:rPr>
          <w:rFonts w:eastAsia="Times New Roman" w:cs="Times New Roman"/>
        </w:rPr>
        <w:t>S7. Tempo Transfer Test, Frequency-Modulated, 72bpm</w:t>
      </w:r>
    </w:p>
    <w:p w:rsidR="00527E23" w:rsidRDefault="00527E23" w:rsidP="00527E23">
      <w:pPr>
        <w:spacing w:line="480" w:lineRule="auto"/>
      </w:pPr>
      <w:r>
        <w:rPr>
          <w:rFonts w:eastAsia="Times New Roman" w:cs="Times New Roman"/>
        </w:rPr>
        <w:t>S8. Music Exposure Test, “Everybody”</w:t>
      </w:r>
    </w:p>
    <w:p w:rsidR="00527E23" w:rsidRDefault="00527E23" w:rsidP="00527E23">
      <w:pPr>
        <w:spacing w:line="480" w:lineRule="auto"/>
      </w:pPr>
      <w:r>
        <w:rPr>
          <w:rFonts w:eastAsia="Times New Roman" w:cs="Times New Roman"/>
        </w:rPr>
        <w:t>S9. Music Exposure Test, “Boogie Wonderland”</w:t>
      </w:r>
    </w:p>
    <w:p w:rsidR="00527E23" w:rsidRDefault="00527E23" w:rsidP="00527E23">
      <w:pPr>
        <w:spacing w:line="480" w:lineRule="auto"/>
      </w:pPr>
      <w:r>
        <w:rPr>
          <w:rFonts w:eastAsia="Times New Roman" w:cs="Times New Roman"/>
        </w:rPr>
        <w:lastRenderedPageBreak/>
        <w:t>S10. Extended Duration Test, Frequency-Modulated, 120bpm</w:t>
      </w:r>
    </w:p>
    <w:p w:rsidR="00527E23" w:rsidRDefault="00527E23" w:rsidP="00527E23">
      <w:pPr>
        <w:spacing w:line="480" w:lineRule="auto"/>
      </w:pPr>
    </w:p>
    <w:p w:rsidR="00527E23" w:rsidRDefault="00527E23" w:rsidP="00527E23">
      <w:pPr>
        <w:spacing w:line="480" w:lineRule="auto"/>
      </w:pPr>
      <w:r>
        <w:rPr>
          <w:rFonts w:eastAsia="Times New Roman" w:cs="Times New Roman"/>
        </w:rPr>
        <w:t>Video of every test trial is permanently archived at The Pinniped Cognition and Sensory Systems Laboratory and is available on request.</w:t>
      </w:r>
    </w:p>
    <w:p w:rsidR="00527E23" w:rsidRDefault="00527E23" w:rsidP="00527E23">
      <w:pPr>
        <w:spacing w:line="480" w:lineRule="auto"/>
      </w:pPr>
    </w:p>
    <w:p w:rsidR="00527E23" w:rsidRDefault="00527E23" w:rsidP="00527E23">
      <w:pPr>
        <w:spacing w:line="480" w:lineRule="auto"/>
      </w:pPr>
      <w:r>
        <w:rPr>
          <w:rFonts w:eastAsia="Times New Roman" w:cs="Times New Roman"/>
        </w:rPr>
        <w:t>Supplementary Statistical Method</w:t>
      </w:r>
    </w:p>
    <w:p w:rsidR="00527E23" w:rsidRDefault="00527E23" w:rsidP="00527E23">
      <w:pPr>
        <w:spacing w:line="480" w:lineRule="auto"/>
      </w:pPr>
    </w:p>
    <w:p w:rsidR="00527E23" w:rsidRDefault="00527E23" w:rsidP="00527E23">
      <w:pPr>
        <w:spacing w:line="480" w:lineRule="auto"/>
      </w:pPr>
      <w:r>
        <w:rPr>
          <w:rFonts w:eastAsia="Times New Roman" w:cs="Times New Roman"/>
        </w:rPr>
        <w:t xml:space="preserve">Monte Carlo Simulation </w:t>
      </w:r>
    </w:p>
    <w:p w:rsidR="00527E23" w:rsidRDefault="00527E23" w:rsidP="00527E23">
      <w:pPr>
        <w:spacing w:line="480" w:lineRule="auto"/>
      </w:pPr>
      <w:r>
        <w:rPr>
          <w:rFonts w:eastAsia="Times New Roman" w:cs="Times New Roman"/>
        </w:rPr>
        <w:t xml:space="preserve">Our simulation was a Bayesian approach aimed at probing the likelihood of Ronan’s performing as well as she did were her bobbing behavior random. Explicitly, we used repeated simulation to test the probability of Ronan’s producing 20 criterial bobs within a string of 120 or fewer bobs. We chose 120 bobs or fewer because this represented a round number just above the greatest number of bobs (including criterial bobs) produced by Ronan in any test trial prior to reaching criterion (111), and she never bobbed more than 100 times on any trial in which she did not reach criterion. Importantly, our simulation was designed to probe the likelihood of Ronan’s producing 20 consecutive bobs matched in tempo to a set stimulus rate, as opposed to further probing whether those 20 consecutive bobs were also aligned in terms of phase angles. Note that this is a more conservative approach, as series of 20 bobs matching stimulus beats in a 1:1 ratio and entrained in terms of phase angle must also be close to the stimulus tempo, but series of bobs close to the stimulus tempo need not be entrained. To add the further criterion of Ronan’s simulated bobs being entrained as well as tempo matched would have decreased the likelihood of simulated successes—thus, if simulated successes were extremely rare just in terms of </w:t>
      </w:r>
      <w:r>
        <w:rPr>
          <w:rFonts w:eastAsia="Times New Roman" w:cs="Times New Roman"/>
        </w:rPr>
        <w:lastRenderedPageBreak/>
        <w:t xml:space="preserve">tempo-matching, adding parameters to further account for entrainment would be superfluous. </w:t>
      </w:r>
    </w:p>
    <w:p w:rsidR="00527E23" w:rsidRDefault="00527E23" w:rsidP="00527E23">
      <w:pPr>
        <w:spacing w:line="480" w:lineRule="auto"/>
        <w:ind w:firstLine="720"/>
      </w:pPr>
      <w:r>
        <w:rPr>
          <w:rFonts w:eastAsia="Times New Roman" w:cs="Times New Roman"/>
        </w:rPr>
        <w:t xml:space="preserve">Our simulation was run in MATLAB, and was set to produce strings of up to 120 numbers, randomly selected from the continuous range of 70 to 150. This represented Ronan’s range of likely instantaneous tempos, and was selected conservatively to fall within the actual range of instantaneous tempos she produced on successful test trials. Instantaneous tempo is measured by taking the duration between the current and prior bob, and dividing 60 by this number to generate a rate in bpm. We set the stimulus rate at 110 bpm, halfway between the minimum and maximum possible bob rates in our simulation. For each trial, the simulation was set to keep drawing random numbers continuously between 70 and 150, and with each new number drawn, to check the 20 most recent numbers. If all the numbers in the most recent 20 fell between 95 and 125 and the mean of the numbers was between 107 and 113 bpm, this would count as a success, that is, representative of a simulated string of 20 bobs that, at least based on the grouping of instantaneous tempos, could theoretically be entrained. We selected the range of 95 to 125 to represent a range more than +/- twice the standard deviation (7.0 bpm) of her bobbing rate from all criterial runs. The range of 107 to 113 was also selected based on Ronan’s performance, representing more than +/- 4 times the mean difference between Ronan’s bobbing rate on each trial and the respective stimulus rate. If the simulation reached 120 bobs without any strings of 20 that met the criteria, that trial was counted as a failure. We then ran the simulation 100,000 times. Of those 100,000 simulated trials, there were 0 successes. That is, the probability that, assuming a random distribution drawn from Ronan’s actual bobbing rates, she would produce a string of 20 consecutive bobs that were </w:t>
      </w:r>
      <w:r>
        <w:rPr>
          <w:rFonts w:eastAsia="Times New Roman" w:cs="Times New Roman"/>
        </w:rPr>
        <w:lastRenderedPageBreak/>
        <w:t xml:space="preserve">even close to as tightly grouped around the stimulus rate as those on trials in which she entrained, was &lt;.00001. </w:t>
      </w:r>
    </w:p>
    <w:p w:rsidR="00527E23" w:rsidRDefault="00527E23" w:rsidP="00527E23">
      <w:pPr>
        <w:spacing w:line="480" w:lineRule="auto"/>
        <w:ind w:firstLine="720"/>
      </w:pPr>
      <w:r>
        <w:rPr>
          <w:rFonts w:eastAsia="Times New Roman" w:cs="Times New Roman"/>
        </w:rPr>
        <w:t>Note that not only did Ronan succeed in producing such criterial strings during testing, she did so on 72 out of 82 total test trials, and with a mean number of bobs prior to criterial runs of only 15.7. Again, our simulation-based probability was computed without even considering the further criterion that the phase angle of the criterial runs be entrained. In short, Ronan’s criterial bob runs clearly did not occur by chance, statistically justifying our focusing our analysis on just these runs, similarly to previous windowed assessments of entrainment in non-human animals (e.g., Patel et al., 2009a; Schachner et al., 2009).</w:t>
      </w:r>
    </w:p>
    <w:p w:rsidR="00527E23" w:rsidRDefault="00527E23" w:rsidP="00527E23">
      <w:pPr>
        <w:spacing w:line="480" w:lineRule="auto"/>
        <w:ind w:firstLine="720"/>
      </w:pPr>
      <w:r>
        <w:t xml:space="preserve"> </w:t>
      </w:r>
    </w:p>
    <w:p w:rsidR="002B35C1" w:rsidRDefault="002B35C1">
      <w:bookmarkStart w:id="0" w:name="_GoBack"/>
      <w:bookmarkEnd w:id="0"/>
    </w:p>
    <w:sectPr w:rsidR="002B35C1">
      <w:headerReference w:type="default" r:id="rId5"/>
      <w:pgSz w:w="12240" w:h="15840"/>
      <w:pgMar w:top="1440" w:right="1440" w:bottom="1440" w:left="1440" w:header="72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2AD" w:rsidRDefault="00527E23">
    <w:pPr>
      <w:tabs>
        <w:tab w:val="center" w:pos="4320"/>
        <w:tab w:val="right" w:pos="8640"/>
      </w:tabs>
    </w:pPr>
    <w:r>
      <w:fldChar w:fldCharType="begin"/>
    </w:r>
    <w:r>
      <w:instrText>PAGE</w:instrText>
    </w:r>
    <w:r>
      <w:fldChar w:fldCharType="separate"/>
    </w:r>
    <w:r>
      <w:rPr>
        <w:noProof/>
      </w:rPr>
      <w:t>1</w:t>
    </w:r>
    <w:r>
      <w:fldChar w:fldCharType="end"/>
    </w:r>
  </w:p>
  <w:p w:rsidR="006D72AD" w:rsidRDefault="00527E23">
    <w:pPr>
      <w:tabs>
        <w:tab w:val="center" w:pos="4320"/>
        <w:tab w:val="right" w:pos="8640"/>
      </w:tabs>
      <w:ind w:right="360"/>
    </w:pPr>
    <w:r>
      <w:t>Cook – A Sea Lion Can Keep the Beat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23"/>
    <w:rsid w:val="001A6B5B"/>
    <w:rsid w:val="002B35C1"/>
    <w:rsid w:val="0052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7E23"/>
    <w:pPr>
      <w:suppressAutoHyphens/>
      <w:spacing w:after="0" w:line="100" w:lineRule="atLeast"/>
    </w:pPr>
    <w:rPr>
      <w:rFonts w:ascii="Cambria" w:eastAsia="Cambria" w:hAnsi="Cambria" w:cs="Cambria"/>
      <w:color w:val="000000"/>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7E23"/>
    <w:pPr>
      <w:suppressAutoHyphens/>
      <w:spacing w:after="0" w:line="100" w:lineRule="atLeast"/>
    </w:pPr>
    <w:rPr>
      <w:rFonts w:ascii="Cambria" w:eastAsia="Cambria" w:hAnsi="Cambria" w:cs="Cambria"/>
      <w:color w:val="000000"/>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APA</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Harmer, Anne</dc:creator>
  <cp:lastModifiedBy>Harmer, Anne</cp:lastModifiedBy>
  <cp:revision>1</cp:revision>
  <dcterms:created xsi:type="dcterms:W3CDTF">2013-02-25T19:06:00Z</dcterms:created>
  <dcterms:modified xsi:type="dcterms:W3CDTF">2013-02-25T19:07:00Z</dcterms:modified>
</cp:coreProperties>
</file>