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46" w:rsidRPr="00C86A95" w:rsidRDefault="00747F46" w:rsidP="00747F46">
      <w:pPr>
        <w:pStyle w:val="Heading3"/>
        <w:rPr>
          <w:rFonts w:ascii="Calibri" w:hAnsi="Calibri"/>
          <w:sz w:val="22"/>
          <w:szCs w:val="22"/>
        </w:rPr>
      </w:pPr>
      <w:r w:rsidRPr="00C86A95">
        <w:rPr>
          <w:rFonts w:ascii="Calibri" w:hAnsi="Calibri"/>
          <w:sz w:val="22"/>
          <w:szCs w:val="22"/>
        </w:rPr>
        <w:t>Supplementary Online Materials</w:t>
      </w:r>
    </w:p>
    <w:p w:rsidR="00747F46" w:rsidRDefault="00747F46" w:rsidP="00747F46">
      <w:pPr>
        <w:pStyle w:val="Heading3"/>
      </w:pPr>
    </w:p>
    <w:p w:rsidR="00747F46" w:rsidRDefault="00747F46" w:rsidP="00747F46">
      <w:pPr>
        <w:spacing w:line="480" w:lineRule="auto"/>
        <w:rPr>
          <w:b/>
        </w:rPr>
      </w:pPr>
      <w:r>
        <w:rPr>
          <w:b/>
        </w:rPr>
        <w:t>Table S1.</w:t>
      </w:r>
    </w:p>
    <w:p w:rsidR="00747F46" w:rsidRDefault="00747F46" w:rsidP="00747F46">
      <w:pPr>
        <w:spacing w:line="480" w:lineRule="auto"/>
      </w:pPr>
      <w:r w:rsidRPr="00CC6FD8">
        <w:rPr>
          <w:b/>
        </w:rPr>
        <w:t>Figure S1</w:t>
      </w:r>
      <w:r w:rsidRPr="00AF58C5">
        <w:t xml:space="preserve">. Regional gray matter volumes negatively associated with PCL-R Total scores, controlling for brain volume (BV), age, and </w:t>
      </w:r>
      <w:r>
        <w:rPr>
          <w:b/>
        </w:rPr>
        <w:t>regular substance use</w:t>
      </w:r>
      <w:r w:rsidRPr="00AF58C5">
        <w:t xml:space="preserve">. These regions are significant in the whole brain at </w:t>
      </w:r>
      <w:r w:rsidRPr="00AF58C5">
        <w:rPr>
          <w:i/>
        </w:rPr>
        <w:t>p</w:t>
      </w:r>
      <w:r w:rsidRPr="00AF58C5">
        <w:t xml:space="preserve">&lt;.05 and 1308-voxel extent (selected using AlphaSim). Numeric values indicate the MNI z-coordinate of the slice, and the color bar represents </w:t>
      </w:r>
      <w:r w:rsidRPr="00AF58C5">
        <w:rPr>
          <w:i/>
          <w:iCs/>
        </w:rPr>
        <w:t>t</w:t>
      </w:r>
      <w:r w:rsidRPr="00AF58C5">
        <w:t>-values.</w:t>
      </w:r>
    </w:p>
    <w:p w:rsidR="00747F46" w:rsidRDefault="00747F46" w:rsidP="00747F46">
      <w:pPr>
        <w:spacing w:after="0" w:line="480" w:lineRule="auto"/>
      </w:pPr>
      <w:r w:rsidRPr="009A7BC7">
        <w:rPr>
          <w:b/>
        </w:rPr>
        <w:t xml:space="preserve">Figure </w:t>
      </w:r>
      <w:r>
        <w:rPr>
          <w:b/>
        </w:rPr>
        <w:t>S</w:t>
      </w:r>
      <w:r w:rsidRPr="009A7BC7">
        <w:rPr>
          <w:b/>
        </w:rPr>
        <w:t>2</w:t>
      </w:r>
      <w:r>
        <w:t xml:space="preserve">. </w:t>
      </w:r>
      <w:r w:rsidRPr="00DF52B0">
        <w:t xml:space="preserve">Regional gray matter </w:t>
      </w:r>
      <w:r w:rsidRPr="00CC6FD8">
        <w:rPr>
          <w:b/>
        </w:rPr>
        <w:t>concentrations</w:t>
      </w:r>
      <w:r w:rsidRPr="00DF52B0">
        <w:t xml:space="preserve"> negatively associated with PCL-R Total scores, controlling for brain volume</w:t>
      </w:r>
      <w:r>
        <w:t xml:space="preserve"> (BV)</w:t>
      </w:r>
      <w:r w:rsidRPr="00DF52B0">
        <w:t>, age, and substance dependence. These regions are significant in the whole brain at</w:t>
      </w:r>
      <w:r>
        <w:t xml:space="preserve"> </w:t>
      </w:r>
      <w:r w:rsidRPr="009210D3">
        <w:rPr>
          <w:i/>
        </w:rPr>
        <w:t>p</w:t>
      </w:r>
      <w:r>
        <w:t>&lt;.05 and 1308-voxel extent (selected using AlphaSim). Numeric values indicate the MNI z-coordinate of the slice, and the</w:t>
      </w:r>
      <w:r w:rsidRPr="00DF52B0">
        <w:t xml:space="preserve"> color bar represents </w:t>
      </w:r>
      <w:r w:rsidRPr="00DF52B0">
        <w:rPr>
          <w:i/>
          <w:iCs/>
        </w:rPr>
        <w:t>t</w:t>
      </w:r>
      <w:r w:rsidRPr="00DF52B0">
        <w:t>-values.</w:t>
      </w:r>
    </w:p>
    <w:p w:rsidR="00747F46" w:rsidRPr="00241805" w:rsidRDefault="00747F46" w:rsidP="00747F46">
      <w:pPr>
        <w:rPr>
          <w:b/>
        </w:rPr>
      </w:pPr>
    </w:p>
    <w:p w:rsidR="00747F46" w:rsidRPr="00030C74" w:rsidRDefault="00747F46" w:rsidP="00747F46">
      <w:pPr>
        <w:spacing w:after="0" w:line="240" w:lineRule="auto"/>
      </w:pPr>
      <w:r>
        <w:rPr>
          <w:b/>
        </w:rPr>
        <w:br w:type="page"/>
      </w:r>
      <w:r w:rsidRPr="00030C74">
        <w:rPr>
          <w:b/>
        </w:rPr>
        <w:lastRenderedPageBreak/>
        <w:t xml:space="preserve">Table </w:t>
      </w:r>
      <w:r>
        <w:rPr>
          <w:b/>
        </w:rPr>
        <w:t>S</w:t>
      </w:r>
      <w:r w:rsidRPr="00030C74">
        <w:rPr>
          <w:b/>
        </w:rPr>
        <w:t>1.</w:t>
      </w:r>
      <w:r w:rsidRPr="00030C74">
        <w:t xml:space="preserve"> Negative associations between Total PCL-R scores and gray matter volumes (GMV) and gray matter concentrations (GMC) in anatomical regions of interest (ROI) using small volume correction (SVC). Brain volume (BV), age, and </w:t>
      </w:r>
      <w:r>
        <w:t>regular substance use</w:t>
      </w:r>
      <w:r w:rsidRPr="00030C74">
        <w:t xml:space="preserve"> were included in the model as covariates.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480"/>
        <w:gridCol w:w="600"/>
        <w:gridCol w:w="720"/>
        <w:gridCol w:w="600"/>
        <w:gridCol w:w="720"/>
        <w:gridCol w:w="720"/>
        <w:gridCol w:w="600"/>
        <w:gridCol w:w="736"/>
        <w:gridCol w:w="566"/>
        <w:gridCol w:w="607"/>
        <w:gridCol w:w="719"/>
      </w:tblGrid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rPr>
                <w:b/>
              </w:rPr>
            </w:pP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rPr>
                <w:b/>
              </w:rPr>
            </w:pPr>
          </w:p>
        </w:tc>
        <w:tc>
          <w:tcPr>
            <w:tcW w:w="3360" w:type="dxa"/>
            <w:gridSpan w:val="5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  <w:rPr>
                <w:b/>
              </w:rPr>
            </w:pPr>
            <w:r w:rsidRPr="00030C74">
              <w:rPr>
                <w:b/>
              </w:rPr>
              <w:t>Gray Matter Volumes</w:t>
            </w:r>
          </w:p>
        </w:tc>
        <w:tc>
          <w:tcPr>
            <w:tcW w:w="3228" w:type="dxa"/>
            <w:gridSpan w:val="5"/>
          </w:tcPr>
          <w:p w:rsidR="00747F46" w:rsidRPr="00030C74" w:rsidRDefault="00747F46" w:rsidP="001E498E">
            <w:pPr>
              <w:spacing w:after="0" w:line="240" w:lineRule="auto"/>
              <w:jc w:val="center"/>
              <w:rPr>
                <w:b/>
              </w:rPr>
            </w:pPr>
            <w:r w:rsidRPr="00030C74">
              <w:rPr>
                <w:b/>
              </w:rPr>
              <w:t>Gray Matter Concentrations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rPr>
                <w:b/>
              </w:rPr>
            </w:pP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rPr>
                <w:b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  <w:rPr>
                <w:b/>
              </w:rPr>
            </w:pPr>
            <w:r w:rsidRPr="00030C74">
              <w:rPr>
                <w:b/>
              </w:rPr>
              <w:t>MNI Coordinates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rPr>
                <w:b/>
              </w:rPr>
            </w:pPr>
          </w:p>
        </w:tc>
        <w:tc>
          <w:tcPr>
            <w:tcW w:w="1902" w:type="dxa"/>
            <w:gridSpan w:val="3"/>
          </w:tcPr>
          <w:p w:rsidR="00747F46" w:rsidRPr="00030C74" w:rsidRDefault="00747F46" w:rsidP="001E498E">
            <w:pPr>
              <w:spacing w:after="0" w:line="240" w:lineRule="auto"/>
              <w:jc w:val="center"/>
              <w:rPr>
                <w:b/>
              </w:rPr>
            </w:pPr>
            <w:r w:rsidRPr="00030C74">
              <w:rPr>
                <w:b/>
              </w:rPr>
              <w:t>MNI Coordinates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rPr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rPr>
                <w:b/>
              </w:rPr>
            </w:pPr>
          </w:p>
        </w:tc>
      </w:tr>
      <w:tr w:rsidR="00747F46" w:rsidRPr="00030C74" w:rsidTr="001E498E">
        <w:trPr>
          <w:trHeight w:val="413"/>
        </w:trPr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rPr>
                <w:b/>
              </w:rPr>
            </w:pPr>
            <w:r w:rsidRPr="00030C74">
              <w:rPr>
                <w:b/>
              </w:rPr>
              <w:t>Paralimbic Region</w:t>
            </w: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rPr>
                <w:b/>
              </w:rPr>
            </w:pPr>
            <w:r w:rsidRPr="00030C74">
              <w:rPr>
                <w:b/>
              </w:rPr>
              <w:t>H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  <w:rPr>
                <w:b/>
              </w:rPr>
            </w:pPr>
            <w:r w:rsidRPr="00030C74">
              <w:rPr>
                <w:b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  <w:rPr>
                <w:b/>
              </w:rPr>
            </w:pPr>
            <w:r w:rsidRPr="00030C74">
              <w:rPr>
                <w:b/>
              </w:rPr>
              <w:t>y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  <w:rPr>
                <w:b/>
              </w:rPr>
            </w:pPr>
            <w:r w:rsidRPr="00030C74">
              <w:rPr>
                <w:b/>
              </w:rPr>
              <w:t>z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 w:rsidRPr="00030C74">
              <w:rPr>
                <w:b/>
              </w:rPr>
              <w:t>t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 w:rsidRPr="00030C74">
              <w:rPr>
                <w:b/>
              </w:rPr>
              <w:t>FWE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  <w:rPr>
                <w:b/>
              </w:rPr>
            </w:pPr>
            <w:r w:rsidRPr="00030C74">
              <w:rPr>
                <w:b/>
              </w:rPr>
              <w:t>x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  <w:rPr>
                <w:b/>
              </w:rPr>
            </w:pPr>
            <w:r w:rsidRPr="00030C74">
              <w:rPr>
                <w:b/>
              </w:rPr>
              <w:t>y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  <w:rPr>
                <w:b/>
              </w:rPr>
            </w:pPr>
            <w:r w:rsidRPr="00030C74">
              <w:rPr>
                <w:b/>
              </w:rPr>
              <w:t>z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 w:rsidRPr="00030C74">
              <w:rPr>
                <w:b/>
              </w:rPr>
              <w:t>t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 w:rsidRPr="00030C74">
              <w:rPr>
                <w:b/>
              </w:rPr>
              <w:t>FWE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Lateral OFC</w:t>
            </w: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L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-34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-22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3.66</w:t>
            </w:r>
          </w:p>
        </w:tc>
        <w:tc>
          <w:tcPr>
            <w:tcW w:w="720" w:type="dxa"/>
          </w:tcPr>
          <w:p w:rsidR="00747F46" w:rsidRPr="0064725B" w:rsidRDefault="00747F46" w:rsidP="001E498E">
            <w:pPr>
              <w:spacing w:after="0" w:line="240" w:lineRule="auto"/>
              <w:jc w:val="right"/>
              <w:rPr>
                <w:b/>
              </w:rPr>
            </w:pPr>
            <w:r w:rsidRPr="0064725B">
              <w:rPr>
                <w:b/>
              </w:rPr>
              <w:t>.036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-16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-20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3.64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.046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R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-12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3.19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.136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-18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3.54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.064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Medial OFC</w:t>
            </w: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---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-4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-22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3.16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.073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-18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3.56</w:t>
            </w:r>
          </w:p>
        </w:tc>
        <w:tc>
          <w:tcPr>
            <w:tcW w:w="719" w:type="dxa"/>
            <w:shd w:val="clear" w:color="auto" w:fill="auto"/>
          </w:tcPr>
          <w:p w:rsidR="00747F46" w:rsidRPr="0064725B" w:rsidRDefault="00747F46" w:rsidP="001E498E">
            <w:pPr>
              <w:spacing w:after="0" w:line="240" w:lineRule="auto"/>
              <w:jc w:val="right"/>
              <w:rPr>
                <w:b/>
              </w:rPr>
            </w:pPr>
            <w:r w:rsidRPr="0064725B">
              <w:rPr>
                <w:b/>
              </w:rPr>
              <w:t>.029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ACC</w:t>
            </w: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---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-10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2.53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.410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3.25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.110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Insula</w:t>
            </w: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L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-28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-20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1.69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.799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-36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2.75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.267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R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-20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1.47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.866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-4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2.36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.488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Temporal Pole</w:t>
            </w: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L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-36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-44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3.51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.036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-38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-36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4.57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.001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R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-40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3.93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.011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-38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4.14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.007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Parahippocampal Gyrus</w:t>
            </w: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L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-30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-30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2.81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.129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-18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-38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-8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3.60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.018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R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-6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-28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3.32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.040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-6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-28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3.54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.025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Amygdala</w:t>
            </w: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L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-30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-28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2.55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.068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-30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-28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3.20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.016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R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-28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3.49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.006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-28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3.90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.002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Hippocampus</w:t>
            </w: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L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-32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-6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-28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2.90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.099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-32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-4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-28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3.37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.034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R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-8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-24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3.72</w:t>
            </w:r>
          </w:p>
        </w:tc>
        <w:tc>
          <w:tcPr>
            <w:tcW w:w="720" w:type="dxa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.010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-6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-24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4.04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.004</w:t>
            </w:r>
          </w:p>
        </w:tc>
      </w:tr>
      <w:tr w:rsidR="00747F46" w:rsidRPr="00030C74" w:rsidTr="001E498E">
        <w:tc>
          <w:tcPr>
            <w:tcW w:w="2508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PCC</w:t>
            </w:r>
          </w:p>
        </w:tc>
        <w:tc>
          <w:tcPr>
            <w:tcW w:w="48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</w:pPr>
            <w:r w:rsidRPr="00030C74">
              <w:t>---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-4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-54</w:t>
            </w:r>
          </w:p>
        </w:tc>
        <w:tc>
          <w:tcPr>
            <w:tcW w:w="60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20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720" w:type="dxa"/>
          </w:tcPr>
          <w:p w:rsidR="00747F46" w:rsidRPr="0064725B" w:rsidRDefault="00747F46" w:rsidP="001E498E">
            <w:pPr>
              <w:spacing w:after="0" w:line="240" w:lineRule="auto"/>
              <w:jc w:val="right"/>
            </w:pPr>
            <w:r w:rsidRPr="0064725B">
              <w:t>.072</w:t>
            </w:r>
          </w:p>
        </w:tc>
        <w:tc>
          <w:tcPr>
            <w:tcW w:w="600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3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-54</w:t>
            </w:r>
          </w:p>
        </w:tc>
        <w:tc>
          <w:tcPr>
            <w:tcW w:w="566" w:type="dxa"/>
          </w:tcPr>
          <w:p w:rsidR="00747F46" w:rsidRPr="00030C74" w:rsidRDefault="00747F46" w:rsidP="001E498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07" w:type="dxa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2.25</w:t>
            </w:r>
          </w:p>
        </w:tc>
        <w:tc>
          <w:tcPr>
            <w:tcW w:w="719" w:type="dxa"/>
            <w:shd w:val="clear" w:color="auto" w:fill="auto"/>
          </w:tcPr>
          <w:p w:rsidR="00747F46" w:rsidRPr="00030C74" w:rsidRDefault="00747F46" w:rsidP="001E498E">
            <w:pPr>
              <w:spacing w:after="0" w:line="240" w:lineRule="auto"/>
              <w:jc w:val="right"/>
            </w:pPr>
            <w:r>
              <w:t>.366</w:t>
            </w:r>
          </w:p>
        </w:tc>
      </w:tr>
    </w:tbl>
    <w:p w:rsidR="00747F46" w:rsidRPr="00030C74" w:rsidRDefault="00747F46" w:rsidP="00747F46">
      <w:pPr>
        <w:spacing w:line="240" w:lineRule="auto"/>
      </w:pPr>
      <w:r w:rsidRPr="00030C74">
        <w:rPr>
          <w:u w:val="single"/>
          <w:lang w:val="pt-BR"/>
        </w:rPr>
        <w:t>Note</w:t>
      </w:r>
      <w:r w:rsidRPr="00030C74">
        <w:rPr>
          <w:lang w:val="pt-BR"/>
        </w:rPr>
        <w:t xml:space="preserve">. OFC=orbitofrontal cortex; ACC=anterior cingulate cortex; PCC=posterior cingulate cortex. </w:t>
      </w:r>
      <w:r w:rsidRPr="00030C74">
        <w:t xml:space="preserve">H=Hemisphere. L=Left. R=Right. FWE=family wise error rate. MNI x, y, and z coordinates, </w:t>
      </w:r>
      <w:r w:rsidRPr="00030C74">
        <w:rPr>
          <w:i/>
        </w:rPr>
        <w:t>t</w:t>
      </w:r>
      <w:r w:rsidRPr="00030C74">
        <w:t xml:space="preserve">-values, and FWE </w:t>
      </w:r>
      <w:r w:rsidRPr="00030C74">
        <w:rPr>
          <w:i/>
        </w:rPr>
        <w:t>p</w:t>
      </w:r>
      <w:r w:rsidRPr="00030C74">
        <w:t>-values are for the peak voxel in each region.</w:t>
      </w:r>
    </w:p>
    <w:p w:rsidR="00747F46" w:rsidRPr="002E3A4B" w:rsidRDefault="00747F46" w:rsidP="00747F46">
      <w:pPr>
        <w:spacing w:line="480" w:lineRule="auto"/>
        <w:rPr>
          <w:b/>
        </w:rPr>
      </w:pPr>
      <w:r>
        <w:rPr>
          <w:b/>
        </w:rPr>
        <w:br w:type="page"/>
      </w:r>
      <w:r w:rsidRPr="00AF58C5">
        <w:rPr>
          <w:b/>
        </w:rPr>
        <w:lastRenderedPageBreak/>
        <w:t xml:space="preserve">Figure </w:t>
      </w:r>
      <w:r>
        <w:rPr>
          <w:b/>
        </w:rPr>
        <w:t>S</w:t>
      </w:r>
      <w:r w:rsidRPr="00AF58C5">
        <w:rPr>
          <w:b/>
        </w:rPr>
        <w:t>1.</w:t>
      </w:r>
      <w:r w:rsidRPr="0005783F">
        <w:t xml:space="preserve"> </w:t>
      </w:r>
    </w:p>
    <w:p w:rsidR="00747F46" w:rsidRDefault="00747F46" w:rsidP="00747F46">
      <w:pPr>
        <w:pStyle w:val="Heading3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657600" cy="5250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46" w:rsidRDefault="00747F46" w:rsidP="00747F46">
      <w:pPr>
        <w:rPr>
          <w:lang w:eastAsia="x-none"/>
        </w:rPr>
      </w:pPr>
    </w:p>
    <w:p w:rsidR="00747F46" w:rsidRPr="00952287" w:rsidRDefault="00747F46" w:rsidP="00747F46">
      <w:pPr>
        <w:rPr>
          <w:b/>
          <w:lang w:eastAsia="x-none"/>
        </w:rPr>
      </w:pPr>
      <w:r>
        <w:rPr>
          <w:lang w:eastAsia="x-none"/>
        </w:rPr>
        <w:br w:type="page"/>
      </w:r>
      <w:r w:rsidRPr="00952287">
        <w:rPr>
          <w:b/>
          <w:lang w:eastAsia="x-none"/>
        </w:rPr>
        <w:lastRenderedPageBreak/>
        <w:t xml:space="preserve">Figure S2. </w:t>
      </w:r>
    </w:p>
    <w:p w:rsidR="00747F46" w:rsidRDefault="00747F46" w:rsidP="00747F46">
      <w:pPr>
        <w:rPr>
          <w:lang w:eastAsia="x-none"/>
        </w:rPr>
      </w:pPr>
    </w:p>
    <w:p w:rsidR="00747F46" w:rsidRPr="00CA48E8" w:rsidRDefault="00747F46" w:rsidP="00747F46">
      <w:pPr>
        <w:rPr>
          <w:lang w:eastAsia="x-none"/>
        </w:rPr>
      </w:pPr>
      <w:r>
        <w:rPr>
          <w:noProof/>
        </w:rPr>
        <w:drawing>
          <wp:inline distT="0" distB="0" distL="0" distR="0">
            <wp:extent cx="3657600" cy="5250180"/>
            <wp:effectExtent l="0" t="0" r="0" b="7620"/>
            <wp:docPr id="1" name="Picture 1" descr="GMC_unc05_1308_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MC_unc05_1308_n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84" w:rsidRDefault="002D7684">
      <w:bookmarkStart w:id="0" w:name="_GoBack"/>
      <w:bookmarkEnd w:id="0"/>
    </w:p>
    <w:sectPr w:rsidR="002D7684" w:rsidSect="005D05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97" w:rsidRDefault="00747F46">
    <w:pPr>
      <w:pStyle w:val="Footer"/>
      <w:jc w:val="right"/>
    </w:pPr>
  </w:p>
  <w:p w:rsidR="00804A97" w:rsidRDefault="00747F4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97" w:rsidRPr="00C86A95" w:rsidRDefault="00747F46">
    <w:pPr>
      <w:pStyle w:val="Header"/>
      <w:rPr>
        <w:lang w:val="en-US"/>
      </w:rPr>
    </w:pPr>
    <w:r w:rsidRPr="009A6556">
      <w:rPr>
        <w:b/>
        <w:lang w:val="en-US"/>
      </w:rPr>
      <w:t>RUNNING HEAD:</w:t>
    </w:r>
    <w:r>
      <w:rPr>
        <w:lang w:val="en-US"/>
      </w:rPr>
      <w:t xml:space="preserve"> PARALIMBIC GRAY MATTER AND PSYCHOPATHY</w:t>
    </w:r>
    <w:r>
      <w:rPr>
        <w:lang w:val="en-US"/>
      </w:rPr>
      <w:tab/>
    </w:r>
    <w:r w:rsidRPr="00C86A95">
      <w:rPr>
        <w:lang w:val="en-US"/>
      </w:rPr>
      <w:fldChar w:fldCharType="begin"/>
    </w:r>
    <w:r w:rsidRPr="00C86A95">
      <w:rPr>
        <w:lang w:val="en-US"/>
      </w:rPr>
      <w:instrText xml:space="preserve"> PAGE   \* MERGEFORMAT </w:instrText>
    </w:r>
    <w:r w:rsidRPr="00C86A95">
      <w:rPr>
        <w:lang w:val="en-US"/>
      </w:rPr>
      <w:fldChar w:fldCharType="separate"/>
    </w:r>
    <w:r>
      <w:rPr>
        <w:noProof/>
        <w:lang w:val="en-US"/>
      </w:rPr>
      <w:t>4</w:t>
    </w:r>
    <w:r w:rsidRPr="00C86A95">
      <w:rPr>
        <w:lang w:val="en-US"/>
      </w:rPr>
      <w:fldChar w:fldCharType="end"/>
    </w:r>
    <w:r>
      <w:rPr>
        <w:lang w:val="en-US"/>
      </w:rPr>
      <w:tab/>
    </w:r>
  </w:p>
  <w:p w:rsidR="00804A97" w:rsidRDefault="00747F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46"/>
    <w:rsid w:val="002763A1"/>
    <w:rsid w:val="002D7684"/>
    <w:rsid w:val="0074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46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747F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7F4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rsid w:val="00747F46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47F4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rsid w:val="00747F46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47F46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46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747F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7F4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rsid w:val="00747F46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47F4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rsid w:val="00747F46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47F46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Shelby</dc:creator>
  <cp:lastModifiedBy>Jenkins, Shelby</cp:lastModifiedBy>
  <cp:revision>1</cp:revision>
  <dcterms:created xsi:type="dcterms:W3CDTF">2011-10-25T13:37:00Z</dcterms:created>
  <dcterms:modified xsi:type="dcterms:W3CDTF">2011-10-25T13:37:00Z</dcterms:modified>
</cp:coreProperties>
</file>