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8E81E" w14:textId="77777777" w:rsidR="004F54E1" w:rsidRPr="00D24AD5" w:rsidRDefault="004F54E1" w:rsidP="004F54E1">
      <w:pPr>
        <w:spacing w:line="360" w:lineRule="auto"/>
        <w:jc w:val="center"/>
        <w:rPr>
          <w:b/>
          <w:bCs/>
        </w:rPr>
      </w:pPr>
      <w:r w:rsidRPr="00D24AD5">
        <w:rPr>
          <w:b/>
          <w:bCs/>
        </w:rPr>
        <w:t>Supplemental Materials</w:t>
      </w:r>
    </w:p>
    <w:p w14:paraId="285DB20C" w14:textId="77777777" w:rsidR="004F54E1" w:rsidRPr="00D24AD5" w:rsidRDefault="004F54E1" w:rsidP="004F54E1">
      <w:pPr>
        <w:spacing w:line="360" w:lineRule="auto"/>
        <w:jc w:val="center"/>
        <w:rPr>
          <w:b/>
          <w:bCs/>
        </w:rPr>
      </w:pPr>
      <w:r w:rsidRPr="00DB123E">
        <w:rPr>
          <w:b/>
          <w:bCs/>
        </w:rPr>
        <w:t>A Standardized Patient Methodology to Assess CBT Skills Performance: Development and Testing in a Randomized Controlled Trial of Web-Based Training</w:t>
      </w:r>
    </w:p>
    <w:p w14:paraId="2D844676" w14:textId="77777777" w:rsidR="004F54E1" w:rsidRPr="00D24AD5" w:rsidRDefault="004F54E1" w:rsidP="004F54E1">
      <w:pPr>
        <w:spacing w:line="360" w:lineRule="auto"/>
        <w:jc w:val="center"/>
        <w:rPr>
          <w:b/>
          <w:bCs/>
        </w:rPr>
      </w:pPr>
      <w:r w:rsidRPr="00D24AD5">
        <w:rPr>
          <w:b/>
          <w:bCs/>
        </w:rPr>
        <w:t xml:space="preserve">by </w:t>
      </w:r>
      <w:r>
        <w:rPr>
          <w:b/>
          <w:bCs/>
        </w:rPr>
        <w:t>K</w:t>
      </w:r>
      <w:r w:rsidRPr="00D24AD5">
        <w:rPr>
          <w:b/>
          <w:bCs/>
        </w:rPr>
        <w:t xml:space="preserve">. </w:t>
      </w:r>
      <w:r>
        <w:rPr>
          <w:b/>
          <w:bCs/>
        </w:rPr>
        <w:t>S</w:t>
      </w:r>
      <w:r w:rsidRPr="00D24AD5">
        <w:rPr>
          <w:b/>
          <w:bCs/>
        </w:rPr>
        <w:t xml:space="preserve">. </w:t>
      </w:r>
      <w:r w:rsidRPr="00DB123E">
        <w:rPr>
          <w:b/>
          <w:bCs/>
        </w:rPr>
        <w:t>Edwards</w:t>
      </w:r>
      <w:r>
        <w:rPr>
          <w:b/>
          <w:bCs/>
        </w:rPr>
        <w:t xml:space="preserve"> et al.</w:t>
      </w:r>
      <w:r w:rsidRPr="00D24AD5">
        <w:rPr>
          <w:b/>
          <w:bCs/>
        </w:rPr>
        <w:t xml:space="preserve">, </w:t>
      </w:r>
      <w:r>
        <w:rPr>
          <w:b/>
          <w:bCs/>
        </w:rPr>
        <w:t>2016</w:t>
      </w:r>
      <w:r w:rsidRPr="00D24AD5">
        <w:rPr>
          <w:b/>
          <w:bCs/>
        </w:rPr>
        <w:t xml:space="preserve">, </w:t>
      </w:r>
      <w:r w:rsidRPr="00DB123E">
        <w:rPr>
          <w:b/>
          <w:bCs/>
          <w:i/>
        </w:rPr>
        <w:t>Training and Education in Professional Psychology</w:t>
      </w:r>
    </w:p>
    <w:p w14:paraId="468FD703" w14:textId="77777777" w:rsidR="004F54E1" w:rsidRPr="00D24AD5" w:rsidRDefault="004F54E1" w:rsidP="004F54E1">
      <w:pPr>
        <w:spacing w:line="360" w:lineRule="auto"/>
        <w:jc w:val="center"/>
        <w:rPr>
          <w:b/>
          <w:bCs/>
        </w:rPr>
      </w:pPr>
      <w:r w:rsidRPr="00D24AD5">
        <w:rPr>
          <w:b/>
          <w:bCs/>
        </w:rPr>
        <w:t>http://dx.doi.org/</w:t>
      </w:r>
      <w:r w:rsidRPr="00DB123E">
        <w:rPr>
          <w:b/>
          <w:bCs/>
        </w:rPr>
        <w:t>10.1037/tep0000119</w:t>
      </w:r>
    </w:p>
    <w:p w14:paraId="61592A90" w14:textId="77FE03EB" w:rsidR="00793703" w:rsidRPr="00254673" w:rsidRDefault="00D80BA9" w:rsidP="00793703">
      <w:pPr>
        <w:spacing w:line="480" w:lineRule="auto"/>
        <w:jc w:val="center"/>
      </w:pPr>
      <w:bookmarkStart w:id="0" w:name="_GoBack"/>
      <w:bookmarkEnd w:id="0"/>
      <w:r>
        <w:t xml:space="preserve">Supplemental: </w:t>
      </w:r>
      <w:r w:rsidR="00793703" w:rsidRPr="00254673">
        <w:t>SP Character Fidelity Measure</w:t>
      </w:r>
      <w:r>
        <w:t xml:space="preserve"> used in Sub-Study</w:t>
      </w:r>
    </w:p>
    <w:p w14:paraId="34C2B459" w14:textId="77777777" w:rsidR="00793703" w:rsidRPr="001F18BC" w:rsidRDefault="00793703" w:rsidP="00793703">
      <w:pPr>
        <w:pStyle w:val="ListParagraph"/>
        <w:numPr>
          <w:ilvl w:val="0"/>
          <w:numId w:val="2"/>
        </w:numPr>
        <w:spacing w:line="480" w:lineRule="auto"/>
        <w:ind w:left="180" w:hanging="180"/>
        <w:rPr>
          <w:rFonts w:ascii="Times New Roman" w:hAnsi="Times New Roman"/>
          <w:sz w:val="24"/>
          <w:szCs w:val="24"/>
        </w:rPr>
      </w:pPr>
      <w:r>
        <w:rPr>
          <w:rFonts w:ascii="Times New Roman" w:hAnsi="Times New Roman"/>
          <w:sz w:val="24"/>
          <w:szCs w:val="24"/>
        </w:rPr>
        <w:t xml:space="preserve"> </w:t>
      </w:r>
      <w:r w:rsidRPr="00A41163">
        <w:rPr>
          <w:rFonts w:ascii="Times New Roman" w:hAnsi="Times New Roman"/>
          <w:sz w:val="24"/>
          <w:szCs w:val="24"/>
        </w:rPr>
        <w:t xml:space="preserve">SP is "moderately" cooperative with clinician:  </w:t>
      </w:r>
      <w:r w:rsidRPr="00A41163">
        <w:rPr>
          <w:rFonts w:ascii="Times New Roman" w:hAnsi="Times New Roman"/>
          <w:sz w:val="24"/>
          <w:szCs w:val="24"/>
        </w:rPr>
        <w:tab/>
      </w:r>
      <w:r w:rsidR="001D05BF">
        <w:rPr>
          <w:rFonts w:ascii="Times New Roman" w:hAnsi="Times New Roman"/>
          <w:sz w:val="24"/>
          <w:szCs w:val="24"/>
        </w:rPr>
        <w:t>(MI1, GS1, BTA1)</w:t>
      </w:r>
      <w:r w:rsidRPr="00A41163">
        <w:rPr>
          <w:rFonts w:ascii="Times New Roman" w:hAnsi="Times New Roman"/>
          <w:sz w:val="24"/>
          <w:szCs w:val="24"/>
        </w:rPr>
        <w:tab/>
      </w:r>
      <w:r w:rsidRPr="00A41163">
        <w:rPr>
          <w:rFonts w:ascii="Times New Roman" w:hAnsi="Times New Roman"/>
          <w:sz w:val="24"/>
          <w:szCs w:val="24"/>
        </w:rPr>
        <w:tab/>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793703" w:rsidRPr="00A41163" w14:paraId="59161690" w14:textId="77777777">
        <w:tc>
          <w:tcPr>
            <w:tcW w:w="2880" w:type="dxa"/>
          </w:tcPr>
          <w:p w14:paraId="2C8D9299" w14:textId="77777777" w:rsidR="00793703" w:rsidRPr="00A41163" w:rsidRDefault="00793703" w:rsidP="007E695D">
            <w:r w:rsidRPr="00A41163">
              <w:t>0 – Uncooperative</w:t>
            </w:r>
          </w:p>
          <w:p w14:paraId="4E3DD05F" w14:textId="77777777" w:rsidR="00793703" w:rsidRPr="00A41163" w:rsidRDefault="00793703" w:rsidP="007E695D"/>
          <w:p w14:paraId="346FAFB8" w14:textId="77777777" w:rsidR="00793703" w:rsidRPr="00A41163" w:rsidRDefault="00793703" w:rsidP="007E695D">
            <w:r w:rsidRPr="00A41163">
              <w:t>Resistant, rigid, or argumentative in discussions about motivation for treatment. Largely unwilling to agree to a balanced view of reasons for/against treatment.</w:t>
            </w:r>
          </w:p>
        </w:tc>
        <w:tc>
          <w:tcPr>
            <w:tcW w:w="2880" w:type="dxa"/>
          </w:tcPr>
          <w:p w14:paraId="3BB4EC34" w14:textId="77777777" w:rsidR="00793703" w:rsidRPr="00A41163" w:rsidRDefault="00793703" w:rsidP="007E695D">
            <w:r w:rsidRPr="00A41163">
              <w:t>1- Cooperative but inconsistent</w:t>
            </w:r>
          </w:p>
          <w:p w14:paraId="26D64FDF" w14:textId="77777777" w:rsidR="00793703" w:rsidRPr="00A41163" w:rsidRDefault="00793703" w:rsidP="007E695D"/>
          <w:p w14:paraId="06C2F4B5" w14:textId="77777777" w:rsidR="00793703" w:rsidRPr="00A41163" w:rsidRDefault="00793703" w:rsidP="007E695D">
            <w:r w:rsidRPr="00A41163">
              <w:t>Willing to generate goals but at times displaying excess resistance (e.g., repeatedly rejecting clinician suggestions, not answering questions) or over-enthusiasm (e.g., leading the discussion)</w:t>
            </w:r>
          </w:p>
        </w:tc>
        <w:tc>
          <w:tcPr>
            <w:tcW w:w="2880" w:type="dxa"/>
          </w:tcPr>
          <w:p w14:paraId="00327D4E" w14:textId="77777777" w:rsidR="00793703" w:rsidRPr="00A41163" w:rsidRDefault="00793703" w:rsidP="007E695D">
            <w:r w:rsidRPr="00A41163">
              <w:t>2 – Cooperative and consistent</w:t>
            </w:r>
          </w:p>
          <w:p w14:paraId="2BFDB9A2" w14:textId="77777777" w:rsidR="00793703" w:rsidRPr="00A41163" w:rsidRDefault="00793703" w:rsidP="007E695D"/>
          <w:p w14:paraId="3FC73A58" w14:textId="77777777" w:rsidR="00793703" w:rsidRPr="00A41163" w:rsidRDefault="00793703" w:rsidP="007E695D">
            <w:r w:rsidRPr="00A41163">
              <w:t xml:space="preserve">Willing and open to discussion about engaging in treatment while </w:t>
            </w:r>
            <w:proofErr w:type="gramStart"/>
            <w:r w:rsidRPr="00A41163">
              <w:t>staying  reserved</w:t>
            </w:r>
            <w:proofErr w:type="gramEnd"/>
            <w:r w:rsidRPr="00A41163">
              <w:t xml:space="preserve"> or contemplative (e.g., answering questions, agreeing to try something new but steadily expressing uncertainty)</w:t>
            </w:r>
          </w:p>
        </w:tc>
      </w:tr>
    </w:tbl>
    <w:p w14:paraId="69CCF553" w14:textId="77777777" w:rsidR="00E2485B" w:rsidRPr="00E2485B" w:rsidRDefault="00E2485B" w:rsidP="00E2485B">
      <w:pPr>
        <w:spacing w:line="480" w:lineRule="auto"/>
      </w:pPr>
    </w:p>
    <w:p w14:paraId="3F6C6EED" w14:textId="77777777" w:rsidR="00793703" w:rsidRPr="001F18BC" w:rsidRDefault="00793703" w:rsidP="00793703">
      <w:pPr>
        <w:pStyle w:val="ListParagraph"/>
        <w:numPr>
          <w:ilvl w:val="0"/>
          <w:numId w:val="2"/>
        </w:numPr>
        <w:spacing w:line="480" w:lineRule="auto"/>
        <w:ind w:left="180" w:hanging="180"/>
        <w:rPr>
          <w:rFonts w:ascii="Times New Roman" w:hAnsi="Times New Roman"/>
          <w:sz w:val="24"/>
          <w:szCs w:val="24"/>
        </w:rPr>
      </w:pPr>
      <w:r w:rsidRPr="00A41163">
        <w:rPr>
          <w:rFonts w:ascii="Times New Roman" w:hAnsi="Times New Roman"/>
          <w:sz w:val="24"/>
          <w:szCs w:val="24"/>
        </w:rPr>
        <w:t xml:space="preserve">SP volunteers the right amount of information: </w:t>
      </w:r>
      <w:r w:rsidRPr="00A41163">
        <w:rPr>
          <w:rFonts w:ascii="Times New Roman" w:hAnsi="Times New Roman"/>
          <w:sz w:val="24"/>
          <w:szCs w:val="24"/>
        </w:rPr>
        <w:tab/>
      </w:r>
      <w:r w:rsidRPr="00A41163">
        <w:rPr>
          <w:rFonts w:ascii="Times New Roman" w:hAnsi="Times New Roman"/>
          <w:sz w:val="24"/>
          <w:szCs w:val="24"/>
        </w:rPr>
        <w:tab/>
      </w:r>
      <w:r w:rsidR="001D05BF">
        <w:rPr>
          <w:rFonts w:ascii="Times New Roman" w:hAnsi="Times New Roman"/>
          <w:sz w:val="24"/>
          <w:szCs w:val="24"/>
        </w:rPr>
        <w:t>(MI2, GS2, BTA2)</w:t>
      </w:r>
      <w:r w:rsidRPr="00A41163">
        <w:rPr>
          <w:rFonts w:ascii="Times New Roman" w:hAnsi="Times New Roman"/>
          <w:sz w:val="24"/>
          <w:szCs w:val="24"/>
        </w:rPr>
        <w:tab/>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793703" w:rsidRPr="00A41163" w14:paraId="0D588910" w14:textId="77777777">
        <w:tc>
          <w:tcPr>
            <w:tcW w:w="2880" w:type="dxa"/>
          </w:tcPr>
          <w:p w14:paraId="3DE8410E" w14:textId="77777777" w:rsidR="00793703" w:rsidRPr="00A41163" w:rsidRDefault="00793703" w:rsidP="007E695D">
            <w:r w:rsidRPr="00A41163">
              <w:t>0 – Volunteers too much or too little information</w:t>
            </w:r>
          </w:p>
          <w:p w14:paraId="12149074" w14:textId="77777777" w:rsidR="00793703" w:rsidRPr="00A41163" w:rsidRDefault="00793703" w:rsidP="007E695D"/>
          <w:p w14:paraId="39F667DD" w14:textId="77777777" w:rsidR="00793703" w:rsidRPr="00A41163" w:rsidRDefault="00793703" w:rsidP="007E695D">
            <w:r w:rsidRPr="00A41163">
              <w:t>Volunteers information prematurely (before a question is asked), or routinely offers more info than was requested.  May be "filling the silence" or seeming to try to aid or “save” the clinician. Alternatively, SP withholds too much or seems to be “road-blocking”.</w:t>
            </w:r>
          </w:p>
        </w:tc>
        <w:tc>
          <w:tcPr>
            <w:tcW w:w="2880" w:type="dxa"/>
          </w:tcPr>
          <w:p w14:paraId="3CFB6C31" w14:textId="77777777" w:rsidR="00793703" w:rsidRPr="00A41163" w:rsidRDefault="00793703" w:rsidP="007E695D">
            <w:r w:rsidRPr="00A41163">
              <w:t>1 – Volunteers the right amount of information but inconsistent</w:t>
            </w:r>
          </w:p>
          <w:p w14:paraId="147264A7" w14:textId="77777777" w:rsidR="00793703" w:rsidRPr="00A41163" w:rsidRDefault="00793703" w:rsidP="007E695D"/>
          <w:p w14:paraId="038C0DC6" w14:textId="77777777" w:rsidR="00793703" w:rsidRPr="00A41163" w:rsidRDefault="00793703" w:rsidP="007E695D">
            <w:r w:rsidRPr="00A41163">
              <w:t xml:space="preserve">Info contained in </w:t>
            </w:r>
            <w:r>
              <w:t>SPs</w:t>
            </w:r>
            <w:r w:rsidRPr="00A41163">
              <w:t xml:space="preserve"> answer is well matched to what was asked but occasionally volunteers too much or too little info or does so in a way that comes across as "leading/saving" or “road-blocking” the clinician.</w:t>
            </w:r>
          </w:p>
        </w:tc>
        <w:tc>
          <w:tcPr>
            <w:tcW w:w="2880" w:type="dxa"/>
          </w:tcPr>
          <w:p w14:paraId="2EF913C3" w14:textId="77777777" w:rsidR="00793703" w:rsidRPr="00A41163" w:rsidRDefault="00793703" w:rsidP="007E695D">
            <w:r w:rsidRPr="00A41163">
              <w:t xml:space="preserve">2 – Volunteers the right amount of information and consistent </w:t>
            </w:r>
          </w:p>
          <w:p w14:paraId="2477E779" w14:textId="77777777" w:rsidR="00793703" w:rsidRPr="00A41163" w:rsidRDefault="00793703" w:rsidP="007E695D"/>
          <w:p w14:paraId="26F7D950" w14:textId="77777777" w:rsidR="00793703" w:rsidRPr="00A41163" w:rsidRDefault="00793703" w:rsidP="007E695D">
            <w:r w:rsidRPr="00A41163">
              <w:t xml:space="preserve">SP brings in background as appropriate but does not volunteer a lot of free information. Info contained in </w:t>
            </w:r>
            <w:r>
              <w:t>SPs</w:t>
            </w:r>
            <w:r w:rsidRPr="00A41163">
              <w:t xml:space="preserve"> answers is consistently matched to the question asked. There is no sense that the SP is either “leading” or “blocking” the clinician. </w:t>
            </w:r>
          </w:p>
        </w:tc>
      </w:tr>
    </w:tbl>
    <w:p w14:paraId="66234C9F" w14:textId="77777777" w:rsidR="00E2485B" w:rsidRPr="00E2485B" w:rsidRDefault="00E2485B" w:rsidP="00E2485B">
      <w:pPr>
        <w:spacing w:line="480" w:lineRule="auto"/>
      </w:pPr>
    </w:p>
    <w:p w14:paraId="188EEABB" w14:textId="77777777" w:rsidR="00793703" w:rsidRPr="001F18BC" w:rsidRDefault="00793703" w:rsidP="00793703">
      <w:pPr>
        <w:pStyle w:val="ListParagraph"/>
        <w:numPr>
          <w:ilvl w:val="0"/>
          <w:numId w:val="2"/>
        </w:numPr>
        <w:spacing w:line="480" w:lineRule="auto"/>
        <w:ind w:left="180" w:hanging="180"/>
        <w:rPr>
          <w:rFonts w:ascii="Times New Roman" w:hAnsi="Times New Roman"/>
          <w:sz w:val="24"/>
          <w:szCs w:val="24"/>
        </w:rPr>
      </w:pPr>
      <w:r w:rsidRPr="00A41163">
        <w:rPr>
          <w:rFonts w:ascii="Times New Roman" w:hAnsi="Times New Roman"/>
          <w:sz w:val="24"/>
          <w:szCs w:val="24"/>
        </w:rPr>
        <w:t>SP is consistent with general disposition described for "Robert":</w:t>
      </w:r>
      <w:r w:rsidRPr="00A41163">
        <w:rPr>
          <w:rFonts w:ascii="Times New Roman" w:hAnsi="Times New Roman"/>
          <w:sz w:val="24"/>
          <w:szCs w:val="24"/>
        </w:rPr>
        <w:tab/>
      </w:r>
      <w:r w:rsidR="001D05BF">
        <w:rPr>
          <w:rFonts w:ascii="Times New Roman" w:hAnsi="Times New Roman"/>
          <w:sz w:val="24"/>
          <w:szCs w:val="24"/>
        </w:rPr>
        <w:t>(MI3, GS3, BTA3)</w:t>
      </w:r>
      <w:r w:rsidR="001D05BF" w:rsidRPr="00A41163">
        <w:rPr>
          <w:rFonts w:ascii="Times New Roman" w:hAnsi="Times New Roman"/>
          <w:sz w:val="24"/>
          <w:szCs w:val="24"/>
        </w:rPr>
        <w:tab/>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793703" w:rsidRPr="00A41163" w14:paraId="06A24690" w14:textId="77777777">
        <w:tc>
          <w:tcPr>
            <w:tcW w:w="2880" w:type="dxa"/>
          </w:tcPr>
          <w:p w14:paraId="3DCFB916" w14:textId="77777777" w:rsidR="00793703" w:rsidRPr="00A41163" w:rsidRDefault="00793703" w:rsidP="007E695D">
            <w:r w:rsidRPr="00A41163">
              <w:t xml:space="preserve">0 – Consistently portrays 1 of the following </w:t>
            </w:r>
            <w:r w:rsidRPr="00A41163">
              <w:lastRenderedPageBreak/>
              <w:t>characteristics:</w:t>
            </w:r>
          </w:p>
          <w:p w14:paraId="64FC60D3" w14:textId="77777777" w:rsidR="00793703" w:rsidRPr="00A41163" w:rsidRDefault="00793703" w:rsidP="007E695D">
            <w:pPr>
              <w:numPr>
                <w:ilvl w:val="0"/>
                <w:numId w:val="1"/>
              </w:numPr>
            </w:pPr>
            <w:r w:rsidRPr="00A41163">
              <w:t>Likable</w:t>
            </w:r>
          </w:p>
          <w:p w14:paraId="411B64B4" w14:textId="77777777" w:rsidR="00793703" w:rsidRPr="00A41163" w:rsidRDefault="00793703" w:rsidP="007E695D">
            <w:pPr>
              <w:numPr>
                <w:ilvl w:val="0"/>
                <w:numId w:val="1"/>
              </w:numPr>
            </w:pPr>
            <w:r w:rsidRPr="00A41163">
              <w:t>Calm</w:t>
            </w:r>
          </w:p>
          <w:p w14:paraId="52F3365D" w14:textId="77777777" w:rsidR="00793703" w:rsidRPr="00A41163" w:rsidRDefault="00793703" w:rsidP="007E695D">
            <w:pPr>
              <w:numPr>
                <w:ilvl w:val="0"/>
                <w:numId w:val="1"/>
              </w:numPr>
            </w:pPr>
            <w:r w:rsidRPr="00A41163">
              <w:t>Emotionally subdued</w:t>
            </w:r>
          </w:p>
        </w:tc>
        <w:tc>
          <w:tcPr>
            <w:tcW w:w="2880" w:type="dxa"/>
          </w:tcPr>
          <w:p w14:paraId="577979FB" w14:textId="77777777" w:rsidR="00793703" w:rsidRPr="00A41163" w:rsidRDefault="00793703" w:rsidP="007E695D">
            <w:r w:rsidRPr="00A41163">
              <w:lastRenderedPageBreak/>
              <w:t xml:space="preserve">1 – Consistently portrays at least 2 the following </w:t>
            </w:r>
            <w:r w:rsidRPr="00A41163">
              <w:lastRenderedPageBreak/>
              <w:t>characteristics:</w:t>
            </w:r>
          </w:p>
          <w:p w14:paraId="6A49771C" w14:textId="77777777" w:rsidR="00793703" w:rsidRPr="00A41163" w:rsidRDefault="00793703" w:rsidP="007E695D">
            <w:pPr>
              <w:numPr>
                <w:ilvl w:val="0"/>
                <w:numId w:val="1"/>
              </w:numPr>
            </w:pPr>
            <w:r w:rsidRPr="00A41163">
              <w:t>Likable</w:t>
            </w:r>
          </w:p>
          <w:p w14:paraId="1F6B60B7" w14:textId="77777777" w:rsidR="00793703" w:rsidRPr="00A41163" w:rsidRDefault="00793703" w:rsidP="007E695D">
            <w:pPr>
              <w:numPr>
                <w:ilvl w:val="0"/>
                <w:numId w:val="1"/>
              </w:numPr>
            </w:pPr>
            <w:r w:rsidRPr="00A41163">
              <w:t>Calm</w:t>
            </w:r>
          </w:p>
          <w:p w14:paraId="756A0366" w14:textId="77777777" w:rsidR="00793703" w:rsidRPr="00A41163" w:rsidRDefault="00793703" w:rsidP="007E695D">
            <w:pPr>
              <w:numPr>
                <w:ilvl w:val="0"/>
                <w:numId w:val="1"/>
              </w:numPr>
            </w:pPr>
            <w:r w:rsidRPr="00A41163">
              <w:t>Emotionally subdued</w:t>
            </w:r>
          </w:p>
        </w:tc>
        <w:tc>
          <w:tcPr>
            <w:tcW w:w="2880" w:type="dxa"/>
          </w:tcPr>
          <w:p w14:paraId="7F1165B9" w14:textId="77777777" w:rsidR="00793703" w:rsidRPr="00A41163" w:rsidRDefault="00793703" w:rsidP="007E695D">
            <w:r w:rsidRPr="00A41163">
              <w:lastRenderedPageBreak/>
              <w:t xml:space="preserve">2 – Consistently portrays all 3 of the following </w:t>
            </w:r>
            <w:r w:rsidRPr="00A41163">
              <w:lastRenderedPageBreak/>
              <w:t>characteristics:</w:t>
            </w:r>
          </w:p>
          <w:p w14:paraId="59786C35" w14:textId="77777777" w:rsidR="00793703" w:rsidRPr="00A41163" w:rsidRDefault="00793703" w:rsidP="007E695D">
            <w:pPr>
              <w:numPr>
                <w:ilvl w:val="0"/>
                <w:numId w:val="1"/>
              </w:numPr>
            </w:pPr>
            <w:r w:rsidRPr="00A41163">
              <w:t>Likable</w:t>
            </w:r>
          </w:p>
          <w:p w14:paraId="7BDC0CC9" w14:textId="77777777" w:rsidR="00793703" w:rsidRPr="00A41163" w:rsidRDefault="00793703" w:rsidP="007E695D">
            <w:pPr>
              <w:numPr>
                <w:ilvl w:val="0"/>
                <w:numId w:val="1"/>
              </w:numPr>
            </w:pPr>
            <w:r w:rsidRPr="00A41163">
              <w:t>Calm</w:t>
            </w:r>
          </w:p>
          <w:p w14:paraId="43E36B90" w14:textId="77777777" w:rsidR="00793703" w:rsidRPr="00A41163" w:rsidRDefault="00793703" w:rsidP="007E695D">
            <w:pPr>
              <w:numPr>
                <w:ilvl w:val="0"/>
                <w:numId w:val="1"/>
              </w:numPr>
            </w:pPr>
            <w:r w:rsidRPr="00A41163">
              <w:t>Emotionally subdued</w:t>
            </w:r>
          </w:p>
        </w:tc>
      </w:tr>
      <w:tr w:rsidR="00793703" w:rsidRPr="00A41163" w14:paraId="70F5F410" w14:textId="77777777">
        <w:tc>
          <w:tcPr>
            <w:tcW w:w="8640" w:type="dxa"/>
            <w:gridSpan w:val="3"/>
          </w:tcPr>
          <w:p w14:paraId="0C88A386" w14:textId="24D1DCF4" w:rsidR="00793703" w:rsidRPr="00A41163" w:rsidRDefault="00793703" w:rsidP="007E695D">
            <w:r w:rsidRPr="00A41163">
              <w:lastRenderedPageBreak/>
              <w:t>Likable = pleasing, genial</w:t>
            </w:r>
            <w:r w:rsidR="00E2485B">
              <w:t xml:space="preserve">, </w:t>
            </w:r>
            <w:r w:rsidRPr="00A41163">
              <w:t>Calm = implies the a</w:t>
            </w:r>
            <w:r w:rsidR="00E2485B">
              <w:t xml:space="preserve">bsence of significant agitation, </w:t>
            </w:r>
            <w:r w:rsidRPr="00A41163">
              <w:t>Subdued = muted, quiet, reduced in intensity</w:t>
            </w:r>
          </w:p>
        </w:tc>
      </w:tr>
    </w:tbl>
    <w:p w14:paraId="26A10658" w14:textId="77777777" w:rsidR="00793703" w:rsidRPr="00A41163" w:rsidRDefault="00793703" w:rsidP="00793703">
      <w:pPr>
        <w:spacing w:line="480" w:lineRule="auto"/>
        <w:ind w:left="720"/>
      </w:pPr>
    </w:p>
    <w:p w14:paraId="0A7D339E" w14:textId="77777777" w:rsidR="00793703" w:rsidRPr="001F18BC" w:rsidRDefault="00793703" w:rsidP="00793703">
      <w:pPr>
        <w:pStyle w:val="ListParagraph"/>
        <w:numPr>
          <w:ilvl w:val="0"/>
          <w:numId w:val="2"/>
        </w:numPr>
        <w:spacing w:line="480" w:lineRule="auto"/>
        <w:ind w:left="180" w:hanging="180"/>
        <w:rPr>
          <w:rFonts w:ascii="Times New Roman" w:hAnsi="Times New Roman"/>
          <w:sz w:val="24"/>
          <w:szCs w:val="24"/>
        </w:rPr>
      </w:pPr>
      <w:r>
        <w:rPr>
          <w:rFonts w:ascii="Times New Roman" w:hAnsi="Times New Roman"/>
          <w:sz w:val="24"/>
          <w:szCs w:val="24"/>
        </w:rPr>
        <w:t xml:space="preserve"> </w:t>
      </w:r>
      <w:r w:rsidRPr="00A41163">
        <w:rPr>
          <w:rFonts w:ascii="Times New Roman" w:hAnsi="Times New Roman"/>
          <w:sz w:val="24"/>
          <w:szCs w:val="24"/>
        </w:rPr>
        <w:t xml:space="preserve">SP appears authentic in terms of portraying a natural character: </w:t>
      </w:r>
      <w:r w:rsidRPr="00A41163">
        <w:rPr>
          <w:rFonts w:ascii="Times New Roman" w:hAnsi="Times New Roman"/>
          <w:sz w:val="24"/>
          <w:szCs w:val="24"/>
        </w:rPr>
        <w:tab/>
      </w:r>
      <w:r w:rsidR="001D05BF">
        <w:rPr>
          <w:rFonts w:ascii="Times New Roman" w:hAnsi="Times New Roman"/>
          <w:sz w:val="24"/>
          <w:szCs w:val="24"/>
        </w:rPr>
        <w:t>(MI4, GS4, BTA4)</w:t>
      </w:r>
      <w:r w:rsidR="001D05BF" w:rsidRPr="00A41163">
        <w:rPr>
          <w:rFonts w:ascii="Times New Roman" w:hAnsi="Times New Roman"/>
          <w:sz w:val="24"/>
          <w:szCs w:val="24"/>
        </w:rPr>
        <w:tab/>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793703" w:rsidRPr="00A41163" w14:paraId="1189B1BE" w14:textId="77777777">
        <w:tc>
          <w:tcPr>
            <w:tcW w:w="2880" w:type="dxa"/>
          </w:tcPr>
          <w:p w14:paraId="0031D91E" w14:textId="77777777" w:rsidR="00793703" w:rsidRPr="00A41163" w:rsidRDefault="00793703" w:rsidP="007E695D">
            <w:r w:rsidRPr="00A41163">
              <w:t>0 – Seems to be clearly role playing or breaks role</w:t>
            </w:r>
          </w:p>
          <w:p w14:paraId="13630787" w14:textId="77777777" w:rsidR="00793703" w:rsidRPr="00A41163" w:rsidRDefault="00793703" w:rsidP="007E695D"/>
          <w:p w14:paraId="59247F4A" w14:textId="77777777" w:rsidR="00793703" w:rsidRPr="00A41163" w:rsidRDefault="00793703" w:rsidP="007E695D">
            <w:r w:rsidRPr="00A41163">
              <w:t>Repeats the same statements multiple times, does not use information from background description to 'fill out' the discussion, or 'ad libs' with inconsistent/unrealistic material. Portrayal seems flat and mechanical.</w:t>
            </w:r>
          </w:p>
        </w:tc>
        <w:tc>
          <w:tcPr>
            <w:tcW w:w="2880" w:type="dxa"/>
          </w:tcPr>
          <w:p w14:paraId="68341965" w14:textId="77777777" w:rsidR="00793703" w:rsidRPr="00A41163" w:rsidRDefault="00793703" w:rsidP="007E695D">
            <w:r w:rsidRPr="00A41163">
              <w:t>1 – Seems mostly authentic and breaks role only once, if at all.</w:t>
            </w:r>
          </w:p>
          <w:p w14:paraId="31BF301A" w14:textId="77777777" w:rsidR="00793703" w:rsidRPr="00A41163" w:rsidRDefault="00793703" w:rsidP="007E695D"/>
          <w:p w14:paraId="0EA52B51" w14:textId="77777777" w:rsidR="00793703" w:rsidRPr="00A41163" w:rsidRDefault="00793703" w:rsidP="007E695D">
            <w:r w:rsidRPr="00A41163">
              <w:t>Portrayal may seem flat and mechanical at times, but only briefly. SP uses information from background description or appropriately 'ad libs' to fill in the discussion. SP responds in a 'common sense' manner to inquiries.</w:t>
            </w:r>
          </w:p>
        </w:tc>
        <w:tc>
          <w:tcPr>
            <w:tcW w:w="2880" w:type="dxa"/>
          </w:tcPr>
          <w:p w14:paraId="717B7C0B" w14:textId="77777777" w:rsidR="00793703" w:rsidRPr="00A41163" w:rsidRDefault="00793703" w:rsidP="007E695D">
            <w:r w:rsidRPr="00A41163">
              <w:t>2 – Appears authentic and does not break role</w:t>
            </w:r>
          </w:p>
          <w:p w14:paraId="2952A5FD" w14:textId="77777777" w:rsidR="00793703" w:rsidRPr="00A41163" w:rsidRDefault="00793703" w:rsidP="007E695D"/>
          <w:p w14:paraId="62B69547" w14:textId="77777777" w:rsidR="00793703" w:rsidRPr="00A41163" w:rsidRDefault="00793703" w:rsidP="007E695D">
            <w:r w:rsidRPr="00A41163">
              <w:t>Portrayal seems rich and natural, SP uses info from background description and/or appropriately 'ad libs' to deepen and add variety.  SP responds in a 'common sense' manner to inquiries; it's hard to tell whether he is acting or not.</w:t>
            </w:r>
          </w:p>
        </w:tc>
      </w:tr>
    </w:tbl>
    <w:p w14:paraId="6A747D8B" w14:textId="77777777" w:rsidR="00793703" w:rsidRPr="00A41163" w:rsidRDefault="00793703" w:rsidP="00793703">
      <w:pPr>
        <w:spacing w:line="480" w:lineRule="auto"/>
      </w:pPr>
    </w:p>
    <w:tbl>
      <w:tblPr>
        <w:tblpPr w:leftFromText="180" w:rightFromText="180" w:vertAnchor="text" w:horzAnchor="page" w:tblpX="1909" w:tblpY="7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880"/>
        <w:gridCol w:w="2880"/>
      </w:tblGrid>
      <w:tr w:rsidR="00793703" w:rsidRPr="00A41163" w14:paraId="7E9266AA" w14:textId="77777777" w:rsidTr="00793703">
        <w:tc>
          <w:tcPr>
            <w:tcW w:w="2880" w:type="dxa"/>
          </w:tcPr>
          <w:p w14:paraId="12012E31" w14:textId="77777777" w:rsidR="00793703" w:rsidRPr="00A41163" w:rsidRDefault="00793703" w:rsidP="00793703">
            <w:r w:rsidRPr="00A41163">
              <w:t xml:space="preserve">0 – Does not present like a </w:t>
            </w:r>
            <w:proofErr w:type="gramStart"/>
            <w:r w:rsidRPr="00A41163">
              <w:t>patient  distress</w:t>
            </w:r>
            <w:proofErr w:type="gramEnd"/>
            <w:r w:rsidRPr="00A41163">
              <w:t xml:space="preserve"> or with functional disability </w:t>
            </w:r>
          </w:p>
          <w:p w14:paraId="5255C878" w14:textId="77777777" w:rsidR="00793703" w:rsidRPr="00A41163" w:rsidRDefault="00793703" w:rsidP="00793703"/>
          <w:p w14:paraId="3FF8860D" w14:textId="77777777" w:rsidR="00793703" w:rsidRPr="00A41163" w:rsidRDefault="00793703" w:rsidP="00793703">
            <w:r w:rsidRPr="00A41163">
              <w:t>SP does not capture emotional tone and behavior of a patient who is in distress or has a functional disability, which would be reflective of a psychiatric diagnosis.  May use clinical or technical terminology indicative of formal training in mental health (e.g., "lethargic", "despondent", "clinical distress", "vegetative").</w:t>
            </w:r>
          </w:p>
        </w:tc>
        <w:tc>
          <w:tcPr>
            <w:tcW w:w="2880" w:type="dxa"/>
          </w:tcPr>
          <w:p w14:paraId="3C3B6E20" w14:textId="77777777" w:rsidR="00793703" w:rsidRPr="00A41163" w:rsidRDefault="00793703" w:rsidP="00793703">
            <w:r w:rsidRPr="00A41163">
              <w:t>1 – Presents like a patient with some distress or with some functional disability</w:t>
            </w:r>
          </w:p>
          <w:p w14:paraId="4EFC8D74" w14:textId="77777777" w:rsidR="00793703" w:rsidRPr="00A41163" w:rsidRDefault="00793703" w:rsidP="00793703"/>
          <w:p w14:paraId="49CB6E16" w14:textId="77777777" w:rsidR="00793703" w:rsidRPr="00A41163" w:rsidRDefault="00793703" w:rsidP="00793703">
            <w:r w:rsidRPr="00A41163">
              <w:t>SP generally captures the emotional tone and behavior of a patient who is in distress or has a functional disability, which would be reflective of a psychiatric diagnosis. Gives a convincing portrayal of low motivation, doubt, rigid thinking and negativity.  Only occasional use of clinical/technical terms.</w:t>
            </w:r>
          </w:p>
        </w:tc>
        <w:tc>
          <w:tcPr>
            <w:tcW w:w="2880" w:type="dxa"/>
          </w:tcPr>
          <w:p w14:paraId="1C4B1EC2" w14:textId="77777777" w:rsidR="00793703" w:rsidRPr="00A41163" w:rsidRDefault="00793703" w:rsidP="00793703">
            <w:r w:rsidRPr="00A41163">
              <w:t>2 – Consistently presents like a patient in distress or with functional disability</w:t>
            </w:r>
          </w:p>
          <w:p w14:paraId="08E7A703" w14:textId="77777777" w:rsidR="00793703" w:rsidRPr="00A41163" w:rsidRDefault="00793703" w:rsidP="00793703"/>
          <w:p w14:paraId="39FEC9D9" w14:textId="77777777" w:rsidR="00793703" w:rsidRPr="00A41163" w:rsidRDefault="00793703" w:rsidP="00793703">
            <w:r w:rsidRPr="00A41163">
              <w:t>SP captures the emotional tone and behavior of a patient who is in distress or has a functional disability, which would be reflective of a psychiatric diagnosis. Gives a convincing portrayal of low motivation, doubt, rigid thinking and negativity.  Does not use overly technical/clinical terms.</w:t>
            </w:r>
          </w:p>
        </w:tc>
      </w:tr>
    </w:tbl>
    <w:p w14:paraId="517989FC" w14:textId="77777777" w:rsidR="00761D30" w:rsidRPr="00793703" w:rsidRDefault="00793703" w:rsidP="00793703">
      <w:pPr>
        <w:pStyle w:val="ListParagraph"/>
        <w:numPr>
          <w:ilvl w:val="0"/>
          <w:numId w:val="2"/>
        </w:numPr>
        <w:ind w:left="180" w:hanging="180"/>
        <w:rPr>
          <w:rFonts w:ascii="Times New Roman" w:hAnsi="Times New Roman"/>
          <w:sz w:val="24"/>
        </w:rPr>
      </w:pPr>
      <w:r>
        <w:rPr>
          <w:rFonts w:ascii="Times New Roman" w:hAnsi="Times New Roman"/>
          <w:sz w:val="24"/>
        </w:rPr>
        <w:t xml:space="preserve"> </w:t>
      </w:r>
      <w:r w:rsidRPr="00793703">
        <w:rPr>
          <w:rFonts w:ascii="Times New Roman" w:hAnsi="Times New Roman"/>
          <w:sz w:val="24"/>
        </w:rPr>
        <w:t>SP appears authentic in terms of portraying a patient with distress or with a functional disability reflective of a psychiatric diagnosis:</w:t>
      </w:r>
      <w:r w:rsidRPr="00793703">
        <w:rPr>
          <w:rFonts w:ascii="Times New Roman" w:hAnsi="Times New Roman"/>
          <w:sz w:val="24"/>
        </w:rPr>
        <w:tab/>
      </w:r>
      <w:r w:rsidR="001D05BF">
        <w:rPr>
          <w:rFonts w:ascii="Times New Roman" w:hAnsi="Times New Roman"/>
          <w:sz w:val="24"/>
          <w:szCs w:val="24"/>
        </w:rPr>
        <w:t>(MI5, GS5, BTA5)</w:t>
      </w:r>
      <w:r w:rsidR="001D05BF" w:rsidRPr="00A41163">
        <w:rPr>
          <w:rFonts w:ascii="Times New Roman" w:hAnsi="Times New Roman"/>
          <w:sz w:val="24"/>
          <w:szCs w:val="24"/>
        </w:rPr>
        <w:tab/>
      </w:r>
    </w:p>
    <w:sectPr w:rsidR="00761D30" w:rsidRPr="00793703" w:rsidSect="00F84D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555"/>
    <w:multiLevelType w:val="hybridMultilevel"/>
    <w:tmpl w:val="4020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9B4CB5"/>
    <w:multiLevelType w:val="hybridMultilevel"/>
    <w:tmpl w:val="F49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703"/>
    <w:rsid w:val="0017063E"/>
    <w:rsid w:val="001D05BF"/>
    <w:rsid w:val="004F54E1"/>
    <w:rsid w:val="00793703"/>
    <w:rsid w:val="00D80BA9"/>
    <w:rsid w:val="00E248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DD5CF"/>
  <w15:docId w15:val="{30D9B1E8-BBA6-4972-864D-56DDC2CE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9370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703"/>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Sears</dc:creator>
  <cp:lastModifiedBy>Chauhan, Ashish</cp:lastModifiedBy>
  <cp:revision>6</cp:revision>
  <dcterms:created xsi:type="dcterms:W3CDTF">2013-09-26T22:50:00Z</dcterms:created>
  <dcterms:modified xsi:type="dcterms:W3CDTF">2016-06-25T09:22:00Z</dcterms:modified>
</cp:coreProperties>
</file>