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CC8F" w14:textId="77777777" w:rsidR="00935698" w:rsidRDefault="00935698" w:rsidP="002D724F">
      <w:pPr>
        <w:spacing w:line="480" w:lineRule="auto"/>
      </w:pPr>
    </w:p>
    <w:p w14:paraId="0C0B2BA2" w14:textId="77777777" w:rsidR="00832132" w:rsidRDefault="00832132" w:rsidP="002D724F">
      <w:pPr>
        <w:spacing w:line="480" w:lineRule="auto"/>
      </w:pPr>
    </w:p>
    <w:p w14:paraId="02F8E1BD" w14:textId="77777777" w:rsidR="002D724F" w:rsidRDefault="002D724F" w:rsidP="002D724F">
      <w:pPr>
        <w:spacing w:line="480" w:lineRule="auto"/>
      </w:pPr>
    </w:p>
    <w:p w14:paraId="3BB23CCD" w14:textId="3FD369DA" w:rsidR="00326101" w:rsidRDefault="00326101" w:rsidP="003C0631">
      <w:pPr>
        <w:spacing w:line="480" w:lineRule="auto"/>
        <w:jc w:val="center"/>
        <w:rPr>
          <w:b/>
        </w:rPr>
      </w:pPr>
      <w:r>
        <w:rPr>
          <w:b/>
        </w:rPr>
        <w:t>Supplement:</w:t>
      </w:r>
    </w:p>
    <w:p w14:paraId="210EA33B" w14:textId="77777777" w:rsidR="004F1D26" w:rsidRDefault="004F1D26" w:rsidP="004F1D26">
      <w:pPr>
        <w:spacing w:line="480" w:lineRule="auto"/>
        <w:jc w:val="center"/>
        <w:rPr>
          <w:b/>
        </w:rPr>
      </w:pPr>
      <w:r>
        <w:rPr>
          <w:b/>
        </w:rPr>
        <w:t>Consequences</w:t>
      </w:r>
      <w:r w:rsidRPr="00DE28AA">
        <w:rPr>
          <w:b/>
        </w:rPr>
        <w:t xml:space="preserve">, </w:t>
      </w:r>
      <w:r>
        <w:rPr>
          <w:b/>
        </w:rPr>
        <w:t>Norms</w:t>
      </w:r>
      <w:r w:rsidRPr="00DE28AA">
        <w:rPr>
          <w:b/>
        </w:rPr>
        <w:t xml:space="preserve">, and </w:t>
      </w:r>
      <w:r>
        <w:rPr>
          <w:b/>
        </w:rPr>
        <w:t>Generalized Ina</w:t>
      </w:r>
      <w:r w:rsidRPr="00DE28AA">
        <w:rPr>
          <w:b/>
        </w:rPr>
        <w:t>ction</w:t>
      </w:r>
      <w:r>
        <w:rPr>
          <w:b/>
        </w:rPr>
        <w:t xml:space="preserve"> in Moral Dilemmas:</w:t>
      </w:r>
      <w:r w:rsidRPr="00DE28AA">
        <w:rPr>
          <w:b/>
        </w:rPr>
        <w:t xml:space="preserve"> </w:t>
      </w:r>
    </w:p>
    <w:p w14:paraId="4998DA69" w14:textId="77777777" w:rsidR="004F1D26" w:rsidRDefault="004F1D26" w:rsidP="004F1D26">
      <w:pPr>
        <w:spacing w:line="480" w:lineRule="auto"/>
        <w:jc w:val="center"/>
        <w:rPr>
          <w:b/>
        </w:rPr>
      </w:pPr>
      <w:r>
        <w:rPr>
          <w:b/>
        </w:rPr>
        <w:t>The CNI Model of Moral Decision-Making</w:t>
      </w:r>
    </w:p>
    <w:p w14:paraId="02E44193" w14:textId="77777777" w:rsidR="002D724F" w:rsidRDefault="002D724F" w:rsidP="002D724F">
      <w:pPr>
        <w:spacing w:line="480" w:lineRule="auto"/>
        <w:jc w:val="center"/>
      </w:pPr>
    </w:p>
    <w:p w14:paraId="2CA4CBF5" w14:textId="41DD41D6" w:rsidR="005A5ADB" w:rsidRPr="00BF798B" w:rsidRDefault="005A5ADB" w:rsidP="002D724F">
      <w:pPr>
        <w:spacing w:line="480" w:lineRule="auto"/>
        <w:jc w:val="center"/>
        <w:rPr>
          <w:i/>
          <w:lang w:val="de-DE"/>
        </w:rPr>
      </w:pPr>
    </w:p>
    <w:p w14:paraId="4885A24E" w14:textId="77777777" w:rsidR="002D724F" w:rsidRPr="00BF798B" w:rsidRDefault="002D724F" w:rsidP="002D724F">
      <w:pPr>
        <w:spacing w:line="480" w:lineRule="auto"/>
        <w:rPr>
          <w:lang w:val="de-DE"/>
        </w:rPr>
      </w:pPr>
    </w:p>
    <w:p w14:paraId="3C38F9EF" w14:textId="77777777" w:rsidR="002D724F" w:rsidRPr="00BF798B" w:rsidRDefault="002D724F">
      <w:pPr>
        <w:spacing w:after="160" w:line="259" w:lineRule="auto"/>
        <w:rPr>
          <w:lang w:val="de-DE"/>
        </w:rPr>
      </w:pPr>
    </w:p>
    <w:p w14:paraId="63D88550" w14:textId="77777777" w:rsidR="00FF1E43" w:rsidRPr="00BF798B" w:rsidRDefault="00FF1E43">
      <w:pPr>
        <w:spacing w:after="160" w:line="259" w:lineRule="auto"/>
        <w:rPr>
          <w:lang w:val="de-DE"/>
        </w:rPr>
      </w:pPr>
    </w:p>
    <w:p w14:paraId="52206B10" w14:textId="77777777" w:rsidR="00FF1E43" w:rsidRPr="00BF798B" w:rsidRDefault="00FF1E43">
      <w:pPr>
        <w:spacing w:after="160" w:line="259" w:lineRule="auto"/>
        <w:rPr>
          <w:lang w:val="de-DE"/>
        </w:rPr>
      </w:pPr>
    </w:p>
    <w:p w14:paraId="3BC08C7F" w14:textId="77777777" w:rsidR="005A5ADB" w:rsidRPr="00BF798B" w:rsidRDefault="005A5ADB">
      <w:pPr>
        <w:spacing w:after="160" w:line="259" w:lineRule="auto"/>
        <w:rPr>
          <w:b/>
          <w:lang w:val="de-DE"/>
        </w:rPr>
      </w:pPr>
      <w:r w:rsidRPr="00BF798B">
        <w:rPr>
          <w:b/>
          <w:lang w:val="de-DE"/>
        </w:rPr>
        <w:br w:type="page"/>
      </w:r>
    </w:p>
    <w:p w14:paraId="11CAE6FA" w14:textId="5BCBDC25" w:rsidR="00A731C2" w:rsidRDefault="00A731C2" w:rsidP="00A731C2">
      <w:pPr>
        <w:pStyle w:val="Heading1"/>
      </w:pPr>
      <w:r>
        <w:lastRenderedPageBreak/>
        <w:t xml:space="preserve">Study </w:t>
      </w:r>
      <w:r w:rsidR="00326101">
        <w:t>S1</w:t>
      </w:r>
      <w:r>
        <w:t>a</w:t>
      </w:r>
    </w:p>
    <w:p w14:paraId="208C5BF3" w14:textId="6A4C6DD6" w:rsidR="00E23F6E" w:rsidRDefault="00E23F6E" w:rsidP="00E23F6E">
      <w:pPr>
        <w:spacing w:line="480" w:lineRule="auto"/>
        <w:ind w:firstLine="720"/>
      </w:pPr>
      <w:r>
        <w:t>Study S1a tested the effects of images of the focal targets in the moral dilemmas on the three parameters of the CNI model. The manipulation was adapted from Conway and Gawronski (2013) who assumed that images of the focal targets would increase salience of harm. To the extent that increased salience of harm enhances automatic emotional responses to the idea of causing harm, deontological judgments should increase according to the dual-process model of moral dilemma judgment (see Amit &amp; Greene, 2012). Study S1a tested whether such effects are due to differences in (1) sensitivity to consequences, (2) sensitivity to moral norms, or (3) general preference for inaction versus action.</w:t>
      </w:r>
    </w:p>
    <w:p w14:paraId="4D876353" w14:textId="77777777" w:rsidR="00A731C2" w:rsidRDefault="00A731C2" w:rsidP="00A731C2">
      <w:pPr>
        <w:pStyle w:val="Heading2"/>
      </w:pPr>
      <w:r>
        <w:t>Method</w:t>
      </w:r>
    </w:p>
    <w:p w14:paraId="1CA6FBBA" w14:textId="5C34022C" w:rsidR="0038680F" w:rsidRDefault="0038680F" w:rsidP="0038680F">
      <w:pPr>
        <w:spacing w:line="480" w:lineRule="auto"/>
        <w:ind w:firstLine="720"/>
      </w:pPr>
      <w:r w:rsidRPr="00A731C2">
        <w:rPr>
          <w:b/>
        </w:rPr>
        <w:t>Participants.</w:t>
      </w:r>
      <w:r>
        <w:t xml:space="preserve"> </w:t>
      </w:r>
      <w:r w:rsidRPr="001C1E39">
        <w:t xml:space="preserve">Participants </w:t>
      </w:r>
      <w:r>
        <w:t xml:space="preserve">were recruited for </w:t>
      </w:r>
      <w:r w:rsidRPr="001C1E39">
        <w:t xml:space="preserve">a </w:t>
      </w:r>
      <w:r>
        <w:t xml:space="preserve">study on </w:t>
      </w:r>
      <w:r w:rsidRPr="001C1E39">
        <w:t xml:space="preserve">“how people </w:t>
      </w:r>
      <w:r>
        <w:t>make moral judgments</w:t>
      </w:r>
      <w:r w:rsidRPr="001C1E39">
        <w:t xml:space="preserve">” via Amazon’s </w:t>
      </w:r>
      <w:proofErr w:type="spellStart"/>
      <w:r>
        <w:t>MTurk</w:t>
      </w:r>
      <w:proofErr w:type="spellEnd"/>
      <w:r w:rsidRPr="001C1E39">
        <w:t xml:space="preserve">. </w:t>
      </w:r>
      <w:r w:rsidR="00630E34">
        <w:t xml:space="preserve">Participants received compensation of $1.00 for </w:t>
      </w:r>
      <w:r w:rsidR="00546BAA">
        <w:t>completing the study</w:t>
      </w:r>
      <w:r w:rsidR="00630E34">
        <w:t xml:space="preserve">. </w:t>
      </w:r>
      <w:r w:rsidR="00E77182">
        <w:t xml:space="preserve">Eligibility for </w:t>
      </w:r>
      <w:r w:rsidR="00E77182" w:rsidRPr="00B9695B">
        <w:rPr>
          <w:lang w:bidi="he-IL"/>
        </w:rPr>
        <w:t xml:space="preserve">participation </w:t>
      </w:r>
      <w:r w:rsidR="00E77182">
        <w:rPr>
          <w:lang w:bidi="he-IL"/>
        </w:rPr>
        <w:t xml:space="preserve">was limited </w:t>
      </w:r>
      <w:r w:rsidR="00E77182" w:rsidRPr="00B9695B">
        <w:rPr>
          <w:lang w:bidi="he-IL"/>
        </w:rPr>
        <w:t xml:space="preserve">to </w:t>
      </w:r>
      <w:r w:rsidR="00BE1A57">
        <w:t>English native speakers</w:t>
      </w:r>
      <w:r w:rsidR="00BE1A57">
        <w:rPr>
          <w:lang w:bidi="he-IL"/>
        </w:rPr>
        <w:t xml:space="preserve"> </w:t>
      </w:r>
      <w:r w:rsidR="00E77182">
        <w:rPr>
          <w:lang w:bidi="he-IL"/>
        </w:rPr>
        <w:t>who (1) had a HIT approval rate of at least 97% at the time of the study and (2) had</w:t>
      </w:r>
      <w:r w:rsidR="00E77182" w:rsidRPr="00B9695B">
        <w:rPr>
          <w:lang w:bidi="he-IL"/>
        </w:rPr>
        <w:t xml:space="preserve"> not participated</w:t>
      </w:r>
      <w:r w:rsidR="00FF52A6">
        <w:rPr>
          <w:lang w:bidi="he-IL"/>
        </w:rPr>
        <w:t xml:space="preserve"> in</w:t>
      </w:r>
      <w:r w:rsidR="00AE1D15">
        <w:rPr>
          <w:lang w:bidi="he-IL"/>
        </w:rPr>
        <w:t xml:space="preserve"> </w:t>
      </w:r>
      <w:r w:rsidR="00E77182">
        <w:rPr>
          <w:lang w:bidi="he-IL"/>
        </w:rPr>
        <w:t xml:space="preserve">prior studies from our lab using the same set of moral dilemmas. </w:t>
      </w:r>
      <w:r>
        <w:t xml:space="preserve">Participants were randomly assigned to either a </w:t>
      </w:r>
      <w:r w:rsidR="001C5FEF">
        <w:rPr>
          <w:i/>
        </w:rPr>
        <w:t xml:space="preserve">low </w:t>
      </w:r>
      <w:r w:rsidR="00326101">
        <w:rPr>
          <w:i/>
        </w:rPr>
        <w:t xml:space="preserve">salience </w:t>
      </w:r>
      <w:r>
        <w:t xml:space="preserve">or </w:t>
      </w:r>
      <w:r w:rsidR="001C5FEF">
        <w:rPr>
          <w:i/>
        </w:rPr>
        <w:t xml:space="preserve">high </w:t>
      </w:r>
      <w:r w:rsidR="00326101">
        <w:rPr>
          <w:i/>
        </w:rPr>
        <w:t xml:space="preserve">salience </w:t>
      </w:r>
      <w:r>
        <w:t xml:space="preserve">condition. </w:t>
      </w:r>
      <w:r w:rsidRPr="001C1E39">
        <w:t xml:space="preserve">Of the </w:t>
      </w:r>
      <w:r w:rsidR="00484198">
        <w:t>223</w:t>
      </w:r>
      <w:r w:rsidRPr="001C1E39">
        <w:t xml:space="preserve"> </w:t>
      </w:r>
      <w:proofErr w:type="spellStart"/>
      <w:r w:rsidR="00630E34">
        <w:t>M</w:t>
      </w:r>
      <w:r w:rsidR="00C37CFF">
        <w:t>T</w:t>
      </w:r>
      <w:r w:rsidR="00630E34">
        <w:t>urk</w:t>
      </w:r>
      <w:proofErr w:type="spellEnd"/>
      <w:r w:rsidR="00630E34">
        <w:t xml:space="preserve"> workers</w:t>
      </w:r>
      <w:r>
        <w:t xml:space="preserve"> </w:t>
      </w:r>
      <w:r w:rsidRPr="001C1E39">
        <w:t xml:space="preserve">who initially began the study, </w:t>
      </w:r>
      <w:r w:rsidR="00484198">
        <w:t>202</w:t>
      </w:r>
      <w:r w:rsidR="00545B3A">
        <w:t xml:space="preserve"> </w:t>
      </w:r>
      <w:r>
        <w:t>completed all measures.</w:t>
      </w:r>
      <w:r w:rsidRPr="00651C65">
        <w:rPr>
          <w:rStyle w:val="FootnoteReference"/>
        </w:rPr>
        <w:footnoteReference w:id="1"/>
      </w:r>
      <w:r>
        <w:t xml:space="preserve"> Of these participants, </w:t>
      </w:r>
      <w:r w:rsidR="00484198">
        <w:t>7</w:t>
      </w:r>
      <w:r>
        <w:t xml:space="preserve"> failed to pass an instructional attention check. Data from these participants were excluded from the statistical analyses, leaving us with a final sample of </w:t>
      </w:r>
      <w:r w:rsidR="00A95E0D">
        <w:t>195</w:t>
      </w:r>
      <w:r>
        <w:t xml:space="preserve"> participants </w:t>
      </w:r>
      <w:r w:rsidRPr="00651C65">
        <w:t>(</w:t>
      </w:r>
      <w:r w:rsidR="00726240">
        <w:t xml:space="preserve">106 </w:t>
      </w:r>
      <w:r>
        <w:t>women</w:t>
      </w:r>
      <w:r w:rsidRPr="00651C65">
        <w:t xml:space="preserve">, </w:t>
      </w:r>
      <w:r w:rsidR="00726240">
        <w:t xml:space="preserve">88 </w:t>
      </w:r>
      <w:r>
        <w:t>men</w:t>
      </w:r>
      <w:r w:rsidR="00545B3A">
        <w:t>, 1 missing</w:t>
      </w:r>
      <w:r w:rsidRPr="00651C65">
        <w:t xml:space="preserve">; </w:t>
      </w:r>
      <w:r w:rsidRPr="00651C65">
        <w:rPr>
          <w:i/>
        </w:rPr>
        <w:t>M</w:t>
      </w:r>
      <w:r w:rsidRPr="00651C65">
        <w:rPr>
          <w:i/>
          <w:vertAlign w:val="subscript"/>
        </w:rPr>
        <w:t xml:space="preserve">age </w:t>
      </w:r>
      <w:r w:rsidRPr="00651C65">
        <w:t xml:space="preserve">= </w:t>
      </w:r>
      <w:r w:rsidR="00484198">
        <w:t>33</w:t>
      </w:r>
      <w:r w:rsidR="00545B3A">
        <w:t>.</w:t>
      </w:r>
      <w:r w:rsidR="00484198">
        <w:t>3</w:t>
      </w:r>
      <w:r w:rsidR="00545B3A">
        <w:t>2</w:t>
      </w:r>
      <w:r w:rsidRPr="00651C65">
        <w:t xml:space="preserve">, </w:t>
      </w:r>
      <w:proofErr w:type="spellStart"/>
      <w:r w:rsidRPr="00651C65">
        <w:rPr>
          <w:i/>
        </w:rPr>
        <w:t>SD</w:t>
      </w:r>
      <w:r w:rsidRPr="00651C65">
        <w:rPr>
          <w:i/>
          <w:vertAlign w:val="subscript"/>
        </w:rPr>
        <w:t>age</w:t>
      </w:r>
      <w:proofErr w:type="spellEnd"/>
      <w:r w:rsidRPr="00651C65">
        <w:t xml:space="preserve"> = </w:t>
      </w:r>
      <w:r w:rsidR="00484198">
        <w:t>10.89</w:t>
      </w:r>
      <w:r w:rsidRPr="00651C65">
        <w:t>).</w:t>
      </w:r>
      <w:r w:rsidRPr="001C1E39">
        <w:t xml:space="preserve"> </w:t>
      </w:r>
    </w:p>
    <w:p w14:paraId="376F9390" w14:textId="42525940" w:rsidR="00A731C2" w:rsidRDefault="0038680F" w:rsidP="00A731C2">
      <w:pPr>
        <w:spacing w:line="480" w:lineRule="auto"/>
        <w:ind w:firstLine="720"/>
      </w:pPr>
      <w:r w:rsidRPr="00A731C2">
        <w:rPr>
          <w:b/>
        </w:rPr>
        <w:t>Procedure and materials.</w:t>
      </w:r>
      <w:r>
        <w:t xml:space="preserve"> Participants were asked to read and respond to the 24 moral dilemmas </w:t>
      </w:r>
      <w:r w:rsidR="00B130EE">
        <w:t xml:space="preserve">from </w:t>
      </w:r>
      <w:r>
        <w:t>Study 1</w:t>
      </w:r>
      <w:r w:rsidR="00BE1A57">
        <w:t>a</w:t>
      </w:r>
      <w:r>
        <w:t xml:space="preserve">, using the same </w:t>
      </w:r>
      <w:r w:rsidRPr="002B4FC1">
        <w:t xml:space="preserve">fixed random order. </w:t>
      </w:r>
      <w:r w:rsidR="008746BB">
        <w:t xml:space="preserve">To manipulate </w:t>
      </w:r>
      <w:r w:rsidR="005C1EF7">
        <w:t>salience of harm</w:t>
      </w:r>
      <w:r w:rsidR="008746BB">
        <w:t>,</w:t>
      </w:r>
      <w:r w:rsidR="008746BB" w:rsidRPr="002B4FC1">
        <w:t xml:space="preserve"> </w:t>
      </w:r>
      <w:r w:rsidR="008746BB">
        <w:lastRenderedPageBreak/>
        <w:t>p</w:t>
      </w:r>
      <w:r w:rsidR="00630E34" w:rsidRPr="002B4FC1">
        <w:t>articipants</w:t>
      </w:r>
      <w:r w:rsidR="00AE1D15">
        <w:t xml:space="preserve"> </w:t>
      </w:r>
      <w:r w:rsidR="00FF52A6">
        <w:t>in</w:t>
      </w:r>
      <w:r w:rsidR="00AE1D15">
        <w:t xml:space="preserve"> </w:t>
      </w:r>
      <w:r w:rsidR="005C1EF7">
        <w:t xml:space="preserve">the </w:t>
      </w:r>
      <w:r w:rsidR="005C1EF7" w:rsidRPr="005C1EF7">
        <w:rPr>
          <w:i/>
        </w:rPr>
        <w:t>high salience</w:t>
      </w:r>
      <w:r w:rsidR="005C1EF7">
        <w:t xml:space="preserve"> condition </w:t>
      </w:r>
      <w:proofErr w:type="gramStart"/>
      <w:r w:rsidR="00630E34">
        <w:t xml:space="preserve">were </w:t>
      </w:r>
      <w:r w:rsidR="005C1EF7">
        <w:t>presented</w:t>
      </w:r>
      <w:proofErr w:type="gramEnd"/>
      <w:r w:rsidR="005C1EF7">
        <w:t xml:space="preserve"> with images that supposed</w:t>
      </w:r>
      <w:r w:rsidR="00371DBD">
        <w:t>ly</w:t>
      </w:r>
      <w:r w:rsidR="005C1EF7">
        <w:t xml:space="preserve"> show</w:t>
      </w:r>
      <w:r w:rsidR="00371DBD">
        <w:t>ed</w:t>
      </w:r>
      <w:r w:rsidR="005C1EF7">
        <w:t xml:space="preserve"> the focal targets</w:t>
      </w:r>
      <w:r w:rsidR="00AE1D15">
        <w:t xml:space="preserve"> </w:t>
      </w:r>
      <w:r w:rsidR="00FF52A6">
        <w:t>in</w:t>
      </w:r>
      <w:r w:rsidR="00AE1D15">
        <w:t xml:space="preserve"> </w:t>
      </w:r>
      <w:r w:rsidR="005C1EF7">
        <w:t xml:space="preserve">the </w:t>
      </w:r>
      <w:r w:rsidR="00371DBD">
        <w:t xml:space="preserve">moral </w:t>
      </w:r>
      <w:r w:rsidR="005C1EF7">
        <w:t xml:space="preserve">dilemmas </w:t>
      </w:r>
      <w:r w:rsidR="00630E34">
        <w:t>(see Conway &amp; Gawronski, 2013)</w:t>
      </w:r>
      <w:r w:rsidR="00630E34" w:rsidRPr="002B4FC1">
        <w:t>.</w:t>
      </w:r>
      <w:r w:rsidR="0061454D">
        <w:rPr>
          <w:rStyle w:val="FootnoteReference"/>
        </w:rPr>
        <w:footnoteReference w:id="2"/>
      </w:r>
      <w:r w:rsidR="00630E34" w:rsidRPr="002B4FC1">
        <w:t xml:space="preserve"> </w:t>
      </w:r>
      <w:r w:rsidR="005C1EF7">
        <w:t xml:space="preserve">The </w:t>
      </w:r>
      <w:r w:rsidR="00371DBD">
        <w:t xml:space="preserve">moral dilemmas </w:t>
      </w:r>
      <w:proofErr w:type="gramStart"/>
      <w:r w:rsidR="00371DBD">
        <w:t>were presented</w:t>
      </w:r>
      <w:proofErr w:type="gramEnd"/>
      <w:r w:rsidR="00371DBD">
        <w:t xml:space="preserve"> at the top of the screen; the </w:t>
      </w:r>
      <w:r w:rsidR="005C1EF7">
        <w:t xml:space="preserve">images were presented </w:t>
      </w:r>
      <w:r w:rsidR="00371DBD">
        <w:t>below the dilemmas at the bottom of the screen</w:t>
      </w:r>
      <w:r w:rsidR="005C1EF7">
        <w:t>.</w:t>
      </w:r>
      <w:r w:rsidR="00AE1D15">
        <w:t xml:space="preserve"> I</w:t>
      </w:r>
      <w:r w:rsidR="00FF52A6">
        <w:t>n</w:t>
      </w:r>
      <w:r w:rsidR="00AE1D15">
        <w:t xml:space="preserve"> </w:t>
      </w:r>
      <w:r w:rsidR="005E0B64">
        <w:t>addition, each image was presented with a short sentence, stating that the depicted individuals are the focal targets</w:t>
      </w:r>
      <w:r w:rsidR="00AE1D15">
        <w:t xml:space="preserve"> </w:t>
      </w:r>
      <w:r w:rsidR="00FF52A6">
        <w:t>in</w:t>
      </w:r>
      <w:r w:rsidR="00AE1D15">
        <w:t xml:space="preserve"> </w:t>
      </w:r>
      <w:r w:rsidR="005E0B64">
        <w:t xml:space="preserve">the dilemma (e.g., </w:t>
      </w:r>
      <w:proofErr w:type="gramStart"/>
      <w:r w:rsidR="005E0B64" w:rsidRPr="005E0B64">
        <w:rPr>
          <w:i/>
        </w:rPr>
        <w:t>This</w:t>
      </w:r>
      <w:proofErr w:type="gramEnd"/>
      <w:r w:rsidR="005E0B64" w:rsidRPr="005E0B64">
        <w:rPr>
          <w:i/>
        </w:rPr>
        <w:t xml:space="preserve"> is the abducted journalist</w:t>
      </w:r>
      <w:r w:rsidR="005E0B64">
        <w:t xml:space="preserve">.). </w:t>
      </w:r>
      <w:r w:rsidR="008746BB">
        <w:t>P</w:t>
      </w:r>
      <w:r w:rsidR="001C5FEF">
        <w:t>articipants</w:t>
      </w:r>
      <w:r w:rsidR="00AE1D15">
        <w:t xml:space="preserve"> </w:t>
      </w:r>
      <w:r w:rsidR="00FF52A6">
        <w:t>in</w:t>
      </w:r>
      <w:r w:rsidR="00AE1D15">
        <w:t xml:space="preserve"> </w:t>
      </w:r>
      <w:r w:rsidR="001C5FEF">
        <w:t xml:space="preserve">the </w:t>
      </w:r>
      <w:r w:rsidR="005C1EF7">
        <w:rPr>
          <w:i/>
        </w:rPr>
        <w:t xml:space="preserve">low salience </w:t>
      </w:r>
      <w:r w:rsidR="001C5FEF">
        <w:t xml:space="preserve">condition were </w:t>
      </w:r>
      <w:r w:rsidR="005C1EF7">
        <w:t xml:space="preserve">not </w:t>
      </w:r>
      <w:r w:rsidR="001C5FEF">
        <w:t xml:space="preserve">presented with </w:t>
      </w:r>
      <w:r w:rsidR="00371DBD">
        <w:t xml:space="preserve">any </w:t>
      </w:r>
      <w:r w:rsidR="005C1EF7">
        <w:t xml:space="preserve">images while they completed the </w:t>
      </w:r>
      <w:r w:rsidR="001C5FEF">
        <w:t>moral dilemma</w:t>
      </w:r>
      <w:r w:rsidR="005C1EF7">
        <w:t xml:space="preserve"> task</w:t>
      </w:r>
      <w:r w:rsidR="001C5FEF">
        <w:t xml:space="preserve">. </w:t>
      </w:r>
      <w:r>
        <w:t xml:space="preserve">After </w:t>
      </w:r>
      <w:r w:rsidR="0026227B">
        <w:t xml:space="preserve">completion of </w:t>
      </w:r>
      <w:r>
        <w:t xml:space="preserve">the moral dilemmas, </w:t>
      </w:r>
      <w:r w:rsidR="0026227B">
        <w:t xml:space="preserve">participants </w:t>
      </w:r>
      <w:proofErr w:type="gramStart"/>
      <w:r w:rsidR="0026227B">
        <w:t>were asked</w:t>
      </w:r>
      <w:proofErr w:type="gramEnd"/>
      <w:r w:rsidR="0026227B">
        <w:t xml:space="preserve"> to respond to the same </w:t>
      </w:r>
      <w:r>
        <w:t xml:space="preserve">one-item attention check </w:t>
      </w:r>
      <w:r w:rsidR="0026227B">
        <w:t xml:space="preserve">of </w:t>
      </w:r>
      <w:r w:rsidR="00BE1A57">
        <w:t>the Pilot Study</w:t>
      </w:r>
      <w:r w:rsidR="0026227B">
        <w:t>.</w:t>
      </w:r>
      <w:r>
        <w:t xml:space="preserve">   </w:t>
      </w:r>
    </w:p>
    <w:p w14:paraId="4E7CC2B8" w14:textId="77777777" w:rsidR="00A731C2" w:rsidRDefault="00A731C2" w:rsidP="00A731C2">
      <w:pPr>
        <w:pStyle w:val="Heading2"/>
      </w:pPr>
      <w:r>
        <w:t>Results</w:t>
      </w:r>
    </w:p>
    <w:p w14:paraId="2346EAA8" w14:textId="7599A2F1" w:rsidR="00A731C2" w:rsidRDefault="00F726FD" w:rsidP="00A731C2">
      <w:pPr>
        <w:spacing w:line="480" w:lineRule="auto"/>
        <w:ind w:firstLine="720"/>
      </w:pPr>
      <w:r>
        <w:t>The data were aggregated</w:t>
      </w:r>
      <w:r w:rsidR="00AE1D15">
        <w:t xml:space="preserve"> </w:t>
      </w:r>
      <w:r w:rsidR="00FF52A6">
        <w:t>in</w:t>
      </w:r>
      <w:r w:rsidR="00AE1D15">
        <w:t xml:space="preserve"> </w:t>
      </w:r>
      <w:r>
        <w:t xml:space="preserve">line with the procedures of Study 1. Means and </w:t>
      </w:r>
      <w:r w:rsidR="00B44B4F">
        <w:t xml:space="preserve">95% confidence intervals </w:t>
      </w:r>
      <w:r>
        <w:t>are presented</w:t>
      </w:r>
      <w:r w:rsidR="00FF52A6">
        <w:t xml:space="preserve"> in</w:t>
      </w:r>
      <w:r w:rsidR="00AE1D15">
        <w:t xml:space="preserve"> </w:t>
      </w:r>
      <w:r w:rsidR="00EE2605">
        <w:t>Table S1</w:t>
      </w:r>
      <w:r>
        <w:t>.</w:t>
      </w:r>
    </w:p>
    <w:p w14:paraId="3D931728" w14:textId="7C6A0AEA" w:rsidR="00545B3A" w:rsidRDefault="00545B3A" w:rsidP="00545B3A">
      <w:pPr>
        <w:spacing w:line="480" w:lineRule="auto"/>
        <w:ind w:firstLine="720"/>
      </w:pPr>
      <w:r w:rsidRPr="00A731C2">
        <w:rPr>
          <w:b/>
        </w:rPr>
        <w:t>Traditional analysis.</w:t>
      </w:r>
      <w:r w:rsidR="00AE1D15">
        <w:t xml:space="preserve"> I</w:t>
      </w:r>
      <w:r w:rsidR="00EE22D0">
        <w:t>n</w:t>
      </w:r>
      <w:r w:rsidR="00AE1D15">
        <w:t xml:space="preserve"> </w:t>
      </w:r>
      <w:r>
        <w:t>line with the traditional approach, we first investigated participants’ responses on moral dilemmas involving a proscriptive norm that prohibits action</w:t>
      </w:r>
      <w:r w:rsidR="00EE22D0">
        <w:t xml:space="preserve"> in</w:t>
      </w:r>
      <w:r w:rsidR="00AE1D15">
        <w:t xml:space="preserve"> </w:t>
      </w:r>
      <w:r>
        <w:t>cases where the benefits of action outweigh its costs to well-being.</w:t>
      </w:r>
      <w:r w:rsidR="00AE1D15">
        <w:t xml:space="preserve"> I</w:t>
      </w:r>
      <w:r w:rsidR="00EE22D0">
        <w:t>n</w:t>
      </w:r>
      <w:r w:rsidR="00AE1D15">
        <w:t xml:space="preserve"> </w:t>
      </w:r>
      <w:r>
        <w:t xml:space="preserve">the traditional approach, a preference for action over inaction on this type of dilemma would be interpreted as a preference for utilitarian over deontological responses. </w:t>
      </w:r>
      <w:r w:rsidR="006D053F">
        <w:t>T</w:t>
      </w:r>
      <w:r w:rsidR="00EE2605">
        <w:t xml:space="preserve">here </w:t>
      </w:r>
      <w:r w:rsidR="004E2374">
        <w:t>was</w:t>
      </w:r>
      <w:r w:rsidR="00EE2605">
        <w:t xml:space="preserve"> no significant effect of the salience of harm manipulation on </w:t>
      </w:r>
      <w:r>
        <w:t>participants</w:t>
      </w:r>
      <w:r w:rsidR="00EE2605">
        <w:t xml:space="preserve">’ responses on this type </w:t>
      </w:r>
      <w:r>
        <w:t xml:space="preserve">of dilemma, </w:t>
      </w:r>
      <w:proofErr w:type="gramStart"/>
      <w:r w:rsidRPr="00EF45C0">
        <w:rPr>
          <w:i/>
        </w:rPr>
        <w:t>t</w:t>
      </w:r>
      <w:r w:rsidR="00EE2605">
        <w:t>(</w:t>
      </w:r>
      <w:proofErr w:type="gramEnd"/>
      <w:r w:rsidR="00EE2605">
        <w:t>193</w:t>
      </w:r>
      <w:r>
        <w:t xml:space="preserve">) = </w:t>
      </w:r>
      <w:r w:rsidR="00EE2605">
        <w:t>0.36</w:t>
      </w:r>
      <w:r>
        <w:t xml:space="preserve">, </w:t>
      </w:r>
      <w:r w:rsidRPr="00EF45C0">
        <w:rPr>
          <w:i/>
        </w:rPr>
        <w:t>p</w:t>
      </w:r>
      <w:r>
        <w:t xml:space="preserve"> = .</w:t>
      </w:r>
      <w:r w:rsidR="00EE2605">
        <w:t>72</w:t>
      </w:r>
      <w:r w:rsidR="00BE1A57">
        <w:t>1</w:t>
      </w:r>
      <w:r>
        <w:t xml:space="preserve">, </w:t>
      </w:r>
      <w:r w:rsidRPr="00EF45C0">
        <w:rPr>
          <w:i/>
        </w:rPr>
        <w:t>d</w:t>
      </w:r>
      <w:r>
        <w:t xml:space="preserve"> = 0.</w:t>
      </w:r>
      <w:r w:rsidR="009868E2">
        <w:t>051</w:t>
      </w:r>
      <w:r>
        <w:t xml:space="preserve"> (see </w:t>
      </w:r>
      <w:r w:rsidR="00EE2605">
        <w:t>Table S1</w:t>
      </w:r>
      <w:r>
        <w:t xml:space="preserve">). </w:t>
      </w:r>
    </w:p>
    <w:p w14:paraId="0ACD96FC" w14:textId="6B6A5F42" w:rsidR="00D83228" w:rsidRDefault="00D83228" w:rsidP="00D83228">
      <w:pPr>
        <w:spacing w:line="480" w:lineRule="auto"/>
        <w:ind w:firstLine="720"/>
      </w:pPr>
      <w:r w:rsidRPr="00167E16">
        <w:rPr>
          <w:b/>
        </w:rPr>
        <w:t>PD analysis.</w:t>
      </w:r>
      <w:r>
        <w:t xml:space="preserve"> PD scores were calculated in line with the procedures of Study 1a. </w:t>
      </w:r>
      <w:r w:rsidR="00B44B4F">
        <w:t>Counter to the findings by Conway and Gawronski (2013), t</w:t>
      </w:r>
      <w:r w:rsidR="00FF4EC6">
        <w:t xml:space="preserve">here were no significant effects of the salience of harm manipulation on the </w:t>
      </w:r>
      <w:r w:rsidR="00FF4EC6" w:rsidRPr="00FF4EC6">
        <w:rPr>
          <w:i/>
        </w:rPr>
        <w:t>U</w:t>
      </w:r>
      <w:r w:rsidR="00FF4EC6">
        <w:t xml:space="preserve"> parameter</w:t>
      </w:r>
      <w:r w:rsidR="00E075D7">
        <w:t xml:space="preserve"> (</w:t>
      </w:r>
      <w:proofErr w:type="spellStart"/>
      <w:r w:rsidR="00E075D7" w:rsidRPr="00E075D7">
        <w:rPr>
          <w:i/>
        </w:rPr>
        <w:t>M</w:t>
      </w:r>
      <w:r w:rsidR="00E075D7">
        <w:t>s</w:t>
      </w:r>
      <w:proofErr w:type="spellEnd"/>
      <w:r w:rsidR="00E075D7">
        <w:t xml:space="preserve"> = .22 vs. .17</w:t>
      </w:r>
      <w:r w:rsidR="0047250A">
        <w:t>, respectively</w:t>
      </w:r>
      <w:r w:rsidR="00E075D7">
        <w:t>)</w:t>
      </w:r>
      <w:r w:rsidR="00FF4EC6">
        <w:t xml:space="preserve">, </w:t>
      </w:r>
      <w:proofErr w:type="gramStart"/>
      <w:r w:rsidR="00FF4EC6" w:rsidRPr="00EF45C0">
        <w:rPr>
          <w:i/>
        </w:rPr>
        <w:t>t</w:t>
      </w:r>
      <w:r w:rsidR="00FF4EC6">
        <w:t>(</w:t>
      </w:r>
      <w:proofErr w:type="gramEnd"/>
      <w:r w:rsidR="00FF4EC6">
        <w:t xml:space="preserve">193) = 1.19, </w:t>
      </w:r>
      <w:r w:rsidR="00FF4EC6" w:rsidRPr="00EF45C0">
        <w:rPr>
          <w:i/>
        </w:rPr>
        <w:lastRenderedPageBreak/>
        <w:t>p</w:t>
      </w:r>
      <w:r w:rsidR="00FF4EC6">
        <w:t xml:space="preserve"> = .234, </w:t>
      </w:r>
      <w:r w:rsidR="00FF4EC6" w:rsidRPr="00EF45C0">
        <w:rPr>
          <w:i/>
        </w:rPr>
        <w:t>d</w:t>
      </w:r>
      <w:r w:rsidR="00FF4EC6">
        <w:t xml:space="preserve"> = 0.171, and the </w:t>
      </w:r>
      <w:r w:rsidR="00FF4EC6" w:rsidRPr="00FF4EC6">
        <w:rPr>
          <w:i/>
        </w:rPr>
        <w:t>D</w:t>
      </w:r>
      <w:r w:rsidR="00FF4EC6">
        <w:t xml:space="preserve"> parameter</w:t>
      </w:r>
      <w:r w:rsidR="00E075D7">
        <w:t xml:space="preserve"> (</w:t>
      </w:r>
      <w:proofErr w:type="spellStart"/>
      <w:r w:rsidR="00E075D7" w:rsidRPr="00E075D7">
        <w:rPr>
          <w:i/>
        </w:rPr>
        <w:t>M</w:t>
      </w:r>
      <w:r w:rsidR="00E075D7">
        <w:t>s</w:t>
      </w:r>
      <w:proofErr w:type="spellEnd"/>
      <w:r w:rsidR="00E075D7">
        <w:t xml:space="preserve"> = .64 vs. .64</w:t>
      </w:r>
      <w:r w:rsidR="0047250A">
        <w:t>, respectively</w:t>
      </w:r>
      <w:r w:rsidR="00E075D7">
        <w:t>)</w:t>
      </w:r>
      <w:r w:rsidR="00FF4EC6">
        <w:t xml:space="preserve">, </w:t>
      </w:r>
      <w:r w:rsidR="00FF4EC6" w:rsidRPr="00EF45C0">
        <w:rPr>
          <w:i/>
        </w:rPr>
        <w:t>t</w:t>
      </w:r>
      <w:r w:rsidR="00FF4EC6">
        <w:t>(193) = 0.</w:t>
      </w:r>
      <w:r w:rsidR="001A063E">
        <w:t>0</w:t>
      </w:r>
      <w:r w:rsidR="00FF4EC6">
        <w:t xml:space="preserve">3, </w:t>
      </w:r>
      <w:r w:rsidR="00FF4EC6" w:rsidRPr="00EF45C0">
        <w:rPr>
          <w:i/>
        </w:rPr>
        <w:t>p</w:t>
      </w:r>
      <w:r w:rsidR="00FF4EC6">
        <w:t xml:space="preserve"> = .974, </w:t>
      </w:r>
      <w:r w:rsidR="00FF4EC6" w:rsidRPr="00EF45C0">
        <w:rPr>
          <w:i/>
        </w:rPr>
        <w:t>d</w:t>
      </w:r>
      <w:r w:rsidR="00FF4EC6">
        <w:t xml:space="preserve"> = 0.005</w:t>
      </w:r>
      <w:r>
        <w:t>.</w:t>
      </w:r>
    </w:p>
    <w:p w14:paraId="207DE487" w14:textId="1CDE5691" w:rsidR="00CE09AF" w:rsidRDefault="00E90952" w:rsidP="00CE09AF">
      <w:pPr>
        <w:spacing w:line="480" w:lineRule="auto"/>
        <w:ind w:firstLine="720"/>
      </w:pPr>
      <w:r>
        <w:rPr>
          <w:b/>
        </w:rPr>
        <w:t>CNI</w:t>
      </w:r>
      <w:r w:rsidR="00545B3A" w:rsidRPr="00A731C2">
        <w:rPr>
          <w:b/>
        </w:rPr>
        <w:t xml:space="preserve"> model.</w:t>
      </w:r>
      <w:r w:rsidR="00545B3A">
        <w:t xml:space="preserve"> </w:t>
      </w:r>
      <w:r w:rsidR="00BF798B">
        <w:t>T</w:t>
      </w:r>
      <w:r w:rsidR="00371DBD">
        <w:t xml:space="preserve">he </w:t>
      </w:r>
      <w:r>
        <w:t xml:space="preserve">CNI </w:t>
      </w:r>
      <w:r w:rsidR="00545B3A">
        <w:t xml:space="preserve">model </w:t>
      </w:r>
      <w:r w:rsidR="00FC2B96">
        <w:t>fit</w:t>
      </w:r>
      <w:r w:rsidR="00EE2605">
        <w:t xml:space="preserve"> the data well</w:t>
      </w:r>
      <w:r w:rsidR="007E4C8A">
        <w:t>,</w:t>
      </w:r>
      <w:r w:rsidR="00FC2B96">
        <w:t xml:space="preserve"> </w:t>
      </w:r>
      <w:proofErr w:type="gramStart"/>
      <w:r w:rsidR="00545B3A" w:rsidRPr="00FA1D71">
        <w:rPr>
          <w:i/>
        </w:rPr>
        <w:t>G</w:t>
      </w:r>
      <w:r w:rsidR="00545B3A" w:rsidRPr="00FA1D71">
        <w:rPr>
          <w:vertAlign w:val="superscript"/>
        </w:rPr>
        <w:t>2</w:t>
      </w:r>
      <w:r w:rsidR="007E4C8A">
        <w:t>(</w:t>
      </w:r>
      <w:proofErr w:type="gramEnd"/>
      <w:r w:rsidR="007E4C8A">
        <w:t>2</w:t>
      </w:r>
      <w:r w:rsidR="00EE2605">
        <w:t>) = 0</w:t>
      </w:r>
      <w:r w:rsidR="00545B3A">
        <w:t>.</w:t>
      </w:r>
      <w:r w:rsidR="00EE2605">
        <w:t>6</w:t>
      </w:r>
      <w:r w:rsidR="00EB7195">
        <w:t>8</w:t>
      </w:r>
      <w:r w:rsidR="00545B3A">
        <w:t xml:space="preserve">, </w:t>
      </w:r>
      <w:r w:rsidR="00545B3A" w:rsidRPr="00FA1D71">
        <w:rPr>
          <w:i/>
        </w:rPr>
        <w:t>p</w:t>
      </w:r>
      <w:r w:rsidR="00545B3A">
        <w:t xml:space="preserve"> = .</w:t>
      </w:r>
      <w:r w:rsidR="00EE2605">
        <w:t>71</w:t>
      </w:r>
      <w:r w:rsidR="00BE1A57">
        <w:t>3</w:t>
      </w:r>
      <w:r w:rsidR="00BF798B">
        <w:t>. T</w:t>
      </w:r>
      <w:r w:rsidR="00EE2605">
        <w:t>here were no significant effects on the</w:t>
      </w:r>
      <w:r w:rsidR="00AE1D15">
        <w:t xml:space="preserve"> </w:t>
      </w:r>
      <w:r w:rsidR="00AE1D15" w:rsidRPr="00BE1A57">
        <w:rPr>
          <w:i/>
        </w:rPr>
        <w:t>C</w:t>
      </w:r>
      <w:r w:rsidR="00AE1D15">
        <w:t xml:space="preserve"> </w:t>
      </w:r>
      <w:r w:rsidR="003C6950" w:rsidRPr="002553E8">
        <w:t xml:space="preserve">parameter, </w:t>
      </w:r>
      <w:proofErr w:type="gramStart"/>
      <w:r w:rsidR="004C2B7A">
        <w:t>Δ</w:t>
      </w:r>
      <w:r w:rsidR="003C6950" w:rsidRPr="00FA1D71">
        <w:rPr>
          <w:i/>
        </w:rPr>
        <w:t>G</w:t>
      </w:r>
      <w:r w:rsidR="003C6950" w:rsidRPr="00FA1D71">
        <w:rPr>
          <w:vertAlign w:val="superscript"/>
        </w:rPr>
        <w:t>2</w:t>
      </w:r>
      <w:r w:rsidR="00D31F75">
        <w:t>(</w:t>
      </w:r>
      <w:proofErr w:type="gramEnd"/>
      <w:r w:rsidR="00D31F75">
        <w:t>1) = 2</w:t>
      </w:r>
      <w:r w:rsidR="003C6950">
        <w:t>.</w:t>
      </w:r>
      <w:r w:rsidR="00D31F75">
        <w:t>15</w:t>
      </w:r>
      <w:r w:rsidR="003C6950">
        <w:t xml:space="preserve">, </w:t>
      </w:r>
      <w:r w:rsidR="003C6950" w:rsidRPr="00FA1D71">
        <w:rPr>
          <w:i/>
        </w:rPr>
        <w:t>p</w:t>
      </w:r>
      <w:r w:rsidR="00EE2605">
        <w:t xml:space="preserve"> = .</w:t>
      </w:r>
      <w:r w:rsidR="00D31F75">
        <w:t>14</w:t>
      </w:r>
      <w:r w:rsidR="00BE1A57">
        <w:t>3</w:t>
      </w:r>
      <w:r w:rsidR="00EE2605">
        <w:t xml:space="preserve">, </w:t>
      </w:r>
      <w:r w:rsidR="00545890" w:rsidRPr="00545890">
        <w:rPr>
          <w:i/>
        </w:rPr>
        <w:t>d</w:t>
      </w:r>
      <w:r w:rsidR="00545890">
        <w:t xml:space="preserve"> = 0.211, </w:t>
      </w:r>
      <w:r w:rsidR="00545B3A">
        <w:t>the</w:t>
      </w:r>
      <w:r w:rsidR="00AE1D15">
        <w:t xml:space="preserve"> </w:t>
      </w:r>
      <w:r w:rsidR="00AE1D15" w:rsidRPr="00BE1A57">
        <w:rPr>
          <w:i/>
        </w:rPr>
        <w:t>N</w:t>
      </w:r>
      <w:r w:rsidR="00AE1D15">
        <w:t xml:space="preserve"> </w:t>
      </w:r>
      <w:r w:rsidR="00545B3A">
        <w:t xml:space="preserve">parameter, </w:t>
      </w:r>
      <w:r w:rsidR="004C2B7A">
        <w:t>Δ</w:t>
      </w:r>
      <w:r w:rsidR="00545B3A" w:rsidRPr="00FA1D71">
        <w:rPr>
          <w:i/>
        </w:rPr>
        <w:t>G</w:t>
      </w:r>
      <w:r w:rsidR="00545B3A" w:rsidRPr="00FA1D71">
        <w:rPr>
          <w:vertAlign w:val="superscript"/>
        </w:rPr>
        <w:t>2</w:t>
      </w:r>
      <w:r w:rsidR="007E4C8A">
        <w:t>(1) = 0</w:t>
      </w:r>
      <w:r w:rsidR="00545B3A">
        <w:t>.</w:t>
      </w:r>
      <w:r w:rsidR="007E4C8A">
        <w:t>1</w:t>
      </w:r>
      <w:r w:rsidR="00D31F75">
        <w:t>0</w:t>
      </w:r>
      <w:r w:rsidR="00545B3A">
        <w:t xml:space="preserve">, </w:t>
      </w:r>
      <w:r w:rsidR="00545B3A" w:rsidRPr="00FA1D71">
        <w:rPr>
          <w:i/>
        </w:rPr>
        <w:t>p</w:t>
      </w:r>
      <w:r w:rsidR="007E4C8A">
        <w:t xml:space="preserve"> =</w:t>
      </w:r>
      <w:r w:rsidR="00545B3A">
        <w:t xml:space="preserve"> .</w:t>
      </w:r>
      <w:r w:rsidR="00BE1A57">
        <w:t>758</w:t>
      </w:r>
      <w:r w:rsidR="00EE2605">
        <w:t xml:space="preserve">, </w:t>
      </w:r>
      <w:r w:rsidR="00545890" w:rsidRPr="00545890">
        <w:rPr>
          <w:i/>
        </w:rPr>
        <w:t>d</w:t>
      </w:r>
      <w:r w:rsidR="00545890">
        <w:t xml:space="preserve"> = 0.044, </w:t>
      </w:r>
      <w:r w:rsidR="007E4C8A">
        <w:t xml:space="preserve">and </w:t>
      </w:r>
      <w:r w:rsidR="00545B3A" w:rsidRPr="002553E8">
        <w:t>the</w:t>
      </w:r>
      <w:r w:rsidR="00AE1D15">
        <w:t xml:space="preserve"> </w:t>
      </w:r>
      <w:r w:rsidR="00AE1D15" w:rsidRPr="00BE1A57">
        <w:rPr>
          <w:i/>
        </w:rPr>
        <w:t>I</w:t>
      </w:r>
      <w:r w:rsidR="00AE1D15">
        <w:t xml:space="preserve"> </w:t>
      </w:r>
      <w:r w:rsidR="00545B3A" w:rsidRPr="002553E8">
        <w:t>parameter</w:t>
      </w:r>
      <w:r w:rsidR="00545B3A">
        <w:t xml:space="preserve">, </w:t>
      </w:r>
      <w:r w:rsidR="004C2B7A">
        <w:t>Δ</w:t>
      </w:r>
      <w:r w:rsidR="00D31F75" w:rsidRPr="00FA1D71">
        <w:rPr>
          <w:i/>
        </w:rPr>
        <w:t>G</w:t>
      </w:r>
      <w:r w:rsidR="00D31F75" w:rsidRPr="00FA1D71">
        <w:rPr>
          <w:vertAlign w:val="superscript"/>
        </w:rPr>
        <w:t>2</w:t>
      </w:r>
      <w:r w:rsidR="00D31F75">
        <w:t xml:space="preserve">(1) = 1.60, </w:t>
      </w:r>
      <w:r w:rsidR="00D31F75" w:rsidRPr="00FA1D71">
        <w:rPr>
          <w:i/>
        </w:rPr>
        <w:t>p</w:t>
      </w:r>
      <w:r w:rsidR="00BE1A57">
        <w:t xml:space="preserve"> = .206</w:t>
      </w:r>
      <w:r w:rsidR="00545890">
        <w:t xml:space="preserve">, </w:t>
      </w:r>
      <w:r w:rsidR="00545890" w:rsidRPr="00545890">
        <w:rPr>
          <w:i/>
        </w:rPr>
        <w:t>d</w:t>
      </w:r>
      <w:r w:rsidR="00545890">
        <w:t xml:space="preserve"> = 0.182</w:t>
      </w:r>
      <w:r w:rsidR="00D31F75" w:rsidRPr="002553E8">
        <w:t xml:space="preserve"> </w:t>
      </w:r>
      <w:r w:rsidR="00545B3A" w:rsidRPr="002553E8">
        <w:t xml:space="preserve">(see </w:t>
      </w:r>
      <w:r w:rsidR="00EE2605">
        <w:t>Figure S1</w:t>
      </w:r>
      <w:r w:rsidR="00545B3A" w:rsidRPr="002553E8">
        <w:t xml:space="preserve">). </w:t>
      </w:r>
    </w:p>
    <w:p w14:paraId="51F2AF20" w14:textId="5BF281F4" w:rsidR="00A731C2" w:rsidRPr="00663A15" w:rsidRDefault="00A731C2" w:rsidP="00663A15">
      <w:pPr>
        <w:pStyle w:val="Heading1"/>
      </w:pPr>
      <w:r>
        <w:t xml:space="preserve">Study </w:t>
      </w:r>
      <w:r w:rsidR="00326101">
        <w:t>S1</w:t>
      </w:r>
      <w:r>
        <w:t>b</w:t>
      </w:r>
    </w:p>
    <w:p w14:paraId="18ABB84B" w14:textId="0AAF87A5" w:rsidR="00CE09AF" w:rsidRDefault="00CE09AF" w:rsidP="00CE09AF">
      <w:pPr>
        <w:spacing w:line="480" w:lineRule="auto"/>
        <w:ind w:firstLine="720"/>
      </w:pPr>
      <w:r>
        <w:t xml:space="preserve">In </w:t>
      </w:r>
      <w:r w:rsidR="006D053F">
        <w:t xml:space="preserve">line </w:t>
      </w:r>
      <w:r>
        <w:t xml:space="preserve">with our stated practice of conducting a replication </w:t>
      </w:r>
      <w:r w:rsidR="006D053F">
        <w:t xml:space="preserve">study </w:t>
      </w:r>
      <w:r>
        <w:t>for each variable, Study S1b tested the effects of images of the focal targets in a follow-up study using the same materials.</w:t>
      </w:r>
    </w:p>
    <w:p w14:paraId="233CB979" w14:textId="77777777" w:rsidR="00A731C2" w:rsidRDefault="00A731C2" w:rsidP="00A731C2">
      <w:pPr>
        <w:pStyle w:val="Heading2"/>
      </w:pPr>
      <w:r>
        <w:t>Method</w:t>
      </w:r>
    </w:p>
    <w:p w14:paraId="11EE7672" w14:textId="7EACB55F" w:rsidR="00A731C2" w:rsidRDefault="00A731C2" w:rsidP="00A731C2">
      <w:pPr>
        <w:spacing w:line="480" w:lineRule="auto"/>
        <w:ind w:firstLine="720"/>
      </w:pPr>
      <w:r w:rsidRPr="00A731C2">
        <w:rPr>
          <w:b/>
        </w:rPr>
        <w:t>Participants.</w:t>
      </w:r>
      <w:r>
        <w:t xml:space="preserve"> </w:t>
      </w:r>
      <w:r w:rsidR="006268A8" w:rsidRPr="001C1E39">
        <w:t xml:space="preserve">Participants </w:t>
      </w:r>
      <w:r w:rsidR="006268A8">
        <w:t xml:space="preserve">were recruited for </w:t>
      </w:r>
      <w:r w:rsidR="006268A8" w:rsidRPr="001C1E39">
        <w:t xml:space="preserve">a </w:t>
      </w:r>
      <w:r w:rsidR="006268A8">
        <w:t xml:space="preserve">study on </w:t>
      </w:r>
      <w:r w:rsidR="006268A8" w:rsidRPr="001C1E39">
        <w:t xml:space="preserve">“how people </w:t>
      </w:r>
      <w:r w:rsidR="006268A8">
        <w:t>make moral judgments</w:t>
      </w:r>
      <w:r w:rsidR="006268A8" w:rsidRPr="001C1E39">
        <w:t xml:space="preserve">” via Amazon’s </w:t>
      </w:r>
      <w:proofErr w:type="spellStart"/>
      <w:r w:rsidR="006268A8">
        <w:t>MTurk</w:t>
      </w:r>
      <w:proofErr w:type="spellEnd"/>
      <w:r w:rsidR="006268A8" w:rsidRPr="001C1E39">
        <w:t xml:space="preserve">. </w:t>
      </w:r>
      <w:r w:rsidR="006268A8">
        <w:t xml:space="preserve">Participants received a compensation of $1.00 for </w:t>
      </w:r>
      <w:r w:rsidR="00202897">
        <w:t>completing the study</w:t>
      </w:r>
      <w:r w:rsidR="006268A8">
        <w:t xml:space="preserve">. </w:t>
      </w:r>
      <w:r w:rsidR="002F20B2">
        <w:t xml:space="preserve">Eligibility for </w:t>
      </w:r>
      <w:r w:rsidR="002F20B2" w:rsidRPr="00B9695B">
        <w:rPr>
          <w:lang w:bidi="he-IL"/>
        </w:rPr>
        <w:t xml:space="preserve">participation </w:t>
      </w:r>
      <w:r w:rsidR="002F20B2">
        <w:rPr>
          <w:lang w:bidi="he-IL"/>
        </w:rPr>
        <w:t xml:space="preserve">was limited </w:t>
      </w:r>
      <w:r w:rsidR="002F20B2" w:rsidRPr="00B9695B">
        <w:rPr>
          <w:lang w:bidi="he-IL"/>
        </w:rPr>
        <w:t xml:space="preserve">to </w:t>
      </w:r>
      <w:r w:rsidR="00385AC0">
        <w:t>English native speakers</w:t>
      </w:r>
      <w:r w:rsidR="00385AC0">
        <w:rPr>
          <w:lang w:bidi="he-IL"/>
        </w:rPr>
        <w:t xml:space="preserve"> </w:t>
      </w:r>
      <w:r w:rsidR="002F20B2">
        <w:rPr>
          <w:lang w:bidi="he-IL"/>
        </w:rPr>
        <w:t>who (1) had a HIT approval rate of at least 97% at the time of the study and (2) had</w:t>
      </w:r>
      <w:r w:rsidR="002F20B2" w:rsidRPr="00B9695B">
        <w:rPr>
          <w:lang w:bidi="he-IL"/>
        </w:rPr>
        <w:t xml:space="preserve"> not participated</w:t>
      </w:r>
      <w:r w:rsidR="00AE1D15">
        <w:rPr>
          <w:lang w:bidi="he-IL"/>
        </w:rPr>
        <w:t xml:space="preserve"> </w:t>
      </w:r>
      <w:r w:rsidR="00EE22D0">
        <w:rPr>
          <w:lang w:bidi="he-IL"/>
        </w:rPr>
        <w:t>in</w:t>
      </w:r>
      <w:r w:rsidR="00AE1D15">
        <w:rPr>
          <w:lang w:bidi="he-IL"/>
        </w:rPr>
        <w:t xml:space="preserve"> </w:t>
      </w:r>
      <w:r w:rsidR="002F20B2">
        <w:rPr>
          <w:lang w:bidi="he-IL"/>
        </w:rPr>
        <w:t xml:space="preserve">prior studies from our lab using the same set of moral dilemmas. </w:t>
      </w:r>
      <w:r w:rsidR="006268A8">
        <w:t xml:space="preserve">Participants were randomly assigned to either a </w:t>
      </w:r>
      <w:r w:rsidR="00466E3B">
        <w:rPr>
          <w:i/>
        </w:rPr>
        <w:t xml:space="preserve">low salience </w:t>
      </w:r>
      <w:r w:rsidR="006268A8">
        <w:t xml:space="preserve">or </w:t>
      </w:r>
      <w:r w:rsidR="00466E3B">
        <w:rPr>
          <w:i/>
        </w:rPr>
        <w:t xml:space="preserve">high salience </w:t>
      </w:r>
      <w:r w:rsidR="006268A8">
        <w:t xml:space="preserve">condition. </w:t>
      </w:r>
      <w:r w:rsidR="006268A8" w:rsidRPr="001C1E39">
        <w:t xml:space="preserve">Of the </w:t>
      </w:r>
      <w:r w:rsidR="00FA3825">
        <w:t>23</w:t>
      </w:r>
      <w:r w:rsidR="00A95E0D">
        <w:t>4</w:t>
      </w:r>
      <w:r w:rsidR="006268A8" w:rsidRPr="001C1E39">
        <w:t xml:space="preserve"> </w:t>
      </w:r>
      <w:proofErr w:type="spellStart"/>
      <w:r w:rsidR="006268A8">
        <w:t>M</w:t>
      </w:r>
      <w:r w:rsidR="00C37CFF">
        <w:t>T</w:t>
      </w:r>
      <w:r w:rsidR="006268A8">
        <w:t>urk</w:t>
      </w:r>
      <w:proofErr w:type="spellEnd"/>
      <w:r w:rsidR="006268A8">
        <w:t xml:space="preserve"> workers </w:t>
      </w:r>
      <w:r w:rsidR="006268A8" w:rsidRPr="001C1E39">
        <w:t xml:space="preserve">who initially began the study, </w:t>
      </w:r>
      <w:r w:rsidR="00A95E0D">
        <w:t>203</w:t>
      </w:r>
      <w:r w:rsidR="00FA3825">
        <w:t xml:space="preserve"> </w:t>
      </w:r>
      <w:r w:rsidR="006268A8">
        <w:t>completed all measures.</w:t>
      </w:r>
      <w:r w:rsidR="006268A8" w:rsidRPr="00651C65">
        <w:rPr>
          <w:rStyle w:val="FootnoteReference"/>
        </w:rPr>
        <w:footnoteReference w:id="3"/>
      </w:r>
      <w:r w:rsidR="006268A8">
        <w:t xml:space="preserve"> Of these participants, </w:t>
      </w:r>
      <w:r w:rsidR="00A95E0D">
        <w:t>12</w:t>
      </w:r>
      <w:r w:rsidR="00FA3825">
        <w:t xml:space="preserve"> </w:t>
      </w:r>
      <w:r w:rsidR="006268A8">
        <w:t xml:space="preserve">failed to pass an instructional attention check. Data from these participants were excluded from the statistical analyses, leaving us with a final sample of </w:t>
      </w:r>
      <w:r w:rsidR="00726240">
        <w:t>191</w:t>
      </w:r>
      <w:r w:rsidR="006268A8">
        <w:t xml:space="preserve"> participants </w:t>
      </w:r>
      <w:r w:rsidR="006268A8" w:rsidRPr="00651C65">
        <w:t>(</w:t>
      </w:r>
      <w:r w:rsidR="00726240">
        <w:t>108</w:t>
      </w:r>
      <w:r w:rsidR="006268A8" w:rsidRPr="00651C65">
        <w:t xml:space="preserve"> </w:t>
      </w:r>
      <w:r w:rsidR="006268A8">
        <w:t>women</w:t>
      </w:r>
      <w:r w:rsidR="006268A8" w:rsidRPr="00651C65">
        <w:t xml:space="preserve">, </w:t>
      </w:r>
      <w:r w:rsidR="00726240">
        <w:t>83</w:t>
      </w:r>
      <w:r w:rsidR="006A39AC">
        <w:t xml:space="preserve"> </w:t>
      </w:r>
      <w:r w:rsidR="006268A8">
        <w:t>men</w:t>
      </w:r>
      <w:r w:rsidR="006268A8" w:rsidRPr="00651C65">
        <w:t xml:space="preserve">; </w:t>
      </w:r>
      <w:r w:rsidR="006268A8" w:rsidRPr="00651C65">
        <w:rPr>
          <w:i/>
        </w:rPr>
        <w:t>M</w:t>
      </w:r>
      <w:r w:rsidR="006268A8" w:rsidRPr="00651C65">
        <w:rPr>
          <w:i/>
          <w:vertAlign w:val="subscript"/>
        </w:rPr>
        <w:t xml:space="preserve">age </w:t>
      </w:r>
      <w:r w:rsidR="006268A8" w:rsidRPr="00651C65">
        <w:t xml:space="preserve">= </w:t>
      </w:r>
      <w:r w:rsidR="00726240">
        <w:t>36.48</w:t>
      </w:r>
      <w:r w:rsidR="006268A8" w:rsidRPr="00651C65">
        <w:t xml:space="preserve">, </w:t>
      </w:r>
      <w:proofErr w:type="spellStart"/>
      <w:r w:rsidR="006268A8" w:rsidRPr="00651C65">
        <w:rPr>
          <w:i/>
        </w:rPr>
        <w:t>SD</w:t>
      </w:r>
      <w:r w:rsidR="006268A8" w:rsidRPr="00651C65">
        <w:rPr>
          <w:i/>
          <w:vertAlign w:val="subscript"/>
        </w:rPr>
        <w:t>age</w:t>
      </w:r>
      <w:proofErr w:type="spellEnd"/>
      <w:r w:rsidR="006268A8" w:rsidRPr="00651C65">
        <w:t xml:space="preserve"> = </w:t>
      </w:r>
      <w:r w:rsidR="00726240">
        <w:t>11.61</w:t>
      </w:r>
      <w:r w:rsidR="006268A8" w:rsidRPr="00651C65">
        <w:t>).</w:t>
      </w:r>
    </w:p>
    <w:p w14:paraId="4020C25B" w14:textId="41242FD9" w:rsidR="00A731C2" w:rsidRDefault="00A731C2" w:rsidP="006268A8">
      <w:pPr>
        <w:spacing w:line="480" w:lineRule="auto"/>
        <w:ind w:firstLine="720"/>
      </w:pPr>
      <w:r w:rsidRPr="00A731C2">
        <w:rPr>
          <w:b/>
        </w:rPr>
        <w:t>Procedure and materials.</w:t>
      </w:r>
      <w:r>
        <w:t xml:space="preserve"> </w:t>
      </w:r>
      <w:r w:rsidR="006268A8">
        <w:t>The procedure and materials were identical to the ones</w:t>
      </w:r>
      <w:r w:rsidR="00EE22D0">
        <w:t xml:space="preserve"> in</w:t>
      </w:r>
      <w:r w:rsidR="00AE1D15">
        <w:t xml:space="preserve"> </w:t>
      </w:r>
      <w:r w:rsidR="006268A8">
        <w:t xml:space="preserve">Study </w:t>
      </w:r>
      <w:r w:rsidR="00A812E3">
        <w:t>S1</w:t>
      </w:r>
      <w:r w:rsidR="006268A8">
        <w:t>a.</w:t>
      </w:r>
    </w:p>
    <w:p w14:paraId="43CCE6F0" w14:textId="77777777" w:rsidR="00A731C2" w:rsidRDefault="00A731C2" w:rsidP="00A731C2">
      <w:pPr>
        <w:pStyle w:val="Heading2"/>
      </w:pPr>
      <w:r>
        <w:lastRenderedPageBreak/>
        <w:t>Results</w:t>
      </w:r>
    </w:p>
    <w:p w14:paraId="6A5C635B" w14:textId="60E6EB08" w:rsidR="006268A8" w:rsidRDefault="006268A8" w:rsidP="006268A8">
      <w:pPr>
        <w:spacing w:line="480" w:lineRule="auto"/>
        <w:ind w:firstLine="720"/>
      </w:pPr>
      <w:r>
        <w:t>The data were aggregated</w:t>
      </w:r>
      <w:r w:rsidR="00AE1D15">
        <w:t xml:space="preserve"> </w:t>
      </w:r>
      <w:r w:rsidR="00EE22D0">
        <w:t>in</w:t>
      </w:r>
      <w:r w:rsidR="00AE1D15">
        <w:t xml:space="preserve"> </w:t>
      </w:r>
      <w:r>
        <w:t>line with the procedures of Study 1</w:t>
      </w:r>
      <w:r w:rsidR="00377EC8">
        <w:t>a</w:t>
      </w:r>
      <w:r>
        <w:t xml:space="preserve">. Means and </w:t>
      </w:r>
      <w:r w:rsidR="002703DB">
        <w:t xml:space="preserve">95% confidence intervals </w:t>
      </w:r>
      <w:r>
        <w:t>are presented</w:t>
      </w:r>
      <w:r w:rsidR="00AE1D15">
        <w:t xml:space="preserve"> </w:t>
      </w:r>
      <w:r w:rsidR="00EE22D0">
        <w:t>in</w:t>
      </w:r>
      <w:r w:rsidR="00AE1D15">
        <w:t xml:space="preserve"> </w:t>
      </w:r>
      <w:r w:rsidR="00455B5A">
        <w:t xml:space="preserve">Table </w:t>
      </w:r>
      <w:r w:rsidR="004E2374">
        <w:t>S1</w:t>
      </w:r>
      <w:r>
        <w:t>.</w:t>
      </w:r>
    </w:p>
    <w:p w14:paraId="641381D9" w14:textId="20CBDAF8" w:rsidR="004E2374" w:rsidRDefault="003A7FF6" w:rsidP="003A7FF6">
      <w:pPr>
        <w:spacing w:line="480" w:lineRule="auto"/>
        <w:ind w:firstLine="720"/>
      </w:pPr>
      <w:r w:rsidRPr="00A731C2">
        <w:rPr>
          <w:b/>
        </w:rPr>
        <w:t>Traditional analysis.</w:t>
      </w:r>
      <w:r w:rsidR="00AE1D15">
        <w:t xml:space="preserve"> I</w:t>
      </w:r>
      <w:r w:rsidR="00EE22D0">
        <w:t>n</w:t>
      </w:r>
      <w:r w:rsidR="00AE1D15">
        <w:t xml:space="preserve"> </w:t>
      </w:r>
      <w:r>
        <w:t xml:space="preserve">line with Study </w:t>
      </w:r>
      <w:r w:rsidR="004E2374">
        <w:t>S1</w:t>
      </w:r>
      <w:r>
        <w:t>a, we first investigated participants’ responses on moral dilemmas involving a proscriptive norm that prohibits action</w:t>
      </w:r>
      <w:r w:rsidR="00EE22D0">
        <w:t xml:space="preserve"> in</w:t>
      </w:r>
      <w:r w:rsidR="00AE1D15">
        <w:t xml:space="preserve"> </w:t>
      </w:r>
      <w:r>
        <w:t xml:space="preserve">cases where the benefits of action outweigh its costs to well-being. </w:t>
      </w:r>
      <w:r w:rsidR="004E2374">
        <w:t xml:space="preserve">Replicating the findings of Study S1a, there was no significant effect of the salience of harm manipulation on participants’ responses on this type of dilemma, </w:t>
      </w:r>
      <w:proofErr w:type="gramStart"/>
      <w:r w:rsidR="004E2374" w:rsidRPr="00EF45C0">
        <w:rPr>
          <w:i/>
        </w:rPr>
        <w:t>t</w:t>
      </w:r>
      <w:r w:rsidR="004E2374">
        <w:t>(</w:t>
      </w:r>
      <w:proofErr w:type="gramEnd"/>
      <w:r w:rsidR="004E2374">
        <w:t>189) =</w:t>
      </w:r>
      <w:r w:rsidR="00CA2DE9">
        <w:t xml:space="preserve"> </w:t>
      </w:r>
      <w:r w:rsidR="004E2374">
        <w:t xml:space="preserve">1.08, </w:t>
      </w:r>
      <w:r w:rsidR="004E2374" w:rsidRPr="00EF45C0">
        <w:rPr>
          <w:i/>
        </w:rPr>
        <w:t>p</w:t>
      </w:r>
      <w:r w:rsidR="004E2374">
        <w:t xml:space="preserve"> = .28</w:t>
      </w:r>
      <w:r w:rsidR="00377EC8">
        <w:t>2</w:t>
      </w:r>
      <w:r w:rsidR="004E2374">
        <w:t xml:space="preserve">, </w:t>
      </w:r>
      <w:r w:rsidR="004E2374" w:rsidRPr="00EF45C0">
        <w:rPr>
          <w:i/>
        </w:rPr>
        <w:t>d</w:t>
      </w:r>
      <w:r w:rsidR="004E2374">
        <w:t xml:space="preserve"> = 0.</w:t>
      </w:r>
      <w:r w:rsidR="009868E2">
        <w:t>158</w:t>
      </w:r>
      <w:r w:rsidR="004E2374">
        <w:t xml:space="preserve"> (see Table S1). </w:t>
      </w:r>
    </w:p>
    <w:p w14:paraId="0F042C35" w14:textId="087940DA" w:rsidR="00D83228" w:rsidRDefault="00D83228" w:rsidP="00D83228">
      <w:pPr>
        <w:spacing w:line="480" w:lineRule="auto"/>
        <w:ind w:firstLine="720"/>
      </w:pPr>
      <w:r w:rsidRPr="00167E16">
        <w:rPr>
          <w:b/>
        </w:rPr>
        <w:t>PD analysis.</w:t>
      </w:r>
      <w:r>
        <w:t xml:space="preserve"> PD scores were calculated in line with the procedures of Study 1a. </w:t>
      </w:r>
      <w:r w:rsidR="00CA2DE9">
        <w:t xml:space="preserve">There </w:t>
      </w:r>
      <w:r w:rsidR="0047250A">
        <w:t xml:space="preserve">was </w:t>
      </w:r>
      <w:r w:rsidR="00F7217A">
        <w:t xml:space="preserve">a </w:t>
      </w:r>
      <w:r w:rsidR="0047250A">
        <w:t>significant</w:t>
      </w:r>
      <w:r>
        <w:t xml:space="preserve"> effect of Salience of Harm </w:t>
      </w:r>
      <w:r w:rsidR="0047250A">
        <w:t xml:space="preserve">on </w:t>
      </w:r>
      <w:r>
        <w:t xml:space="preserve">the </w:t>
      </w:r>
      <w:r w:rsidRPr="00582225">
        <w:rPr>
          <w:i/>
        </w:rPr>
        <w:t>D</w:t>
      </w:r>
      <w:r>
        <w:t xml:space="preserve"> parameter</w:t>
      </w:r>
      <w:r w:rsidR="0047250A">
        <w:t xml:space="preserve">, such that </w:t>
      </w:r>
      <w:r w:rsidR="0047250A" w:rsidRPr="00971790">
        <w:rPr>
          <w:i/>
        </w:rPr>
        <w:t>D</w:t>
      </w:r>
      <w:r w:rsidR="0047250A">
        <w:t xml:space="preserve"> scores were higher in the low salience condition compared to the high salience condition</w:t>
      </w:r>
      <w:r>
        <w:t xml:space="preserve"> (</w:t>
      </w:r>
      <w:proofErr w:type="spellStart"/>
      <w:r w:rsidRPr="00CC43DC">
        <w:rPr>
          <w:i/>
        </w:rPr>
        <w:t>M</w:t>
      </w:r>
      <w:r>
        <w:t>s</w:t>
      </w:r>
      <w:proofErr w:type="spellEnd"/>
      <w:r>
        <w:t xml:space="preserve"> = 0.</w:t>
      </w:r>
      <w:r w:rsidR="00CA2DE9">
        <w:t>75</w:t>
      </w:r>
      <w:r>
        <w:t xml:space="preserve"> vs. </w:t>
      </w:r>
      <w:r w:rsidR="00EE79EA">
        <w:t>0.</w:t>
      </w:r>
      <w:r w:rsidR="00CA2DE9">
        <w:t>68</w:t>
      </w:r>
      <w:r>
        <w:t xml:space="preserve">, respectively), </w:t>
      </w:r>
      <w:proofErr w:type="gramStart"/>
      <w:r w:rsidR="00CA2DE9" w:rsidRPr="00EF45C0">
        <w:rPr>
          <w:i/>
        </w:rPr>
        <w:t>t</w:t>
      </w:r>
      <w:r w:rsidR="00CA2DE9">
        <w:t>(</w:t>
      </w:r>
      <w:proofErr w:type="gramEnd"/>
      <w:r w:rsidR="00CA2DE9">
        <w:t xml:space="preserve">189) = 2.08, </w:t>
      </w:r>
      <w:r w:rsidR="00CA2DE9" w:rsidRPr="00EF45C0">
        <w:rPr>
          <w:i/>
        </w:rPr>
        <w:t>p</w:t>
      </w:r>
      <w:r w:rsidR="00CA2DE9">
        <w:t xml:space="preserve"> = .038, </w:t>
      </w:r>
      <w:r w:rsidR="00CA2DE9" w:rsidRPr="00EF45C0">
        <w:rPr>
          <w:i/>
        </w:rPr>
        <w:t>d</w:t>
      </w:r>
      <w:r w:rsidR="00CA2DE9">
        <w:t xml:space="preserve"> = </w:t>
      </w:r>
      <w:r w:rsidR="002F7D76">
        <w:t>0.302</w:t>
      </w:r>
      <w:r w:rsidR="00CA2DE9">
        <w:t xml:space="preserve">. There was no significant effect on the </w:t>
      </w:r>
      <w:r w:rsidRPr="00582225">
        <w:rPr>
          <w:i/>
        </w:rPr>
        <w:t>U</w:t>
      </w:r>
      <w:r>
        <w:t xml:space="preserve"> parameter (</w:t>
      </w:r>
      <w:proofErr w:type="spellStart"/>
      <w:r w:rsidRPr="00CC43DC">
        <w:rPr>
          <w:i/>
        </w:rPr>
        <w:t>M</w:t>
      </w:r>
      <w:r w:rsidR="00EE79EA">
        <w:t>s</w:t>
      </w:r>
      <w:proofErr w:type="spellEnd"/>
      <w:r w:rsidR="00EE79EA">
        <w:t xml:space="preserve"> = 0.22 vs. 0.17</w:t>
      </w:r>
      <w:r>
        <w:t xml:space="preserve">, respectively), </w:t>
      </w:r>
      <w:proofErr w:type="gramStart"/>
      <w:r w:rsidR="00CA2DE9" w:rsidRPr="00EF45C0">
        <w:rPr>
          <w:i/>
        </w:rPr>
        <w:t>t</w:t>
      </w:r>
      <w:r w:rsidR="00CA2DE9">
        <w:t>(</w:t>
      </w:r>
      <w:proofErr w:type="gramEnd"/>
      <w:r w:rsidR="00CA2DE9">
        <w:t xml:space="preserve">189) =1.55, </w:t>
      </w:r>
      <w:r w:rsidR="00CA2DE9" w:rsidRPr="00EF45C0">
        <w:rPr>
          <w:i/>
        </w:rPr>
        <w:t>p</w:t>
      </w:r>
      <w:r w:rsidR="00CA2DE9">
        <w:t xml:space="preserve"> = .122, </w:t>
      </w:r>
      <w:r w:rsidR="00CA2DE9" w:rsidRPr="00EF45C0">
        <w:rPr>
          <w:i/>
        </w:rPr>
        <w:t>d</w:t>
      </w:r>
      <w:r w:rsidR="00CA2DE9">
        <w:t xml:space="preserve"> = </w:t>
      </w:r>
      <w:r w:rsidR="002F7D76">
        <w:t>0.227</w:t>
      </w:r>
      <w:r>
        <w:t xml:space="preserve">. </w:t>
      </w:r>
      <w:r w:rsidR="00C23E5C">
        <w:t xml:space="preserve">The current effect on the </w:t>
      </w:r>
      <w:r w:rsidR="00C23E5C" w:rsidRPr="00582225">
        <w:rPr>
          <w:i/>
        </w:rPr>
        <w:t>D</w:t>
      </w:r>
      <w:r w:rsidR="00C23E5C">
        <w:t xml:space="preserve"> parameter is opposite to the one </w:t>
      </w:r>
      <w:r w:rsidR="00066203">
        <w:t xml:space="preserve">obtained by Conway and Gawronski (2013) who found higher </w:t>
      </w:r>
      <w:r w:rsidR="00066203" w:rsidRPr="00582225">
        <w:rPr>
          <w:i/>
        </w:rPr>
        <w:t>D</w:t>
      </w:r>
      <w:r w:rsidR="00066203">
        <w:t xml:space="preserve"> scores in the high salience condition compared to the low salience condition</w:t>
      </w:r>
      <w:r>
        <w:t>.</w:t>
      </w:r>
    </w:p>
    <w:p w14:paraId="73E9545D" w14:textId="418BC5C3" w:rsidR="003A7FF6" w:rsidRDefault="00582225" w:rsidP="003A7FF6">
      <w:pPr>
        <w:spacing w:line="480" w:lineRule="auto"/>
        <w:ind w:firstLine="720"/>
      </w:pPr>
      <w:r>
        <w:rPr>
          <w:b/>
        </w:rPr>
        <w:t>CNI</w:t>
      </w:r>
      <w:r w:rsidR="003A7FF6" w:rsidRPr="00A731C2">
        <w:rPr>
          <w:b/>
        </w:rPr>
        <w:t xml:space="preserve"> model.</w:t>
      </w:r>
      <w:r w:rsidR="003A7FF6">
        <w:t xml:space="preserve"> </w:t>
      </w:r>
      <w:r w:rsidR="00F7217A">
        <w:t>The</w:t>
      </w:r>
      <w:r w:rsidR="00D74C9D">
        <w:t xml:space="preserve"> </w:t>
      </w:r>
      <w:r>
        <w:t xml:space="preserve">CNI </w:t>
      </w:r>
      <w:r w:rsidR="003A7FF6">
        <w:t>model fit the data</w:t>
      </w:r>
      <w:r w:rsidR="00EB7195">
        <w:t xml:space="preserve"> well</w:t>
      </w:r>
      <w:r w:rsidR="003A7FF6">
        <w:t xml:space="preserve">, </w:t>
      </w:r>
      <w:proofErr w:type="gramStart"/>
      <w:r w:rsidR="003A7FF6" w:rsidRPr="00FA1D71">
        <w:rPr>
          <w:i/>
        </w:rPr>
        <w:t>G</w:t>
      </w:r>
      <w:r w:rsidR="003A7FF6" w:rsidRPr="00FA1D71">
        <w:rPr>
          <w:vertAlign w:val="superscript"/>
        </w:rPr>
        <w:t>2</w:t>
      </w:r>
      <w:r w:rsidR="003A7FF6">
        <w:t>(</w:t>
      </w:r>
      <w:proofErr w:type="gramEnd"/>
      <w:r w:rsidR="003A7FF6">
        <w:t>2</w:t>
      </w:r>
      <w:r w:rsidR="004E2374">
        <w:t>) = 0</w:t>
      </w:r>
      <w:r w:rsidR="00EB7195">
        <w:t>.</w:t>
      </w:r>
      <w:r w:rsidR="004E2374">
        <w:t>84</w:t>
      </w:r>
      <w:r w:rsidR="003A7FF6">
        <w:t xml:space="preserve">, </w:t>
      </w:r>
      <w:r w:rsidR="003A7FF6" w:rsidRPr="00FA1D71">
        <w:rPr>
          <w:i/>
        </w:rPr>
        <w:t>p</w:t>
      </w:r>
      <w:r w:rsidR="003A7FF6">
        <w:t xml:space="preserve"> = .</w:t>
      </w:r>
      <w:r w:rsidR="004E2374">
        <w:t>6</w:t>
      </w:r>
      <w:r w:rsidR="00ED1DB2">
        <w:t>5</w:t>
      </w:r>
      <w:r w:rsidR="004E2374">
        <w:t>6</w:t>
      </w:r>
      <w:r w:rsidR="003A7FF6">
        <w:t xml:space="preserve">. </w:t>
      </w:r>
      <w:r w:rsidR="004E2374">
        <w:t>There was a significant effect on the</w:t>
      </w:r>
      <w:r w:rsidR="00AE1D15">
        <w:t xml:space="preserve"> </w:t>
      </w:r>
      <w:r w:rsidR="00AE1D15" w:rsidRPr="00ED1DB2">
        <w:rPr>
          <w:i/>
        </w:rPr>
        <w:t>N</w:t>
      </w:r>
      <w:r w:rsidR="00AE1D15">
        <w:t xml:space="preserve"> </w:t>
      </w:r>
      <w:r w:rsidR="004E2374">
        <w:t>parameter, such that participants</w:t>
      </w:r>
      <w:r w:rsidR="00EE22D0">
        <w:t xml:space="preserve"> in</w:t>
      </w:r>
      <w:r w:rsidR="00AE1D15">
        <w:t xml:space="preserve"> </w:t>
      </w:r>
      <w:r w:rsidR="004E2374">
        <w:t xml:space="preserve">the high salience condition showed a </w:t>
      </w:r>
      <w:r w:rsidR="00466E3B">
        <w:t xml:space="preserve">lower </w:t>
      </w:r>
      <w:r w:rsidR="004E2374">
        <w:t>sensitivity to moral norms than participants</w:t>
      </w:r>
      <w:r w:rsidR="00AE1D15">
        <w:t xml:space="preserve"> </w:t>
      </w:r>
      <w:r w:rsidR="00EE22D0">
        <w:t>in</w:t>
      </w:r>
      <w:r w:rsidR="00AE1D15">
        <w:t xml:space="preserve"> </w:t>
      </w:r>
      <w:r w:rsidR="004E2374">
        <w:t>the low salience condition</w:t>
      </w:r>
      <w:r w:rsidR="003A7FF6">
        <w:t xml:space="preserve">, </w:t>
      </w:r>
      <w:proofErr w:type="gramStart"/>
      <w:r w:rsidR="00FB4D69">
        <w:t>Δ</w:t>
      </w:r>
      <w:r w:rsidR="003A7FF6" w:rsidRPr="00FA1D71">
        <w:rPr>
          <w:i/>
        </w:rPr>
        <w:t>G</w:t>
      </w:r>
      <w:r w:rsidR="003A7FF6" w:rsidRPr="00FA1D71">
        <w:rPr>
          <w:vertAlign w:val="superscript"/>
        </w:rPr>
        <w:t>2</w:t>
      </w:r>
      <w:r w:rsidR="003A7FF6">
        <w:t>(</w:t>
      </w:r>
      <w:proofErr w:type="gramEnd"/>
      <w:r w:rsidR="003A7FF6">
        <w:t xml:space="preserve">1) = </w:t>
      </w:r>
      <w:r w:rsidR="004E2374">
        <w:t>15.79</w:t>
      </w:r>
      <w:r w:rsidR="003A7FF6">
        <w:t xml:space="preserve">, </w:t>
      </w:r>
      <w:r w:rsidR="003A7FF6" w:rsidRPr="00FA1D71">
        <w:rPr>
          <w:i/>
        </w:rPr>
        <w:t>p</w:t>
      </w:r>
      <w:r w:rsidR="004E2374">
        <w:t xml:space="preserve"> &lt; .001</w:t>
      </w:r>
      <w:r w:rsidR="00591051">
        <w:t xml:space="preserve">, </w:t>
      </w:r>
      <w:r w:rsidR="00591051" w:rsidRPr="00591051">
        <w:rPr>
          <w:i/>
        </w:rPr>
        <w:t>d</w:t>
      </w:r>
      <w:r w:rsidR="00591051">
        <w:t xml:space="preserve"> = 0.580</w:t>
      </w:r>
      <w:r w:rsidR="004E2374">
        <w:t>.</w:t>
      </w:r>
      <w:r w:rsidR="003A7FF6">
        <w:t xml:space="preserve"> </w:t>
      </w:r>
      <w:r w:rsidR="004E2374">
        <w:t xml:space="preserve">There was also a significant effect on </w:t>
      </w:r>
      <w:r w:rsidR="003A7FF6" w:rsidRPr="002553E8">
        <w:t>the</w:t>
      </w:r>
      <w:r w:rsidR="00AE1D15">
        <w:t xml:space="preserve"> </w:t>
      </w:r>
      <w:r w:rsidR="00AE1D15" w:rsidRPr="00ED1DB2">
        <w:rPr>
          <w:i/>
        </w:rPr>
        <w:t>C</w:t>
      </w:r>
      <w:r w:rsidR="00AE1D15">
        <w:t xml:space="preserve"> </w:t>
      </w:r>
      <w:r w:rsidR="003A7FF6" w:rsidRPr="002553E8">
        <w:t>parameter</w:t>
      </w:r>
      <w:r w:rsidR="003A7FF6">
        <w:t xml:space="preserve">, </w:t>
      </w:r>
      <w:r w:rsidR="004E2374">
        <w:t>such that participants</w:t>
      </w:r>
      <w:r w:rsidR="00AE1D15">
        <w:t xml:space="preserve"> </w:t>
      </w:r>
      <w:r w:rsidR="00EE22D0">
        <w:t>in</w:t>
      </w:r>
      <w:r w:rsidR="00AE1D15">
        <w:t xml:space="preserve"> </w:t>
      </w:r>
      <w:r w:rsidR="004E2374">
        <w:t xml:space="preserve">the high salience condition showed a </w:t>
      </w:r>
      <w:r w:rsidR="00466E3B">
        <w:t xml:space="preserve">lower </w:t>
      </w:r>
      <w:r w:rsidR="004E2374">
        <w:t>sensitivity to outcomes than participants</w:t>
      </w:r>
      <w:r w:rsidR="00AE1D15">
        <w:t xml:space="preserve"> </w:t>
      </w:r>
      <w:r w:rsidR="00EE22D0">
        <w:t>in</w:t>
      </w:r>
      <w:r w:rsidR="00AE1D15">
        <w:t xml:space="preserve"> </w:t>
      </w:r>
      <w:r w:rsidR="004E2374">
        <w:t>the low salience condition</w:t>
      </w:r>
      <w:r w:rsidR="00FB4D69">
        <w:t>,</w:t>
      </w:r>
      <w:r w:rsidR="004E2374" w:rsidRPr="00FA1D71">
        <w:rPr>
          <w:i/>
        </w:rPr>
        <w:t xml:space="preserve"> </w:t>
      </w:r>
      <w:proofErr w:type="gramStart"/>
      <w:r w:rsidR="00FB4D69">
        <w:t>Δ</w:t>
      </w:r>
      <w:r w:rsidR="003A7FF6" w:rsidRPr="00FA1D71">
        <w:rPr>
          <w:i/>
        </w:rPr>
        <w:t>G</w:t>
      </w:r>
      <w:r w:rsidR="003A7FF6" w:rsidRPr="00FA1D71">
        <w:rPr>
          <w:vertAlign w:val="superscript"/>
        </w:rPr>
        <w:t>2</w:t>
      </w:r>
      <w:r w:rsidR="003A7FF6">
        <w:t>(</w:t>
      </w:r>
      <w:proofErr w:type="gramEnd"/>
      <w:r w:rsidR="003A7FF6">
        <w:t xml:space="preserve">1) = </w:t>
      </w:r>
      <w:r w:rsidR="004E2374">
        <w:t>4.40</w:t>
      </w:r>
      <w:r w:rsidR="003A7FF6">
        <w:t xml:space="preserve">, </w:t>
      </w:r>
      <w:r w:rsidR="003A7FF6" w:rsidRPr="00FA1D71">
        <w:rPr>
          <w:i/>
        </w:rPr>
        <w:t>p</w:t>
      </w:r>
      <w:r w:rsidR="003A7FF6">
        <w:t xml:space="preserve"> = .</w:t>
      </w:r>
      <w:r w:rsidR="00ED1DB2">
        <w:t>036</w:t>
      </w:r>
      <w:r w:rsidR="00591051">
        <w:t xml:space="preserve">, </w:t>
      </w:r>
      <w:r w:rsidR="00591051" w:rsidRPr="00591051">
        <w:rPr>
          <w:i/>
        </w:rPr>
        <w:t>d</w:t>
      </w:r>
      <w:r w:rsidR="00591051">
        <w:t xml:space="preserve"> = 0.</w:t>
      </w:r>
      <w:r w:rsidR="00951CB9">
        <w:t>305</w:t>
      </w:r>
      <w:r w:rsidR="003A7FF6" w:rsidRPr="002553E8">
        <w:t xml:space="preserve">. </w:t>
      </w:r>
      <w:r w:rsidR="004E2374">
        <w:t xml:space="preserve">There was no significant effect of salience of harm </w:t>
      </w:r>
      <w:r w:rsidR="004E2374" w:rsidRPr="002553E8">
        <w:t>on the</w:t>
      </w:r>
      <w:r w:rsidR="00AE1D15">
        <w:t xml:space="preserve"> </w:t>
      </w:r>
      <w:r w:rsidR="00AE1D15" w:rsidRPr="00ED1DB2">
        <w:rPr>
          <w:i/>
        </w:rPr>
        <w:t>I</w:t>
      </w:r>
      <w:r w:rsidR="00AE1D15">
        <w:t xml:space="preserve"> </w:t>
      </w:r>
      <w:r w:rsidR="004E2374" w:rsidRPr="002553E8">
        <w:t xml:space="preserve">parameter, </w:t>
      </w:r>
      <w:proofErr w:type="gramStart"/>
      <w:r w:rsidR="00FB4D69">
        <w:t>Δ</w:t>
      </w:r>
      <w:r w:rsidR="004E2374" w:rsidRPr="00FA1D71">
        <w:rPr>
          <w:i/>
        </w:rPr>
        <w:t>G</w:t>
      </w:r>
      <w:r w:rsidR="004E2374" w:rsidRPr="00FA1D71">
        <w:rPr>
          <w:vertAlign w:val="superscript"/>
        </w:rPr>
        <w:t>2</w:t>
      </w:r>
      <w:r w:rsidR="004E2374">
        <w:t>(</w:t>
      </w:r>
      <w:proofErr w:type="gramEnd"/>
      <w:r w:rsidR="004E2374">
        <w:t xml:space="preserve">1) = 0.97, </w:t>
      </w:r>
      <w:r w:rsidR="004E2374" w:rsidRPr="00FA1D71">
        <w:rPr>
          <w:i/>
        </w:rPr>
        <w:t>p</w:t>
      </w:r>
      <w:r w:rsidR="004E2374">
        <w:t xml:space="preserve"> = .32</w:t>
      </w:r>
      <w:r w:rsidR="00ED1DB2">
        <w:t>5</w:t>
      </w:r>
      <w:r w:rsidR="00591051">
        <w:t xml:space="preserve">, </w:t>
      </w:r>
      <w:r w:rsidR="00591051" w:rsidRPr="00591051">
        <w:rPr>
          <w:i/>
        </w:rPr>
        <w:t>d</w:t>
      </w:r>
      <w:r w:rsidR="00591051">
        <w:t xml:space="preserve"> = 0.</w:t>
      </w:r>
      <w:r w:rsidR="00951CB9">
        <w:t>144</w:t>
      </w:r>
      <w:r w:rsidR="004E2374">
        <w:t xml:space="preserve"> (see Figure S2)</w:t>
      </w:r>
      <w:r w:rsidR="004E2374" w:rsidRPr="002553E8">
        <w:t xml:space="preserve">. </w:t>
      </w:r>
    </w:p>
    <w:p w14:paraId="4C8BB53C" w14:textId="7B951CC2" w:rsidR="00EE618C" w:rsidRDefault="00EE618C" w:rsidP="00EE618C">
      <w:pPr>
        <w:pStyle w:val="Heading1"/>
      </w:pPr>
      <w:r>
        <w:lastRenderedPageBreak/>
        <w:t>Discussion</w:t>
      </w:r>
    </w:p>
    <w:p w14:paraId="26B4A7C6" w14:textId="74E8364F" w:rsidR="00EE618C" w:rsidRDefault="00EE618C" w:rsidP="003A7FF6">
      <w:pPr>
        <w:spacing w:line="480" w:lineRule="auto"/>
        <w:ind w:firstLine="720"/>
      </w:pPr>
      <w:r>
        <w:t xml:space="preserve">Although </w:t>
      </w:r>
      <w:r w:rsidR="005305E4">
        <w:t xml:space="preserve">the CNI </w:t>
      </w:r>
      <w:r>
        <w:t>model fit the data well in both S</w:t>
      </w:r>
      <w:r w:rsidR="00866CA8">
        <w:t>tudy</w:t>
      </w:r>
      <w:r>
        <w:t xml:space="preserve"> S1a and </w:t>
      </w:r>
      <w:r w:rsidR="00866CA8">
        <w:t xml:space="preserve">Study </w:t>
      </w:r>
      <w:r>
        <w:t xml:space="preserve">S1b, images of the focal targets had inconsistent effects on the three parameters. In Study S1a, presenting images of the focal targets failed to produce any significant effects at all. In the Study S1b, the same manipulation significantly decreased scores on the </w:t>
      </w:r>
      <w:r w:rsidRPr="001B18C0">
        <w:rPr>
          <w:i/>
        </w:rPr>
        <w:t>N</w:t>
      </w:r>
      <w:r>
        <w:t xml:space="preserve"> and the </w:t>
      </w:r>
      <w:r w:rsidRPr="001B18C0">
        <w:rPr>
          <w:i/>
        </w:rPr>
        <w:t>C</w:t>
      </w:r>
      <w:r>
        <w:t xml:space="preserve"> parameters without affecting </w:t>
      </w:r>
      <w:proofErr w:type="gramStart"/>
      <w:r>
        <w:t xml:space="preserve">the </w:t>
      </w:r>
      <w:r w:rsidRPr="001B18C0">
        <w:rPr>
          <w:i/>
        </w:rPr>
        <w:t>I</w:t>
      </w:r>
      <w:proofErr w:type="gramEnd"/>
      <w:r>
        <w:t xml:space="preserve"> parameter. In line with our stated practice of </w:t>
      </w:r>
      <w:r w:rsidRPr="00AE07CA">
        <w:t>limiting interpretations to parameter effects that replicate across studies</w:t>
      </w:r>
      <w:r>
        <w:t xml:space="preserve">, we refrain from drawing any conclusions from these findings. Because the two studies also failed to reproduce the original findings by Conway and Gawronski (2013), we attribute the inconsistent results to unreliable effects of Conway and </w:t>
      </w:r>
      <w:proofErr w:type="spellStart"/>
      <w:r>
        <w:t>Gawronski’s</w:t>
      </w:r>
      <w:proofErr w:type="spellEnd"/>
      <w:r>
        <w:t xml:space="preserve"> picture manipulation.</w:t>
      </w:r>
      <w:r w:rsidR="006D053F">
        <w:t xml:space="preserve"> Whereas Conway and Gawronski found a significant increase in the </w:t>
      </w:r>
      <w:r w:rsidR="006D053F" w:rsidRPr="00EE618C">
        <w:rPr>
          <w:i/>
        </w:rPr>
        <w:t>D</w:t>
      </w:r>
      <w:r w:rsidR="006D053F">
        <w:t xml:space="preserve"> parameter as a result of images of the focal targets, Study S1b found a significant decrease in the </w:t>
      </w:r>
      <w:r w:rsidR="006D053F" w:rsidRPr="006D053F">
        <w:rPr>
          <w:i/>
        </w:rPr>
        <w:t>D</w:t>
      </w:r>
      <w:r w:rsidR="006D053F">
        <w:t xml:space="preserve"> parameter of the PD model.</w:t>
      </w:r>
    </w:p>
    <w:p w14:paraId="3BB28E89" w14:textId="77777777" w:rsidR="004F269A" w:rsidRDefault="004F269A">
      <w:pPr>
        <w:spacing w:after="160" w:line="259" w:lineRule="auto"/>
        <w:rPr>
          <w:rFonts w:eastAsiaTheme="majorEastAsia"/>
          <w:b/>
          <w:color w:val="000000" w:themeColor="text1"/>
        </w:rPr>
      </w:pPr>
      <w:r>
        <w:br w:type="page"/>
      </w:r>
    </w:p>
    <w:p w14:paraId="6401533E" w14:textId="50AA98BE" w:rsidR="00AC16F3" w:rsidRDefault="00AC16F3" w:rsidP="004F269A">
      <w:pPr>
        <w:pStyle w:val="Heading1"/>
      </w:pPr>
      <w:r>
        <w:lastRenderedPageBreak/>
        <w:t>References</w:t>
      </w:r>
    </w:p>
    <w:p w14:paraId="21E35A33" w14:textId="77777777" w:rsidR="00AC16F3" w:rsidRPr="001839DA" w:rsidRDefault="00AC16F3" w:rsidP="00AC16F3">
      <w:pPr>
        <w:spacing w:line="480" w:lineRule="auto"/>
        <w:ind w:left="709" w:hanging="709"/>
      </w:pPr>
      <w:r w:rsidRPr="001839DA">
        <w:t xml:space="preserve">Amit, E., &amp; Greene, J. D. (2012). You see, the ends don’t justify the means: Visual imagery and moral judgment. </w:t>
      </w:r>
      <w:r w:rsidRPr="001839DA">
        <w:rPr>
          <w:i/>
        </w:rPr>
        <w:t>Psychological Science, 23,</w:t>
      </w:r>
      <w:r w:rsidRPr="001839DA">
        <w:t xml:space="preserve"> 861-868. </w:t>
      </w:r>
    </w:p>
    <w:p w14:paraId="15C7483F" w14:textId="77777777" w:rsidR="00AC16F3" w:rsidRPr="001839DA" w:rsidRDefault="00AC16F3" w:rsidP="00AC16F3">
      <w:pPr>
        <w:spacing w:line="480" w:lineRule="auto"/>
        <w:ind w:left="709" w:hanging="709"/>
      </w:pPr>
      <w:r w:rsidRPr="001839DA">
        <w:t xml:space="preserve">Conway, P., &amp; Gawronski, B. (2013). Deontological and utilitarian inclinations in moral decision-making: A process dissociation approach. </w:t>
      </w:r>
      <w:r w:rsidRPr="001839DA">
        <w:rPr>
          <w:i/>
          <w:iCs/>
        </w:rPr>
        <w:t xml:space="preserve">Journal of Personality and Social Psychology, 104, </w:t>
      </w:r>
      <w:r w:rsidRPr="001839DA">
        <w:t>216-235.</w:t>
      </w:r>
    </w:p>
    <w:p w14:paraId="7F6F183A" w14:textId="77777777" w:rsidR="00EE2605" w:rsidRDefault="00EE2605">
      <w:pPr>
        <w:spacing w:after="160" w:line="259" w:lineRule="auto"/>
      </w:pPr>
    </w:p>
    <w:p w14:paraId="00C60FA9" w14:textId="77777777" w:rsidR="00EE2605" w:rsidRDefault="00EE2605" w:rsidP="00EE2605">
      <w:pPr>
        <w:spacing w:after="160" w:line="480" w:lineRule="auto"/>
        <w:rPr>
          <w:b/>
        </w:rPr>
        <w:sectPr w:rsidR="00EE2605" w:rsidSect="00F805FF">
          <w:headerReference w:type="default" r:id="rId8"/>
          <w:pgSz w:w="12240" w:h="15840"/>
          <w:pgMar w:top="1440" w:right="1440" w:bottom="1440" w:left="1440" w:header="720" w:footer="720" w:gutter="0"/>
          <w:cols w:space="720"/>
          <w:docGrid w:linePitch="360"/>
        </w:sectPr>
      </w:pPr>
    </w:p>
    <w:p w14:paraId="07DC309E" w14:textId="10ED759F" w:rsidR="00EE2605" w:rsidRDefault="00EE2605" w:rsidP="00EE2605">
      <w:pPr>
        <w:spacing w:after="160" w:line="480" w:lineRule="auto"/>
      </w:pPr>
      <w:r>
        <w:rPr>
          <w:b/>
        </w:rPr>
        <w:lastRenderedPageBreak/>
        <w:t xml:space="preserve">Table S1. </w:t>
      </w:r>
      <w:r>
        <w:t xml:space="preserve">Means and standard deviations of action (vs. inaction) responses on moral dilemmas with proscriptive and prescriptive norms and cost-benefit ratios involving benefits of action that are either greater or smaller than costs of action (scores can range from 0 to 6). </w:t>
      </w:r>
    </w:p>
    <w:tbl>
      <w:tblPr>
        <w:tblW w:w="12900" w:type="dxa"/>
        <w:tblInd w:w="108" w:type="dxa"/>
        <w:tblLayout w:type="fixed"/>
        <w:tblLook w:val="0000" w:firstRow="0" w:lastRow="0" w:firstColumn="0" w:lastColumn="0" w:noHBand="0" w:noVBand="0"/>
      </w:tblPr>
      <w:tblGrid>
        <w:gridCol w:w="2694"/>
        <w:gridCol w:w="888"/>
        <w:gridCol w:w="1663"/>
        <w:gridCol w:w="947"/>
        <w:gridCol w:w="1605"/>
        <w:gridCol w:w="915"/>
        <w:gridCol w:w="1636"/>
        <w:gridCol w:w="884"/>
        <w:gridCol w:w="1668"/>
      </w:tblGrid>
      <w:tr w:rsidR="00EE2605" w:rsidRPr="0072143B" w14:paraId="7BE61CF8" w14:textId="77777777" w:rsidTr="000E373B">
        <w:tc>
          <w:tcPr>
            <w:tcW w:w="2694" w:type="dxa"/>
            <w:tcBorders>
              <w:top w:val="single" w:sz="4" w:space="0" w:color="auto"/>
            </w:tcBorders>
          </w:tcPr>
          <w:p w14:paraId="2541DB97" w14:textId="77777777" w:rsidR="00EE2605" w:rsidRPr="00932069" w:rsidRDefault="00EE2605" w:rsidP="000E373B">
            <w:pPr>
              <w:spacing w:before="120" w:after="120"/>
              <w:rPr>
                <w:sz w:val="22"/>
                <w:szCs w:val="18"/>
              </w:rPr>
            </w:pPr>
            <w:r w:rsidRPr="00932069">
              <w:rPr>
                <w:sz w:val="22"/>
              </w:rPr>
              <w:t xml:space="preserve"> </w:t>
            </w:r>
          </w:p>
        </w:tc>
        <w:tc>
          <w:tcPr>
            <w:tcW w:w="5103" w:type="dxa"/>
            <w:gridSpan w:val="4"/>
            <w:tcBorders>
              <w:top w:val="single" w:sz="4" w:space="0" w:color="auto"/>
            </w:tcBorders>
          </w:tcPr>
          <w:p w14:paraId="6A92008D" w14:textId="77777777" w:rsidR="00EE2605" w:rsidRPr="00932069" w:rsidRDefault="00EE2605" w:rsidP="000E373B">
            <w:pPr>
              <w:spacing w:before="120" w:after="120"/>
              <w:jc w:val="center"/>
              <w:rPr>
                <w:sz w:val="22"/>
                <w:szCs w:val="18"/>
              </w:rPr>
            </w:pPr>
            <w:r w:rsidRPr="00932069">
              <w:rPr>
                <w:sz w:val="22"/>
                <w:szCs w:val="18"/>
              </w:rPr>
              <w:t>Proscriptive Norm Prohibits Action</w:t>
            </w:r>
          </w:p>
        </w:tc>
        <w:tc>
          <w:tcPr>
            <w:tcW w:w="5103" w:type="dxa"/>
            <w:gridSpan w:val="4"/>
            <w:tcBorders>
              <w:top w:val="single" w:sz="4" w:space="0" w:color="auto"/>
            </w:tcBorders>
          </w:tcPr>
          <w:p w14:paraId="7E2C131C" w14:textId="77777777" w:rsidR="00EE2605" w:rsidRPr="00932069" w:rsidRDefault="00EE2605" w:rsidP="000E373B">
            <w:pPr>
              <w:spacing w:before="120" w:after="120"/>
              <w:jc w:val="center"/>
              <w:rPr>
                <w:sz w:val="22"/>
                <w:szCs w:val="18"/>
              </w:rPr>
            </w:pPr>
            <w:r w:rsidRPr="00932069">
              <w:rPr>
                <w:sz w:val="22"/>
                <w:szCs w:val="18"/>
              </w:rPr>
              <w:t>Prescriptive Norm Prescribes Action</w:t>
            </w:r>
          </w:p>
        </w:tc>
      </w:tr>
      <w:tr w:rsidR="00EE2605" w:rsidRPr="0072143B" w14:paraId="275978B0" w14:textId="77777777" w:rsidTr="000E373B">
        <w:tc>
          <w:tcPr>
            <w:tcW w:w="2694" w:type="dxa"/>
          </w:tcPr>
          <w:p w14:paraId="45F2436A" w14:textId="77777777" w:rsidR="00EE2605" w:rsidRPr="00932069" w:rsidRDefault="00EE2605" w:rsidP="000E373B">
            <w:pPr>
              <w:spacing w:before="120" w:after="120"/>
              <w:rPr>
                <w:sz w:val="22"/>
                <w:szCs w:val="18"/>
              </w:rPr>
            </w:pPr>
          </w:p>
        </w:tc>
        <w:tc>
          <w:tcPr>
            <w:tcW w:w="2551" w:type="dxa"/>
            <w:gridSpan w:val="2"/>
          </w:tcPr>
          <w:p w14:paraId="7A1113F1" w14:textId="77777777" w:rsidR="00EE2605" w:rsidRPr="00932069" w:rsidRDefault="00EE2605" w:rsidP="000E373B">
            <w:pPr>
              <w:spacing w:before="120"/>
              <w:jc w:val="center"/>
              <w:rPr>
                <w:sz w:val="22"/>
                <w:szCs w:val="18"/>
              </w:rPr>
            </w:pPr>
            <w:r w:rsidRPr="00932069">
              <w:rPr>
                <w:sz w:val="22"/>
                <w:szCs w:val="18"/>
              </w:rPr>
              <w:t xml:space="preserve">Benefits of Action </w:t>
            </w:r>
          </w:p>
          <w:p w14:paraId="7C370DF7" w14:textId="77777777" w:rsidR="00EE2605" w:rsidRPr="00932069" w:rsidRDefault="00EE2605" w:rsidP="000E373B">
            <w:pPr>
              <w:spacing w:after="120"/>
              <w:jc w:val="center"/>
              <w:rPr>
                <w:sz w:val="22"/>
                <w:szCs w:val="18"/>
                <w:lang w:val="en-CA"/>
              </w:rPr>
            </w:pPr>
            <w:r w:rsidRPr="00932069">
              <w:rPr>
                <w:sz w:val="22"/>
                <w:szCs w:val="18"/>
              </w:rPr>
              <w:t>Greater than Costs</w:t>
            </w:r>
          </w:p>
        </w:tc>
        <w:tc>
          <w:tcPr>
            <w:tcW w:w="2552" w:type="dxa"/>
            <w:gridSpan w:val="2"/>
          </w:tcPr>
          <w:p w14:paraId="671FC1E0" w14:textId="77777777" w:rsidR="00EE2605" w:rsidRPr="00932069" w:rsidRDefault="00EE2605" w:rsidP="000E373B">
            <w:pPr>
              <w:spacing w:before="120"/>
              <w:jc w:val="center"/>
              <w:rPr>
                <w:sz w:val="22"/>
                <w:szCs w:val="18"/>
              </w:rPr>
            </w:pPr>
            <w:r w:rsidRPr="00932069">
              <w:rPr>
                <w:sz w:val="22"/>
                <w:szCs w:val="18"/>
              </w:rPr>
              <w:t xml:space="preserve">Benefits of Action </w:t>
            </w:r>
          </w:p>
          <w:p w14:paraId="485DA609" w14:textId="77777777" w:rsidR="00EE2605" w:rsidRPr="00932069" w:rsidRDefault="00EE2605" w:rsidP="000E373B">
            <w:pPr>
              <w:spacing w:after="120"/>
              <w:jc w:val="center"/>
              <w:rPr>
                <w:sz w:val="22"/>
                <w:szCs w:val="18"/>
                <w:lang w:val="en-CA"/>
              </w:rPr>
            </w:pPr>
            <w:r w:rsidRPr="00932069">
              <w:rPr>
                <w:sz w:val="22"/>
                <w:szCs w:val="18"/>
              </w:rPr>
              <w:t>Smaller than Costs</w:t>
            </w:r>
          </w:p>
        </w:tc>
        <w:tc>
          <w:tcPr>
            <w:tcW w:w="2551" w:type="dxa"/>
            <w:gridSpan w:val="2"/>
          </w:tcPr>
          <w:p w14:paraId="4BB7842E" w14:textId="77777777" w:rsidR="00EE2605" w:rsidRPr="00932069" w:rsidRDefault="00EE2605" w:rsidP="000E373B">
            <w:pPr>
              <w:spacing w:before="120"/>
              <w:jc w:val="center"/>
              <w:rPr>
                <w:sz w:val="22"/>
                <w:szCs w:val="18"/>
              </w:rPr>
            </w:pPr>
            <w:r w:rsidRPr="00932069">
              <w:rPr>
                <w:sz w:val="22"/>
                <w:szCs w:val="18"/>
              </w:rPr>
              <w:t xml:space="preserve">Benefits of Action </w:t>
            </w:r>
          </w:p>
          <w:p w14:paraId="5A56BB8A" w14:textId="77777777" w:rsidR="00EE2605" w:rsidRPr="00932069" w:rsidRDefault="00EE2605" w:rsidP="000E373B">
            <w:pPr>
              <w:spacing w:after="120"/>
              <w:jc w:val="center"/>
              <w:rPr>
                <w:sz w:val="22"/>
                <w:szCs w:val="18"/>
              </w:rPr>
            </w:pPr>
            <w:r w:rsidRPr="00932069">
              <w:rPr>
                <w:sz w:val="22"/>
                <w:szCs w:val="18"/>
              </w:rPr>
              <w:t>Greater than Costs</w:t>
            </w:r>
          </w:p>
        </w:tc>
        <w:tc>
          <w:tcPr>
            <w:tcW w:w="2552" w:type="dxa"/>
            <w:gridSpan w:val="2"/>
          </w:tcPr>
          <w:p w14:paraId="4C658D60" w14:textId="77777777" w:rsidR="00EE2605" w:rsidRPr="00932069" w:rsidRDefault="00EE2605" w:rsidP="000E373B">
            <w:pPr>
              <w:spacing w:before="120"/>
              <w:jc w:val="center"/>
              <w:rPr>
                <w:sz w:val="22"/>
                <w:szCs w:val="18"/>
              </w:rPr>
            </w:pPr>
            <w:r w:rsidRPr="00932069">
              <w:rPr>
                <w:sz w:val="22"/>
                <w:szCs w:val="18"/>
              </w:rPr>
              <w:t xml:space="preserve">Benefits of Action </w:t>
            </w:r>
          </w:p>
          <w:p w14:paraId="6EED7975" w14:textId="77777777" w:rsidR="00EE2605" w:rsidRPr="00932069" w:rsidRDefault="00EE2605" w:rsidP="000E373B">
            <w:pPr>
              <w:spacing w:after="120"/>
              <w:jc w:val="center"/>
              <w:rPr>
                <w:sz w:val="22"/>
                <w:szCs w:val="18"/>
              </w:rPr>
            </w:pPr>
            <w:r w:rsidRPr="00932069">
              <w:rPr>
                <w:sz w:val="22"/>
                <w:szCs w:val="18"/>
              </w:rPr>
              <w:t>Smaller than Costs</w:t>
            </w:r>
          </w:p>
        </w:tc>
      </w:tr>
      <w:tr w:rsidR="00EE2605" w:rsidRPr="004F6685" w14:paraId="36B25DBD" w14:textId="77777777" w:rsidTr="000C1CE0">
        <w:tc>
          <w:tcPr>
            <w:tcW w:w="2694" w:type="dxa"/>
            <w:tcBorders>
              <w:bottom w:val="single" w:sz="4" w:space="0" w:color="auto"/>
            </w:tcBorders>
          </w:tcPr>
          <w:p w14:paraId="2E77C318" w14:textId="77777777" w:rsidR="00EE2605" w:rsidRPr="00932069" w:rsidRDefault="00EE2605" w:rsidP="000E373B">
            <w:pPr>
              <w:spacing w:before="120" w:after="120"/>
              <w:jc w:val="center"/>
              <w:rPr>
                <w:i/>
                <w:sz w:val="22"/>
                <w:szCs w:val="18"/>
              </w:rPr>
            </w:pPr>
          </w:p>
        </w:tc>
        <w:tc>
          <w:tcPr>
            <w:tcW w:w="888" w:type="dxa"/>
            <w:tcBorders>
              <w:bottom w:val="single" w:sz="4" w:space="0" w:color="auto"/>
            </w:tcBorders>
          </w:tcPr>
          <w:p w14:paraId="43842A50" w14:textId="77777777" w:rsidR="00EE2605" w:rsidRPr="00932069" w:rsidRDefault="00EE2605" w:rsidP="000E373B">
            <w:pPr>
              <w:spacing w:before="120" w:after="120"/>
              <w:jc w:val="center"/>
              <w:rPr>
                <w:i/>
                <w:sz w:val="22"/>
                <w:szCs w:val="18"/>
              </w:rPr>
            </w:pPr>
            <w:r w:rsidRPr="00932069">
              <w:rPr>
                <w:i/>
                <w:sz w:val="22"/>
                <w:szCs w:val="18"/>
              </w:rPr>
              <w:t>M</w:t>
            </w:r>
          </w:p>
        </w:tc>
        <w:tc>
          <w:tcPr>
            <w:tcW w:w="1663" w:type="dxa"/>
            <w:tcBorders>
              <w:bottom w:val="single" w:sz="4" w:space="0" w:color="auto"/>
            </w:tcBorders>
          </w:tcPr>
          <w:p w14:paraId="40581A8D" w14:textId="2E2FE7CC" w:rsidR="00EE2605" w:rsidRPr="000C1CE0" w:rsidRDefault="000C1CE0" w:rsidP="000E373B">
            <w:pPr>
              <w:spacing w:before="120" w:after="120"/>
              <w:jc w:val="center"/>
              <w:rPr>
                <w:sz w:val="22"/>
                <w:szCs w:val="18"/>
              </w:rPr>
            </w:pPr>
            <w:r>
              <w:rPr>
                <w:sz w:val="22"/>
                <w:szCs w:val="18"/>
              </w:rPr>
              <w:t>95% CI</w:t>
            </w:r>
          </w:p>
        </w:tc>
        <w:tc>
          <w:tcPr>
            <w:tcW w:w="947" w:type="dxa"/>
            <w:tcBorders>
              <w:bottom w:val="single" w:sz="4" w:space="0" w:color="auto"/>
            </w:tcBorders>
          </w:tcPr>
          <w:p w14:paraId="0EFF64BF" w14:textId="77777777" w:rsidR="00EE2605" w:rsidRPr="00932069" w:rsidRDefault="00EE2605" w:rsidP="000E373B">
            <w:pPr>
              <w:spacing w:before="120" w:after="120"/>
              <w:jc w:val="center"/>
              <w:rPr>
                <w:i/>
                <w:sz w:val="22"/>
                <w:szCs w:val="18"/>
              </w:rPr>
            </w:pPr>
            <w:r w:rsidRPr="00932069">
              <w:rPr>
                <w:i/>
                <w:sz w:val="22"/>
                <w:szCs w:val="18"/>
              </w:rPr>
              <w:t>M</w:t>
            </w:r>
          </w:p>
        </w:tc>
        <w:tc>
          <w:tcPr>
            <w:tcW w:w="1605" w:type="dxa"/>
            <w:tcBorders>
              <w:bottom w:val="single" w:sz="4" w:space="0" w:color="auto"/>
            </w:tcBorders>
          </w:tcPr>
          <w:p w14:paraId="76C8BED6" w14:textId="1B20161A" w:rsidR="00EE2605" w:rsidRPr="00932069" w:rsidRDefault="000C1CE0" w:rsidP="000E373B">
            <w:pPr>
              <w:spacing w:before="120" w:after="120"/>
              <w:jc w:val="center"/>
              <w:rPr>
                <w:i/>
                <w:sz w:val="22"/>
                <w:szCs w:val="18"/>
              </w:rPr>
            </w:pPr>
            <w:r>
              <w:rPr>
                <w:sz w:val="22"/>
                <w:szCs w:val="18"/>
              </w:rPr>
              <w:t>95% CI</w:t>
            </w:r>
          </w:p>
        </w:tc>
        <w:tc>
          <w:tcPr>
            <w:tcW w:w="915" w:type="dxa"/>
            <w:tcBorders>
              <w:bottom w:val="single" w:sz="4" w:space="0" w:color="auto"/>
            </w:tcBorders>
          </w:tcPr>
          <w:p w14:paraId="0E4E1493" w14:textId="77777777" w:rsidR="00EE2605" w:rsidRPr="00932069" w:rsidRDefault="00EE2605" w:rsidP="000E373B">
            <w:pPr>
              <w:spacing w:before="120" w:after="120"/>
              <w:jc w:val="center"/>
              <w:rPr>
                <w:i/>
                <w:sz w:val="22"/>
                <w:szCs w:val="18"/>
              </w:rPr>
            </w:pPr>
            <w:r w:rsidRPr="00932069">
              <w:rPr>
                <w:i/>
                <w:sz w:val="22"/>
                <w:szCs w:val="18"/>
              </w:rPr>
              <w:t>M</w:t>
            </w:r>
          </w:p>
        </w:tc>
        <w:tc>
          <w:tcPr>
            <w:tcW w:w="1636" w:type="dxa"/>
            <w:tcBorders>
              <w:bottom w:val="single" w:sz="4" w:space="0" w:color="auto"/>
            </w:tcBorders>
          </w:tcPr>
          <w:p w14:paraId="64781667" w14:textId="4C99CA90" w:rsidR="00EE2605" w:rsidRPr="00932069" w:rsidRDefault="000C1CE0" w:rsidP="000E373B">
            <w:pPr>
              <w:spacing w:before="120" w:after="120"/>
              <w:jc w:val="center"/>
              <w:rPr>
                <w:i/>
                <w:sz w:val="22"/>
                <w:szCs w:val="18"/>
              </w:rPr>
            </w:pPr>
            <w:r>
              <w:rPr>
                <w:sz w:val="22"/>
                <w:szCs w:val="18"/>
              </w:rPr>
              <w:t>95% CI</w:t>
            </w:r>
          </w:p>
        </w:tc>
        <w:tc>
          <w:tcPr>
            <w:tcW w:w="884" w:type="dxa"/>
            <w:tcBorders>
              <w:bottom w:val="single" w:sz="4" w:space="0" w:color="auto"/>
            </w:tcBorders>
          </w:tcPr>
          <w:p w14:paraId="6E0066CD" w14:textId="77777777" w:rsidR="00EE2605" w:rsidRPr="00932069" w:rsidRDefault="00EE2605" w:rsidP="000E373B">
            <w:pPr>
              <w:spacing w:before="120" w:after="120"/>
              <w:jc w:val="center"/>
              <w:rPr>
                <w:i/>
                <w:sz w:val="22"/>
                <w:szCs w:val="18"/>
              </w:rPr>
            </w:pPr>
            <w:r w:rsidRPr="00932069">
              <w:rPr>
                <w:i/>
                <w:sz w:val="22"/>
                <w:szCs w:val="18"/>
              </w:rPr>
              <w:t>M</w:t>
            </w:r>
          </w:p>
        </w:tc>
        <w:tc>
          <w:tcPr>
            <w:tcW w:w="1668" w:type="dxa"/>
            <w:tcBorders>
              <w:bottom w:val="single" w:sz="4" w:space="0" w:color="auto"/>
            </w:tcBorders>
          </w:tcPr>
          <w:p w14:paraId="2074AA34" w14:textId="438988F1" w:rsidR="00EE2605" w:rsidRPr="00932069" w:rsidRDefault="000C1CE0" w:rsidP="000E373B">
            <w:pPr>
              <w:spacing w:before="120" w:after="120"/>
              <w:jc w:val="center"/>
              <w:rPr>
                <w:i/>
                <w:sz w:val="22"/>
                <w:szCs w:val="18"/>
              </w:rPr>
            </w:pPr>
            <w:r>
              <w:rPr>
                <w:sz w:val="22"/>
                <w:szCs w:val="18"/>
              </w:rPr>
              <w:t>95% CI</w:t>
            </w:r>
          </w:p>
        </w:tc>
      </w:tr>
      <w:tr w:rsidR="00EE2605" w:rsidRPr="0072143B" w14:paraId="3A58E2B9" w14:textId="77777777" w:rsidTr="000C1CE0">
        <w:tc>
          <w:tcPr>
            <w:tcW w:w="2694" w:type="dxa"/>
            <w:tcBorders>
              <w:top w:val="single" w:sz="4" w:space="0" w:color="auto"/>
            </w:tcBorders>
          </w:tcPr>
          <w:p w14:paraId="73C2F51F" w14:textId="012046C7" w:rsidR="00EE2605" w:rsidRPr="00932069" w:rsidRDefault="00EE2605">
            <w:pPr>
              <w:spacing w:before="120" w:after="120"/>
              <w:rPr>
                <w:sz w:val="22"/>
                <w:szCs w:val="18"/>
              </w:rPr>
            </w:pPr>
            <w:r>
              <w:rPr>
                <w:sz w:val="22"/>
                <w:szCs w:val="18"/>
              </w:rPr>
              <w:t xml:space="preserve">Study </w:t>
            </w:r>
            <w:r w:rsidR="00674966">
              <w:rPr>
                <w:sz w:val="22"/>
                <w:szCs w:val="18"/>
              </w:rPr>
              <w:t>S1a</w:t>
            </w:r>
          </w:p>
        </w:tc>
        <w:tc>
          <w:tcPr>
            <w:tcW w:w="888" w:type="dxa"/>
            <w:tcBorders>
              <w:top w:val="single" w:sz="4" w:space="0" w:color="auto"/>
            </w:tcBorders>
          </w:tcPr>
          <w:p w14:paraId="1942A1D2" w14:textId="77777777" w:rsidR="00EE2605" w:rsidRPr="00932069" w:rsidRDefault="00EE2605" w:rsidP="000E373B">
            <w:pPr>
              <w:spacing w:before="120" w:after="120"/>
              <w:jc w:val="center"/>
              <w:rPr>
                <w:sz w:val="22"/>
                <w:szCs w:val="18"/>
              </w:rPr>
            </w:pPr>
          </w:p>
        </w:tc>
        <w:tc>
          <w:tcPr>
            <w:tcW w:w="1663" w:type="dxa"/>
            <w:tcBorders>
              <w:top w:val="single" w:sz="4" w:space="0" w:color="auto"/>
            </w:tcBorders>
          </w:tcPr>
          <w:p w14:paraId="2C46BCFF" w14:textId="77777777" w:rsidR="00EE2605" w:rsidRPr="00932069" w:rsidRDefault="00EE2605" w:rsidP="000E373B">
            <w:pPr>
              <w:spacing w:before="120" w:after="120"/>
              <w:jc w:val="center"/>
              <w:rPr>
                <w:sz w:val="22"/>
                <w:szCs w:val="18"/>
              </w:rPr>
            </w:pPr>
          </w:p>
        </w:tc>
        <w:tc>
          <w:tcPr>
            <w:tcW w:w="947" w:type="dxa"/>
            <w:tcBorders>
              <w:top w:val="single" w:sz="4" w:space="0" w:color="auto"/>
            </w:tcBorders>
          </w:tcPr>
          <w:p w14:paraId="30CD55F5" w14:textId="77777777" w:rsidR="00EE2605" w:rsidRPr="00932069" w:rsidRDefault="00EE2605" w:rsidP="000E373B">
            <w:pPr>
              <w:spacing w:before="120" w:after="120"/>
              <w:jc w:val="center"/>
              <w:rPr>
                <w:sz w:val="22"/>
                <w:szCs w:val="18"/>
              </w:rPr>
            </w:pPr>
          </w:p>
        </w:tc>
        <w:tc>
          <w:tcPr>
            <w:tcW w:w="1605" w:type="dxa"/>
            <w:tcBorders>
              <w:top w:val="single" w:sz="4" w:space="0" w:color="auto"/>
            </w:tcBorders>
          </w:tcPr>
          <w:p w14:paraId="5067713E" w14:textId="77777777" w:rsidR="00EE2605" w:rsidRPr="00932069" w:rsidRDefault="00EE2605" w:rsidP="000E373B">
            <w:pPr>
              <w:spacing w:before="120" w:after="120"/>
              <w:jc w:val="center"/>
              <w:rPr>
                <w:sz w:val="22"/>
                <w:szCs w:val="18"/>
              </w:rPr>
            </w:pPr>
          </w:p>
        </w:tc>
        <w:tc>
          <w:tcPr>
            <w:tcW w:w="915" w:type="dxa"/>
            <w:tcBorders>
              <w:top w:val="single" w:sz="4" w:space="0" w:color="auto"/>
            </w:tcBorders>
          </w:tcPr>
          <w:p w14:paraId="2B703E2D" w14:textId="77777777" w:rsidR="00EE2605" w:rsidRPr="00932069" w:rsidRDefault="00EE2605" w:rsidP="000E373B">
            <w:pPr>
              <w:spacing w:before="120" w:after="120"/>
              <w:jc w:val="center"/>
              <w:rPr>
                <w:sz w:val="22"/>
                <w:szCs w:val="18"/>
              </w:rPr>
            </w:pPr>
          </w:p>
        </w:tc>
        <w:tc>
          <w:tcPr>
            <w:tcW w:w="1636" w:type="dxa"/>
            <w:tcBorders>
              <w:top w:val="single" w:sz="4" w:space="0" w:color="auto"/>
            </w:tcBorders>
          </w:tcPr>
          <w:p w14:paraId="0C0E1859" w14:textId="77777777" w:rsidR="00EE2605" w:rsidRPr="00932069" w:rsidRDefault="00EE2605" w:rsidP="000E373B">
            <w:pPr>
              <w:spacing w:before="120" w:after="120"/>
              <w:jc w:val="center"/>
              <w:rPr>
                <w:sz w:val="22"/>
                <w:szCs w:val="18"/>
              </w:rPr>
            </w:pPr>
          </w:p>
        </w:tc>
        <w:tc>
          <w:tcPr>
            <w:tcW w:w="884" w:type="dxa"/>
            <w:tcBorders>
              <w:top w:val="single" w:sz="4" w:space="0" w:color="auto"/>
            </w:tcBorders>
          </w:tcPr>
          <w:p w14:paraId="13C8B333" w14:textId="77777777" w:rsidR="00EE2605" w:rsidRPr="00932069" w:rsidRDefault="00EE2605" w:rsidP="000E373B">
            <w:pPr>
              <w:spacing w:before="120" w:after="120"/>
              <w:jc w:val="center"/>
              <w:rPr>
                <w:sz w:val="22"/>
                <w:szCs w:val="18"/>
              </w:rPr>
            </w:pPr>
          </w:p>
        </w:tc>
        <w:tc>
          <w:tcPr>
            <w:tcW w:w="1668" w:type="dxa"/>
            <w:tcBorders>
              <w:top w:val="single" w:sz="4" w:space="0" w:color="auto"/>
            </w:tcBorders>
          </w:tcPr>
          <w:p w14:paraId="158F6D18" w14:textId="77777777" w:rsidR="00EE2605" w:rsidRPr="00932069" w:rsidRDefault="00EE2605" w:rsidP="000E373B">
            <w:pPr>
              <w:spacing w:before="120" w:after="120"/>
              <w:jc w:val="center"/>
              <w:rPr>
                <w:sz w:val="22"/>
                <w:szCs w:val="18"/>
              </w:rPr>
            </w:pPr>
          </w:p>
        </w:tc>
      </w:tr>
      <w:tr w:rsidR="00EE2605" w:rsidRPr="0072143B" w14:paraId="72B94924" w14:textId="77777777" w:rsidTr="000C1CE0">
        <w:tc>
          <w:tcPr>
            <w:tcW w:w="2694" w:type="dxa"/>
          </w:tcPr>
          <w:p w14:paraId="7EFEA51A" w14:textId="5F5CA93E" w:rsidR="00EE2605" w:rsidRPr="00932069" w:rsidRDefault="00EE2605" w:rsidP="000E373B">
            <w:pPr>
              <w:spacing w:before="120" w:after="120"/>
              <w:ind w:left="318"/>
              <w:rPr>
                <w:sz w:val="22"/>
                <w:szCs w:val="18"/>
              </w:rPr>
            </w:pPr>
            <w:r>
              <w:rPr>
                <w:sz w:val="22"/>
                <w:szCs w:val="18"/>
              </w:rPr>
              <w:t>low salience</w:t>
            </w:r>
          </w:p>
        </w:tc>
        <w:tc>
          <w:tcPr>
            <w:tcW w:w="888" w:type="dxa"/>
          </w:tcPr>
          <w:p w14:paraId="0A10C4BE" w14:textId="002FACBF" w:rsidR="00EE2605" w:rsidRPr="00932069" w:rsidRDefault="00285FC3" w:rsidP="000E373B">
            <w:pPr>
              <w:spacing w:before="120" w:after="120"/>
              <w:jc w:val="center"/>
              <w:rPr>
                <w:sz w:val="22"/>
                <w:szCs w:val="18"/>
              </w:rPr>
            </w:pPr>
            <w:r>
              <w:rPr>
                <w:sz w:val="22"/>
                <w:szCs w:val="18"/>
              </w:rPr>
              <w:t>3.00</w:t>
            </w:r>
          </w:p>
        </w:tc>
        <w:tc>
          <w:tcPr>
            <w:tcW w:w="1663" w:type="dxa"/>
          </w:tcPr>
          <w:p w14:paraId="40586EE3" w14:textId="096880FB" w:rsidR="00EE2605" w:rsidRPr="00932069" w:rsidRDefault="0009671B" w:rsidP="000E373B">
            <w:pPr>
              <w:spacing w:before="120" w:after="120"/>
              <w:jc w:val="center"/>
              <w:rPr>
                <w:sz w:val="22"/>
                <w:szCs w:val="18"/>
              </w:rPr>
            </w:pPr>
            <w:r>
              <w:rPr>
                <w:sz w:val="22"/>
                <w:szCs w:val="18"/>
              </w:rPr>
              <w:t>[2.68, 3.32]</w:t>
            </w:r>
          </w:p>
        </w:tc>
        <w:tc>
          <w:tcPr>
            <w:tcW w:w="947" w:type="dxa"/>
          </w:tcPr>
          <w:p w14:paraId="1BA2C758" w14:textId="793AE20F" w:rsidR="00EE2605" w:rsidRPr="00932069" w:rsidRDefault="00285FC3" w:rsidP="000E373B">
            <w:pPr>
              <w:spacing w:before="120" w:after="120"/>
              <w:jc w:val="center"/>
              <w:rPr>
                <w:sz w:val="22"/>
                <w:szCs w:val="18"/>
              </w:rPr>
            </w:pPr>
            <w:r>
              <w:rPr>
                <w:sz w:val="22"/>
                <w:szCs w:val="18"/>
              </w:rPr>
              <w:t>1.71</w:t>
            </w:r>
          </w:p>
        </w:tc>
        <w:tc>
          <w:tcPr>
            <w:tcW w:w="1605" w:type="dxa"/>
          </w:tcPr>
          <w:p w14:paraId="4EC63C61" w14:textId="34F0446E" w:rsidR="00EE2605" w:rsidRPr="00932069" w:rsidRDefault="0009671B" w:rsidP="000E373B">
            <w:pPr>
              <w:spacing w:before="120" w:after="120"/>
              <w:jc w:val="center"/>
              <w:rPr>
                <w:sz w:val="22"/>
                <w:szCs w:val="18"/>
              </w:rPr>
            </w:pPr>
            <w:r>
              <w:rPr>
                <w:sz w:val="22"/>
                <w:szCs w:val="18"/>
              </w:rPr>
              <w:t>[1.39, 2.02]</w:t>
            </w:r>
          </w:p>
        </w:tc>
        <w:tc>
          <w:tcPr>
            <w:tcW w:w="915" w:type="dxa"/>
          </w:tcPr>
          <w:p w14:paraId="26074508" w14:textId="4A652B8A" w:rsidR="00EE2605" w:rsidRPr="00932069" w:rsidRDefault="00285FC3" w:rsidP="000E373B">
            <w:pPr>
              <w:spacing w:before="120" w:after="120"/>
              <w:jc w:val="center"/>
              <w:rPr>
                <w:sz w:val="22"/>
                <w:szCs w:val="18"/>
              </w:rPr>
            </w:pPr>
            <w:r>
              <w:rPr>
                <w:sz w:val="22"/>
                <w:szCs w:val="18"/>
              </w:rPr>
              <w:t>4.11</w:t>
            </w:r>
          </w:p>
        </w:tc>
        <w:tc>
          <w:tcPr>
            <w:tcW w:w="1636" w:type="dxa"/>
          </w:tcPr>
          <w:p w14:paraId="7FF01E0B" w14:textId="42BD1CD6" w:rsidR="00EE2605" w:rsidRPr="00932069" w:rsidRDefault="0009671B" w:rsidP="000E373B">
            <w:pPr>
              <w:spacing w:before="120" w:after="120"/>
              <w:jc w:val="center"/>
              <w:rPr>
                <w:sz w:val="22"/>
                <w:szCs w:val="18"/>
              </w:rPr>
            </w:pPr>
            <w:r>
              <w:rPr>
                <w:sz w:val="22"/>
                <w:szCs w:val="18"/>
              </w:rPr>
              <w:t>[3.82, 4.39]</w:t>
            </w:r>
          </w:p>
        </w:tc>
        <w:tc>
          <w:tcPr>
            <w:tcW w:w="884" w:type="dxa"/>
          </w:tcPr>
          <w:p w14:paraId="39BD798B" w14:textId="434BC008" w:rsidR="00EE2605" w:rsidRPr="00932069" w:rsidRDefault="00285FC3" w:rsidP="000E373B">
            <w:pPr>
              <w:spacing w:before="120" w:after="120"/>
              <w:jc w:val="center"/>
              <w:rPr>
                <w:sz w:val="22"/>
                <w:szCs w:val="18"/>
              </w:rPr>
            </w:pPr>
            <w:r>
              <w:rPr>
                <w:sz w:val="22"/>
                <w:szCs w:val="18"/>
              </w:rPr>
              <w:t>2.96</w:t>
            </w:r>
          </w:p>
        </w:tc>
        <w:tc>
          <w:tcPr>
            <w:tcW w:w="1668" w:type="dxa"/>
          </w:tcPr>
          <w:p w14:paraId="34EC9267" w14:textId="526EEB53" w:rsidR="00EE2605" w:rsidRPr="00932069" w:rsidRDefault="0009671B" w:rsidP="000E373B">
            <w:pPr>
              <w:spacing w:before="120" w:after="120"/>
              <w:jc w:val="center"/>
              <w:rPr>
                <w:sz w:val="22"/>
                <w:szCs w:val="18"/>
              </w:rPr>
            </w:pPr>
            <w:r>
              <w:rPr>
                <w:sz w:val="22"/>
                <w:szCs w:val="18"/>
              </w:rPr>
              <w:t>[2.69.3.22]</w:t>
            </w:r>
          </w:p>
        </w:tc>
      </w:tr>
      <w:tr w:rsidR="00EE2605" w:rsidRPr="0072143B" w14:paraId="40F1A504" w14:textId="77777777" w:rsidTr="000C1CE0">
        <w:tc>
          <w:tcPr>
            <w:tcW w:w="2694" w:type="dxa"/>
          </w:tcPr>
          <w:p w14:paraId="4937CE1B" w14:textId="55B0AE25" w:rsidR="00EE2605" w:rsidRPr="00932069" w:rsidRDefault="00EE2605" w:rsidP="000E373B">
            <w:pPr>
              <w:spacing w:before="120" w:after="120"/>
              <w:ind w:left="318"/>
              <w:rPr>
                <w:sz w:val="22"/>
                <w:szCs w:val="18"/>
              </w:rPr>
            </w:pPr>
            <w:r>
              <w:rPr>
                <w:sz w:val="22"/>
                <w:szCs w:val="18"/>
              </w:rPr>
              <w:t>high salience</w:t>
            </w:r>
          </w:p>
        </w:tc>
        <w:tc>
          <w:tcPr>
            <w:tcW w:w="888" w:type="dxa"/>
          </w:tcPr>
          <w:p w14:paraId="7CEACE87" w14:textId="4002D3A8" w:rsidR="00EE2605" w:rsidRPr="00932069" w:rsidRDefault="00285FC3" w:rsidP="000E373B">
            <w:pPr>
              <w:spacing w:before="120" w:after="120"/>
              <w:jc w:val="center"/>
              <w:rPr>
                <w:sz w:val="22"/>
                <w:szCs w:val="18"/>
              </w:rPr>
            </w:pPr>
            <w:r>
              <w:rPr>
                <w:sz w:val="22"/>
                <w:szCs w:val="18"/>
              </w:rPr>
              <w:t>2.92</w:t>
            </w:r>
          </w:p>
        </w:tc>
        <w:tc>
          <w:tcPr>
            <w:tcW w:w="1663" w:type="dxa"/>
          </w:tcPr>
          <w:p w14:paraId="57020063" w14:textId="40026A81" w:rsidR="00EE2605" w:rsidRPr="00932069" w:rsidRDefault="001B2CA4" w:rsidP="000E373B">
            <w:pPr>
              <w:spacing w:before="120" w:after="120"/>
              <w:jc w:val="center"/>
              <w:rPr>
                <w:sz w:val="22"/>
                <w:szCs w:val="18"/>
              </w:rPr>
            </w:pPr>
            <w:r>
              <w:rPr>
                <w:sz w:val="22"/>
                <w:szCs w:val="18"/>
              </w:rPr>
              <w:t>[2.61, 3.23]</w:t>
            </w:r>
          </w:p>
        </w:tc>
        <w:tc>
          <w:tcPr>
            <w:tcW w:w="947" w:type="dxa"/>
          </w:tcPr>
          <w:p w14:paraId="02D5ACA9" w14:textId="62FF5EBF" w:rsidR="00EE2605" w:rsidRPr="00932069" w:rsidRDefault="00285FC3" w:rsidP="000E373B">
            <w:pPr>
              <w:spacing w:before="120" w:after="120"/>
              <w:jc w:val="center"/>
              <w:rPr>
                <w:sz w:val="22"/>
                <w:szCs w:val="18"/>
              </w:rPr>
            </w:pPr>
            <w:r>
              <w:rPr>
                <w:sz w:val="22"/>
                <w:szCs w:val="18"/>
              </w:rPr>
              <w:t>1.88</w:t>
            </w:r>
          </w:p>
        </w:tc>
        <w:tc>
          <w:tcPr>
            <w:tcW w:w="1605" w:type="dxa"/>
          </w:tcPr>
          <w:p w14:paraId="5A4D88F0" w14:textId="42B21BD2" w:rsidR="00EE2605" w:rsidRPr="00932069" w:rsidRDefault="001B2CA4" w:rsidP="000E373B">
            <w:pPr>
              <w:spacing w:before="120" w:after="120"/>
              <w:jc w:val="center"/>
              <w:rPr>
                <w:sz w:val="22"/>
                <w:szCs w:val="18"/>
              </w:rPr>
            </w:pPr>
            <w:r>
              <w:rPr>
                <w:sz w:val="22"/>
                <w:szCs w:val="18"/>
              </w:rPr>
              <w:t>[1.57, 2.19]</w:t>
            </w:r>
          </w:p>
        </w:tc>
        <w:tc>
          <w:tcPr>
            <w:tcW w:w="915" w:type="dxa"/>
          </w:tcPr>
          <w:p w14:paraId="6B8B4C35" w14:textId="26443656" w:rsidR="00EE2605" w:rsidRPr="00932069" w:rsidRDefault="00285FC3" w:rsidP="000E373B">
            <w:pPr>
              <w:spacing w:before="120" w:after="120"/>
              <w:jc w:val="center"/>
              <w:rPr>
                <w:sz w:val="22"/>
                <w:szCs w:val="18"/>
              </w:rPr>
            </w:pPr>
            <w:r>
              <w:rPr>
                <w:sz w:val="22"/>
                <w:szCs w:val="18"/>
              </w:rPr>
              <w:t>4.15</w:t>
            </w:r>
          </w:p>
        </w:tc>
        <w:tc>
          <w:tcPr>
            <w:tcW w:w="1636" w:type="dxa"/>
          </w:tcPr>
          <w:p w14:paraId="59F7891C" w14:textId="5F47CB3D" w:rsidR="00EE2605" w:rsidRPr="00932069" w:rsidRDefault="001B2CA4" w:rsidP="000E373B">
            <w:pPr>
              <w:spacing w:before="120" w:after="120"/>
              <w:jc w:val="center"/>
              <w:rPr>
                <w:sz w:val="22"/>
                <w:szCs w:val="18"/>
              </w:rPr>
            </w:pPr>
            <w:r>
              <w:rPr>
                <w:sz w:val="22"/>
                <w:szCs w:val="18"/>
              </w:rPr>
              <w:t>[3.87, 4.43]</w:t>
            </w:r>
          </w:p>
        </w:tc>
        <w:tc>
          <w:tcPr>
            <w:tcW w:w="884" w:type="dxa"/>
          </w:tcPr>
          <w:p w14:paraId="0853DAC1" w14:textId="4C12C5B4" w:rsidR="00EE2605" w:rsidRPr="00932069" w:rsidRDefault="00285FC3" w:rsidP="000E373B">
            <w:pPr>
              <w:spacing w:before="120" w:after="120"/>
              <w:jc w:val="center"/>
              <w:rPr>
                <w:sz w:val="22"/>
                <w:szCs w:val="18"/>
              </w:rPr>
            </w:pPr>
            <w:r>
              <w:rPr>
                <w:sz w:val="22"/>
                <w:szCs w:val="18"/>
              </w:rPr>
              <w:t>3.24</w:t>
            </w:r>
          </w:p>
        </w:tc>
        <w:tc>
          <w:tcPr>
            <w:tcW w:w="1668" w:type="dxa"/>
          </w:tcPr>
          <w:p w14:paraId="13FBE0F4" w14:textId="6AF724B1" w:rsidR="00EE2605" w:rsidRPr="00932069" w:rsidRDefault="001B2CA4" w:rsidP="000E373B">
            <w:pPr>
              <w:spacing w:before="120" w:after="120"/>
              <w:jc w:val="center"/>
              <w:rPr>
                <w:sz w:val="22"/>
                <w:szCs w:val="18"/>
              </w:rPr>
            </w:pPr>
            <w:r>
              <w:rPr>
                <w:sz w:val="22"/>
                <w:szCs w:val="18"/>
              </w:rPr>
              <w:t>[2.98, 3.50]</w:t>
            </w:r>
          </w:p>
        </w:tc>
      </w:tr>
      <w:tr w:rsidR="00EE2605" w:rsidRPr="0072143B" w14:paraId="0432F7FB" w14:textId="77777777" w:rsidTr="000C1CE0">
        <w:tc>
          <w:tcPr>
            <w:tcW w:w="2694" w:type="dxa"/>
          </w:tcPr>
          <w:p w14:paraId="218B5A4A" w14:textId="776BAB60" w:rsidR="00EE2605" w:rsidRPr="00932069" w:rsidRDefault="00EE2605" w:rsidP="00EE2605">
            <w:pPr>
              <w:spacing w:before="120" w:after="120"/>
              <w:rPr>
                <w:sz w:val="22"/>
                <w:szCs w:val="18"/>
              </w:rPr>
            </w:pPr>
            <w:r>
              <w:rPr>
                <w:sz w:val="22"/>
                <w:szCs w:val="18"/>
              </w:rPr>
              <w:t>Study S1b</w:t>
            </w:r>
          </w:p>
        </w:tc>
        <w:tc>
          <w:tcPr>
            <w:tcW w:w="888" w:type="dxa"/>
          </w:tcPr>
          <w:p w14:paraId="7A13856C" w14:textId="77777777" w:rsidR="00EE2605" w:rsidRPr="00EE2605" w:rsidRDefault="00EE2605" w:rsidP="000E373B">
            <w:pPr>
              <w:spacing w:before="120" w:after="120"/>
              <w:jc w:val="center"/>
            </w:pPr>
          </w:p>
        </w:tc>
        <w:tc>
          <w:tcPr>
            <w:tcW w:w="1663" w:type="dxa"/>
          </w:tcPr>
          <w:p w14:paraId="59F27772" w14:textId="77777777" w:rsidR="00EE2605" w:rsidRPr="00EE2605" w:rsidRDefault="00EE2605" w:rsidP="000E373B">
            <w:pPr>
              <w:spacing w:before="120" w:after="120"/>
              <w:jc w:val="center"/>
            </w:pPr>
          </w:p>
        </w:tc>
        <w:tc>
          <w:tcPr>
            <w:tcW w:w="947" w:type="dxa"/>
          </w:tcPr>
          <w:p w14:paraId="45DD29F4" w14:textId="77777777" w:rsidR="00EE2605" w:rsidRPr="00EE2605" w:rsidRDefault="00EE2605" w:rsidP="000E373B">
            <w:pPr>
              <w:spacing w:before="120" w:after="120"/>
              <w:jc w:val="center"/>
            </w:pPr>
          </w:p>
        </w:tc>
        <w:tc>
          <w:tcPr>
            <w:tcW w:w="1605" w:type="dxa"/>
          </w:tcPr>
          <w:p w14:paraId="509F51CD" w14:textId="77777777" w:rsidR="00EE2605" w:rsidRPr="00EE2605" w:rsidRDefault="00EE2605" w:rsidP="000E373B">
            <w:pPr>
              <w:spacing w:before="120" w:after="120"/>
              <w:jc w:val="center"/>
            </w:pPr>
          </w:p>
        </w:tc>
        <w:tc>
          <w:tcPr>
            <w:tcW w:w="915" w:type="dxa"/>
          </w:tcPr>
          <w:p w14:paraId="0B120F5A" w14:textId="77777777" w:rsidR="00EE2605" w:rsidRPr="00EE2605" w:rsidRDefault="00EE2605" w:rsidP="000E373B">
            <w:pPr>
              <w:spacing w:before="120" w:after="120"/>
              <w:jc w:val="center"/>
            </w:pPr>
          </w:p>
        </w:tc>
        <w:tc>
          <w:tcPr>
            <w:tcW w:w="1636" w:type="dxa"/>
          </w:tcPr>
          <w:p w14:paraId="4EE3960F" w14:textId="77777777" w:rsidR="00EE2605" w:rsidRPr="00EE2605" w:rsidRDefault="00EE2605" w:rsidP="000E373B">
            <w:pPr>
              <w:spacing w:before="120" w:after="120"/>
              <w:jc w:val="center"/>
            </w:pPr>
          </w:p>
        </w:tc>
        <w:tc>
          <w:tcPr>
            <w:tcW w:w="884" w:type="dxa"/>
          </w:tcPr>
          <w:p w14:paraId="0C00974B" w14:textId="77777777" w:rsidR="00EE2605" w:rsidRPr="00EE2605" w:rsidRDefault="00EE2605" w:rsidP="000E373B">
            <w:pPr>
              <w:spacing w:before="120" w:after="120"/>
              <w:jc w:val="center"/>
            </w:pPr>
          </w:p>
        </w:tc>
        <w:tc>
          <w:tcPr>
            <w:tcW w:w="1668" w:type="dxa"/>
          </w:tcPr>
          <w:p w14:paraId="0DB8C38F" w14:textId="77777777" w:rsidR="00EE2605" w:rsidRPr="00EE2605" w:rsidRDefault="00EE2605" w:rsidP="000E373B">
            <w:pPr>
              <w:spacing w:before="120" w:after="120"/>
              <w:jc w:val="center"/>
            </w:pPr>
          </w:p>
        </w:tc>
      </w:tr>
      <w:tr w:rsidR="00EE2605" w:rsidRPr="0072143B" w14:paraId="77DE9081" w14:textId="77777777" w:rsidTr="000C1CE0">
        <w:tc>
          <w:tcPr>
            <w:tcW w:w="2694" w:type="dxa"/>
          </w:tcPr>
          <w:p w14:paraId="3260000C" w14:textId="77777777" w:rsidR="00EE2605" w:rsidRPr="00932069" w:rsidRDefault="00EE2605" w:rsidP="000E373B">
            <w:pPr>
              <w:spacing w:before="120" w:after="120"/>
              <w:ind w:left="318"/>
              <w:rPr>
                <w:sz w:val="22"/>
                <w:szCs w:val="18"/>
              </w:rPr>
            </w:pPr>
            <w:r>
              <w:rPr>
                <w:sz w:val="22"/>
                <w:szCs w:val="18"/>
              </w:rPr>
              <w:t>low salience</w:t>
            </w:r>
          </w:p>
        </w:tc>
        <w:tc>
          <w:tcPr>
            <w:tcW w:w="888" w:type="dxa"/>
          </w:tcPr>
          <w:p w14:paraId="27EE981D" w14:textId="1F8F7F6D" w:rsidR="00EE2605" w:rsidRPr="00EE2605" w:rsidRDefault="000F3179" w:rsidP="000E373B">
            <w:pPr>
              <w:spacing w:before="120" w:after="120"/>
              <w:jc w:val="center"/>
            </w:pPr>
            <w:r>
              <w:t>2.58</w:t>
            </w:r>
          </w:p>
        </w:tc>
        <w:tc>
          <w:tcPr>
            <w:tcW w:w="1663" w:type="dxa"/>
          </w:tcPr>
          <w:p w14:paraId="074E5C84" w14:textId="3D56F6A2" w:rsidR="00EE2605" w:rsidRPr="00EE2605" w:rsidRDefault="00512D64" w:rsidP="000E373B">
            <w:pPr>
              <w:spacing w:before="120" w:after="120"/>
              <w:jc w:val="center"/>
            </w:pPr>
            <w:r>
              <w:t>[2.34, 2.83]</w:t>
            </w:r>
          </w:p>
        </w:tc>
        <w:tc>
          <w:tcPr>
            <w:tcW w:w="947" w:type="dxa"/>
          </w:tcPr>
          <w:p w14:paraId="643FEE78" w14:textId="7A8A8AB7" w:rsidR="00EE2605" w:rsidRPr="00EE2605" w:rsidRDefault="000F3179" w:rsidP="000E373B">
            <w:pPr>
              <w:spacing w:before="120" w:after="120"/>
              <w:jc w:val="center"/>
            </w:pPr>
            <w:r>
              <w:t>1.26</w:t>
            </w:r>
          </w:p>
        </w:tc>
        <w:tc>
          <w:tcPr>
            <w:tcW w:w="1605" w:type="dxa"/>
          </w:tcPr>
          <w:p w14:paraId="03AC6C7B" w14:textId="151B2075" w:rsidR="00EE2605" w:rsidRPr="00EE2605" w:rsidRDefault="00512D64" w:rsidP="000E373B">
            <w:pPr>
              <w:spacing w:before="120" w:after="120"/>
              <w:jc w:val="center"/>
            </w:pPr>
            <w:r>
              <w:t>[0.98, 1.54]</w:t>
            </w:r>
          </w:p>
        </w:tc>
        <w:tc>
          <w:tcPr>
            <w:tcW w:w="915" w:type="dxa"/>
          </w:tcPr>
          <w:p w14:paraId="08CA59F8" w14:textId="2CD72EFC" w:rsidR="00EE2605" w:rsidRPr="00EE2605" w:rsidRDefault="000F3179" w:rsidP="000E373B">
            <w:pPr>
              <w:spacing w:before="120" w:after="120"/>
              <w:jc w:val="center"/>
            </w:pPr>
            <w:r>
              <w:t>4.49</w:t>
            </w:r>
          </w:p>
        </w:tc>
        <w:tc>
          <w:tcPr>
            <w:tcW w:w="1636" w:type="dxa"/>
          </w:tcPr>
          <w:p w14:paraId="55EA23CF" w14:textId="2BBB40E7" w:rsidR="00EE2605" w:rsidRPr="00EE2605" w:rsidRDefault="00512D64" w:rsidP="000E373B">
            <w:pPr>
              <w:spacing w:before="120" w:after="120"/>
              <w:jc w:val="center"/>
            </w:pPr>
            <w:r>
              <w:t>[</w:t>
            </w:r>
            <w:r w:rsidR="00E2656A">
              <w:t>4.21, 4.77</w:t>
            </w:r>
            <w:r>
              <w:t>]</w:t>
            </w:r>
          </w:p>
        </w:tc>
        <w:tc>
          <w:tcPr>
            <w:tcW w:w="884" w:type="dxa"/>
          </w:tcPr>
          <w:p w14:paraId="126C9631" w14:textId="3DB6EDFD" w:rsidR="00EE2605" w:rsidRPr="00EE2605" w:rsidRDefault="000F3179" w:rsidP="000E373B">
            <w:pPr>
              <w:spacing w:before="120" w:after="120"/>
              <w:jc w:val="center"/>
            </w:pPr>
            <w:r>
              <w:t>3.26</w:t>
            </w:r>
          </w:p>
        </w:tc>
        <w:tc>
          <w:tcPr>
            <w:tcW w:w="1668" w:type="dxa"/>
          </w:tcPr>
          <w:p w14:paraId="6ACA8F0B" w14:textId="71BD919E" w:rsidR="00EE2605" w:rsidRPr="00EE2605" w:rsidRDefault="00E2656A" w:rsidP="000E373B">
            <w:pPr>
              <w:spacing w:before="120" w:after="120"/>
              <w:jc w:val="center"/>
            </w:pPr>
            <w:r>
              <w:t>[2.98, 3.53]</w:t>
            </w:r>
          </w:p>
        </w:tc>
      </w:tr>
      <w:tr w:rsidR="00EE2605" w:rsidRPr="0072143B" w14:paraId="3A0A5F9D" w14:textId="77777777" w:rsidTr="000C1CE0">
        <w:tc>
          <w:tcPr>
            <w:tcW w:w="2694" w:type="dxa"/>
            <w:tcBorders>
              <w:bottom w:val="single" w:sz="4" w:space="0" w:color="auto"/>
            </w:tcBorders>
          </w:tcPr>
          <w:p w14:paraId="305A9A47" w14:textId="77777777" w:rsidR="00EE2605" w:rsidRPr="00932069" w:rsidRDefault="00EE2605" w:rsidP="000E373B">
            <w:pPr>
              <w:spacing w:before="120" w:after="120"/>
              <w:ind w:left="318"/>
              <w:rPr>
                <w:sz w:val="22"/>
                <w:szCs w:val="18"/>
              </w:rPr>
            </w:pPr>
            <w:r>
              <w:rPr>
                <w:sz w:val="22"/>
                <w:szCs w:val="18"/>
              </w:rPr>
              <w:t>high salience</w:t>
            </w:r>
          </w:p>
        </w:tc>
        <w:tc>
          <w:tcPr>
            <w:tcW w:w="888" w:type="dxa"/>
            <w:tcBorders>
              <w:bottom w:val="single" w:sz="4" w:space="0" w:color="auto"/>
            </w:tcBorders>
          </w:tcPr>
          <w:p w14:paraId="1EDD618C" w14:textId="5F18300B" w:rsidR="00EE2605" w:rsidRPr="00EE2605" w:rsidRDefault="000F3179" w:rsidP="000E373B">
            <w:pPr>
              <w:spacing w:before="120" w:after="120"/>
              <w:jc w:val="center"/>
            </w:pPr>
            <w:r>
              <w:t>2.77</w:t>
            </w:r>
          </w:p>
        </w:tc>
        <w:tc>
          <w:tcPr>
            <w:tcW w:w="1663" w:type="dxa"/>
            <w:tcBorders>
              <w:bottom w:val="single" w:sz="4" w:space="0" w:color="auto"/>
            </w:tcBorders>
          </w:tcPr>
          <w:p w14:paraId="2DF403D7" w14:textId="432EAB42" w:rsidR="00EE2605" w:rsidRPr="00EE2605" w:rsidRDefault="00E2656A" w:rsidP="000E373B">
            <w:pPr>
              <w:spacing w:before="120" w:after="120"/>
              <w:jc w:val="center"/>
            </w:pPr>
            <w:r>
              <w:t>[2.53, 3.01]</w:t>
            </w:r>
          </w:p>
        </w:tc>
        <w:tc>
          <w:tcPr>
            <w:tcW w:w="947" w:type="dxa"/>
            <w:tcBorders>
              <w:bottom w:val="single" w:sz="4" w:space="0" w:color="auto"/>
            </w:tcBorders>
          </w:tcPr>
          <w:p w14:paraId="054409A1" w14:textId="2FF885D8" w:rsidR="00EE2605" w:rsidRPr="00EE2605" w:rsidRDefault="000F3179" w:rsidP="000E373B">
            <w:pPr>
              <w:spacing w:before="120" w:after="120"/>
              <w:jc w:val="center"/>
            </w:pPr>
            <w:r>
              <w:t>1.74</w:t>
            </w:r>
          </w:p>
        </w:tc>
        <w:tc>
          <w:tcPr>
            <w:tcW w:w="1605" w:type="dxa"/>
            <w:tcBorders>
              <w:bottom w:val="single" w:sz="4" w:space="0" w:color="auto"/>
            </w:tcBorders>
          </w:tcPr>
          <w:p w14:paraId="1E3213A6" w14:textId="3906F022" w:rsidR="00EE2605" w:rsidRPr="00EE2605" w:rsidRDefault="00E2656A" w:rsidP="000E373B">
            <w:pPr>
              <w:spacing w:before="120" w:after="120"/>
              <w:jc w:val="center"/>
            </w:pPr>
            <w:r>
              <w:t>[1.47, 2.02]</w:t>
            </w:r>
          </w:p>
        </w:tc>
        <w:tc>
          <w:tcPr>
            <w:tcW w:w="915" w:type="dxa"/>
            <w:tcBorders>
              <w:bottom w:val="single" w:sz="4" w:space="0" w:color="auto"/>
            </w:tcBorders>
          </w:tcPr>
          <w:p w14:paraId="02287697" w14:textId="56323F3B" w:rsidR="00EE2605" w:rsidRPr="00EE2605" w:rsidRDefault="000F3179" w:rsidP="000E373B">
            <w:pPr>
              <w:spacing w:before="120" w:after="120"/>
              <w:jc w:val="center"/>
            </w:pPr>
            <w:r>
              <w:t>4.07</w:t>
            </w:r>
          </w:p>
        </w:tc>
        <w:tc>
          <w:tcPr>
            <w:tcW w:w="1636" w:type="dxa"/>
            <w:tcBorders>
              <w:bottom w:val="single" w:sz="4" w:space="0" w:color="auto"/>
            </w:tcBorders>
          </w:tcPr>
          <w:p w14:paraId="655A2392" w14:textId="130623E0" w:rsidR="00EE2605" w:rsidRPr="00EE2605" w:rsidRDefault="00E2656A" w:rsidP="000E373B">
            <w:pPr>
              <w:spacing w:before="120" w:after="120"/>
              <w:jc w:val="center"/>
            </w:pPr>
            <w:r>
              <w:t>[3.79, 4.35]</w:t>
            </w:r>
          </w:p>
        </w:tc>
        <w:tc>
          <w:tcPr>
            <w:tcW w:w="884" w:type="dxa"/>
            <w:tcBorders>
              <w:bottom w:val="single" w:sz="4" w:space="0" w:color="auto"/>
            </w:tcBorders>
          </w:tcPr>
          <w:p w14:paraId="4E137208" w14:textId="4A651D41" w:rsidR="00EE2605" w:rsidRPr="00EE2605" w:rsidRDefault="000F3179" w:rsidP="000E373B">
            <w:pPr>
              <w:spacing w:before="120" w:after="120"/>
              <w:jc w:val="center"/>
            </w:pPr>
            <w:r>
              <w:t>3.24</w:t>
            </w:r>
          </w:p>
        </w:tc>
        <w:tc>
          <w:tcPr>
            <w:tcW w:w="1668" w:type="dxa"/>
            <w:tcBorders>
              <w:bottom w:val="single" w:sz="4" w:space="0" w:color="auto"/>
            </w:tcBorders>
          </w:tcPr>
          <w:p w14:paraId="5B0A6D27" w14:textId="4A214527" w:rsidR="00EE2605" w:rsidRPr="00EE2605" w:rsidRDefault="00E2656A" w:rsidP="00E2656A">
            <w:pPr>
              <w:spacing w:before="120" w:after="120"/>
              <w:jc w:val="center"/>
            </w:pPr>
            <w:r>
              <w:t>[2.97, 3.51]</w:t>
            </w:r>
          </w:p>
        </w:tc>
      </w:tr>
    </w:tbl>
    <w:p w14:paraId="33A624BD" w14:textId="4643F239" w:rsidR="002F11CA" w:rsidRDefault="002F11CA" w:rsidP="003A7FF6">
      <w:pPr>
        <w:spacing w:line="480" w:lineRule="auto"/>
        <w:ind w:firstLine="720"/>
      </w:pPr>
    </w:p>
    <w:p w14:paraId="37B04CF9" w14:textId="77777777" w:rsidR="002F11CA" w:rsidRDefault="002F11CA">
      <w:pPr>
        <w:spacing w:after="160" w:line="259" w:lineRule="auto"/>
      </w:pPr>
      <w:r>
        <w:br w:type="page"/>
      </w:r>
    </w:p>
    <w:p w14:paraId="03ECE519" w14:textId="77777777" w:rsidR="002F11CA" w:rsidRDefault="002F11CA" w:rsidP="002F11CA">
      <w:pPr>
        <w:spacing w:line="480" w:lineRule="auto"/>
        <w:sectPr w:rsidR="002F11CA" w:rsidSect="00EE2605">
          <w:pgSz w:w="15840" w:h="12240" w:orient="landscape"/>
          <w:pgMar w:top="1440" w:right="1440" w:bottom="1440" w:left="1440" w:header="720" w:footer="720" w:gutter="0"/>
          <w:cols w:space="720"/>
          <w:docGrid w:linePitch="360"/>
        </w:sectPr>
      </w:pPr>
    </w:p>
    <w:p w14:paraId="321D9014" w14:textId="5F7A644B" w:rsidR="002F11CA" w:rsidRPr="00E2115B" w:rsidRDefault="002F11CA" w:rsidP="002F11CA">
      <w:pPr>
        <w:spacing w:line="480" w:lineRule="auto"/>
      </w:pPr>
      <w:r>
        <w:rPr>
          <w:b/>
        </w:rPr>
        <w:lastRenderedPageBreak/>
        <w:t>Figure S1</w:t>
      </w:r>
      <w:r w:rsidRPr="004A2037">
        <w:rPr>
          <w:b/>
        </w:rPr>
        <w:t>.</w:t>
      </w:r>
      <w:r>
        <w:t xml:space="preserve"> Parameter estimates of</w:t>
      </w:r>
      <w:r w:rsidR="0013157C" w:rsidRPr="0013157C">
        <w:t xml:space="preserve"> </w:t>
      </w:r>
      <w:r w:rsidR="0013157C">
        <w:t>sensitivity to consequences (</w:t>
      </w:r>
      <w:r w:rsidR="0013157C" w:rsidRPr="0066537C">
        <w:rPr>
          <w:i/>
        </w:rPr>
        <w:t>C</w:t>
      </w:r>
      <w:r w:rsidR="0013157C">
        <w:t>), sensitivity to norms (</w:t>
      </w:r>
      <w:r w:rsidR="0013157C" w:rsidRPr="0066537C">
        <w:rPr>
          <w:i/>
        </w:rPr>
        <w:t>N</w:t>
      </w:r>
      <w:r w:rsidR="0013157C">
        <w:t>), and general preference for inaction versus action (</w:t>
      </w:r>
      <w:r w:rsidR="0013157C" w:rsidRPr="0066537C">
        <w:rPr>
          <w:i/>
        </w:rPr>
        <w:t>I</w:t>
      </w:r>
      <w:r w:rsidR="0013157C">
        <w:t>)</w:t>
      </w:r>
      <w:r>
        <w:t xml:space="preserve"> as a function of salience of harm (low vs. high), Study S1a. Error bars depict 95% confidence intervals.</w:t>
      </w:r>
    </w:p>
    <w:p w14:paraId="332D23C0" w14:textId="7CD8841A" w:rsidR="002F11CA" w:rsidRDefault="00876FEC" w:rsidP="002F11CA">
      <w:pPr>
        <w:spacing w:line="480" w:lineRule="auto"/>
      </w:pPr>
      <w:r>
        <w:rPr>
          <w:noProof/>
        </w:rPr>
        <w:drawing>
          <wp:inline distT="0" distB="0" distL="0" distR="0" wp14:anchorId="1950D6F4" wp14:editId="22837BEB">
            <wp:extent cx="4838700" cy="4400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53E822" w14:textId="1CFD3B04" w:rsidR="002F11CA" w:rsidRDefault="002F11CA">
      <w:pPr>
        <w:spacing w:after="160" w:line="259" w:lineRule="auto"/>
      </w:pPr>
      <w:r>
        <w:br w:type="page"/>
      </w:r>
    </w:p>
    <w:p w14:paraId="2932F725" w14:textId="09BF2DE8" w:rsidR="002F11CA" w:rsidRPr="00E2115B" w:rsidRDefault="002F11CA" w:rsidP="002F11CA">
      <w:pPr>
        <w:spacing w:line="480" w:lineRule="auto"/>
      </w:pPr>
      <w:r>
        <w:rPr>
          <w:b/>
        </w:rPr>
        <w:lastRenderedPageBreak/>
        <w:t>Figure S2</w:t>
      </w:r>
      <w:r w:rsidRPr="004A2037">
        <w:rPr>
          <w:b/>
        </w:rPr>
        <w:t>.</w:t>
      </w:r>
      <w:r w:rsidR="002F20B2">
        <w:t xml:space="preserve"> </w:t>
      </w:r>
      <w:r w:rsidR="001E2940">
        <w:t xml:space="preserve">Parameter estimates of </w:t>
      </w:r>
      <w:r w:rsidR="0013157C">
        <w:t>sensitivity to consequences (</w:t>
      </w:r>
      <w:r w:rsidR="0013157C" w:rsidRPr="0066537C">
        <w:rPr>
          <w:i/>
        </w:rPr>
        <w:t>C</w:t>
      </w:r>
      <w:r w:rsidR="0013157C">
        <w:t>), sensitivity to norms (</w:t>
      </w:r>
      <w:r w:rsidR="0013157C" w:rsidRPr="0066537C">
        <w:rPr>
          <w:i/>
        </w:rPr>
        <w:t>N</w:t>
      </w:r>
      <w:r w:rsidR="0013157C">
        <w:t>), and general preference for inaction versus action (</w:t>
      </w:r>
      <w:r w:rsidR="0013157C" w:rsidRPr="0066537C">
        <w:rPr>
          <w:i/>
        </w:rPr>
        <w:t>I</w:t>
      </w:r>
      <w:r w:rsidR="0013157C">
        <w:t>)</w:t>
      </w:r>
      <w:r w:rsidR="002F20B2">
        <w:t xml:space="preserve"> </w:t>
      </w:r>
      <w:r>
        <w:t>as a function of salience of harm (low vs. high), Study S1b. Error bars depict 95% confidence intervals.</w:t>
      </w:r>
    </w:p>
    <w:p w14:paraId="3653C1F0" w14:textId="2ADDD3CB" w:rsidR="004D2284" w:rsidRDefault="00876FEC" w:rsidP="00653993">
      <w:pPr>
        <w:spacing w:line="480" w:lineRule="auto"/>
      </w:pPr>
      <w:r>
        <w:rPr>
          <w:noProof/>
        </w:rPr>
        <w:drawing>
          <wp:inline distT="0" distB="0" distL="0" distR="0" wp14:anchorId="27540936" wp14:editId="5DF21230">
            <wp:extent cx="4838700" cy="4400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sectPr w:rsidR="004D2284" w:rsidSect="00653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9DA6" w14:textId="77777777" w:rsidR="00E55BF9" w:rsidRDefault="00E55BF9" w:rsidP="007C0A68">
      <w:r>
        <w:separator/>
      </w:r>
    </w:p>
  </w:endnote>
  <w:endnote w:type="continuationSeparator" w:id="0">
    <w:p w14:paraId="606A9BCC" w14:textId="77777777" w:rsidR="00E55BF9" w:rsidRDefault="00E55BF9" w:rsidP="007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EA29" w14:textId="77777777" w:rsidR="00E55BF9" w:rsidRDefault="00E55BF9" w:rsidP="007C0A68">
      <w:r>
        <w:separator/>
      </w:r>
    </w:p>
  </w:footnote>
  <w:footnote w:type="continuationSeparator" w:id="0">
    <w:p w14:paraId="4F9FFF01" w14:textId="77777777" w:rsidR="00E55BF9" w:rsidRDefault="00E55BF9" w:rsidP="007C0A68">
      <w:r>
        <w:continuationSeparator/>
      </w:r>
    </w:p>
  </w:footnote>
  <w:footnote w:id="1">
    <w:p w14:paraId="70DBF12A" w14:textId="015E738E" w:rsidR="00AB2D2F" w:rsidRPr="001E1964" w:rsidRDefault="00AB2D2F" w:rsidP="0038680F">
      <w:pPr>
        <w:pStyle w:val="FootnoteText"/>
        <w:rPr>
          <w:rFonts w:ascii="Times New Roman" w:hAnsi="Times New Roman" w:cs="Times New Roman"/>
        </w:rPr>
      </w:pPr>
      <w:r w:rsidRPr="001E1964">
        <w:rPr>
          <w:rStyle w:val="FootnoteReference"/>
          <w:rFonts w:ascii="Times New Roman" w:hAnsi="Times New Roman" w:cs="Times New Roman"/>
        </w:rPr>
        <w:footnoteRef/>
      </w:r>
      <w:r w:rsidRPr="001E1964">
        <w:rPr>
          <w:rFonts w:ascii="Times New Roman" w:hAnsi="Times New Roman" w:cs="Times New Roman"/>
        </w:rPr>
        <w:t xml:space="preserve"> </w:t>
      </w:r>
      <w:r w:rsidR="00484198">
        <w:rPr>
          <w:rFonts w:ascii="Times New Roman" w:hAnsi="Times New Roman" w:cs="Times New Roman"/>
        </w:rPr>
        <w:t>Two</w:t>
      </w:r>
      <w:r w:rsidRPr="001E1964">
        <w:rPr>
          <w:rFonts w:ascii="Times New Roman" w:hAnsi="Times New Roman" w:cs="Times New Roman"/>
        </w:rPr>
        <w:t xml:space="preserve"> participants completed all measures, but did not sub</w:t>
      </w:r>
      <w:r>
        <w:rPr>
          <w:rFonts w:ascii="Times New Roman" w:hAnsi="Times New Roman" w:cs="Times New Roman"/>
        </w:rPr>
        <w:t>mit a request for compensation.</w:t>
      </w:r>
    </w:p>
  </w:footnote>
  <w:footnote w:id="2">
    <w:p w14:paraId="6C36D273" w14:textId="1B569EC0" w:rsidR="0061454D" w:rsidRPr="0061454D" w:rsidRDefault="0061454D" w:rsidP="0061454D">
      <w:pPr>
        <w:pStyle w:val="FootnoteText"/>
        <w:rPr>
          <w:rFonts w:ascii="Times New Roman" w:hAnsi="Times New Roman" w:cs="Times New Roman"/>
        </w:rPr>
      </w:pPr>
      <w:r w:rsidRPr="0061454D">
        <w:rPr>
          <w:rStyle w:val="FootnoteReference"/>
          <w:rFonts w:ascii="Times New Roman" w:hAnsi="Times New Roman" w:cs="Times New Roman"/>
        </w:rPr>
        <w:footnoteRef/>
      </w:r>
      <w:r w:rsidRPr="0061454D">
        <w:rPr>
          <w:rFonts w:ascii="Times New Roman" w:hAnsi="Times New Roman" w:cs="Times New Roman"/>
        </w:rPr>
        <w:t xml:space="preserve"> </w:t>
      </w:r>
      <w:r w:rsidRPr="0061454D">
        <w:rPr>
          <w:rFonts w:ascii="Times New Roman" w:hAnsi="Times New Roman" w:cs="Times New Roman"/>
        </w:rPr>
        <w:t>The images used for the salience of harm manipulation are available at https://osf.io/xt66w/.</w:t>
      </w:r>
    </w:p>
  </w:footnote>
  <w:footnote w:id="3">
    <w:p w14:paraId="66E5F0AF" w14:textId="6D81B8B4" w:rsidR="00AB2D2F" w:rsidRPr="001E1964" w:rsidRDefault="00AB2D2F" w:rsidP="00202897">
      <w:pPr>
        <w:pStyle w:val="FootnoteText"/>
        <w:tabs>
          <w:tab w:val="left" w:pos="284"/>
        </w:tabs>
        <w:rPr>
          <w:rFonts w:ascii="Times New Roman" w:hAnsi="Times New Roman" w:cs="Times New Roman"/>
        </w:rPr>
      </w:pPr>
      <w:r w:rsidRPr="001E1964">
        <w:rPr>
          <w:rStyle w:val="FootnoteReference"/>
          <w:rFonts w:ascii="Times New Roman" w:hAnsi="Times New Roman" w:cs="Times New Roman"/>
        </w:rPr>
        <w:footnoteRef/>
      </w:r>
      <w:r w:rsidRPr="001E1964">
        <w:rPr>
          <w:rFonts w:ascii="Times New Roman" w:hAnsi="Times New Roman" w:cs="Times New Roman"/>
        </w:rPr>
        <w:t xml:space="preserve"> </w:t>
      </w:r>
      <w:r w:rsidR="00A95E0D">
        <w:rPr>
          <w:rFonts w:ascii="Times New Roman" w:hAnsi="Times New Roman" w:cs="Times New Roman"/>
        </w:rPr>
        <w:t>Three</w:t>
      </w:r>
      <w:r w:rsidRPr="001E1964">
        <w:rPr>
          <w:rFonts w:ascii="Times New Roman" w:hAnsi="Times New Roman" w:cs="Times New Roman"/>
        </w:rPr>
        <w:t xml:space="preserve"> participants completed all measures, but did not sub</w:t>
      </w:r>
      <w:r>
        <w:rPr>
          <w:rFonts w:ascii="Times New Roman" w:hAnsi="Times New Roman" w:cs="Times New Roman"/>
        </w:rPr>
        <w:t>mit a request for compensation.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5FC9" w14:textId="72B02E8B" w:rsidR="00484198" w:rsidRPr="00484198" w:rsidRDefault="00484198" w:rsidP="00484198">
    <w:pPr>
      <w:pStyle w:val="Header"/>
    </w:pPr>
    <w:r>
      <w:t xml:space="preserve">MORAL </w:t>
    </w:r>
    <w:r w:rsidR="00BD4E00">
      <w:t>DECISION-MAKING</w:t>
    </w:r>
    <w:r>
      <w:tab/>
    </w:r>
    <w:r>
      <w:tab/>
    </w:r>
    <w:r>
      <w:fldChar w:fldCharType="begin"/>
    </w:r>
    <w:r>
      <w:instrText xml:space="preserve"> PAGE   \* MERGEFORMAT </w:instrText>
    </w:r>
    <w:r>
      <w:fldChar w:fldCharType="separate"/>
    </w:r>
    <w:r w:rsidR="00653993">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43226"/>
    <w:multiLevelType w:val="hybridMultilevel"/>
    <w:tmpl w:val="A0988F2C"/>
    <w:lvl w:ilvl="0" w:tplc="18188E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60E4560E"/>
    <w:multiLevelType w:val="hybridMultilevel"/>
    <w:tmpl w:val="6E36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4F"/>
    <w:rsid w:val="0000239C"/>
    <w:rsid w:val="0000321C"/>
    <w:rsid w:val="000044EB"/>
    <w:rsid w:val="0000457F"/>
    <w:rsid w:val="00005990"/>
    <w:rsid w:val="000077BC"/>
    <w:rsid w:val="00010357"/>
    <w:rsid w:val="00011746"/>
    <w:rsid w:val="00011881"/>
    <w:rsid w:val="00011ADA"/>
    <w:rsid w:val="00011B14"/>
    <w:rsid w:val="00012C0D"/>
    <w:rsid w:val="00012D9D"/>
    <w:rsid w:val="00013E1C"/>
    <w:rsid w:val="000143CD"/>
    <w:rsid w:val="000161A6"/>
    <w:rsid w:val="00017E05"/>
    <w:rsid w:val="00022F5D"/>
    <w:rsid w:val="000238D7"/>
    <w:rsid w:val="00024294"/>
    <w:rsid w:val="000244A1"/>
    <w:rsid w:val="000248A9"/>
    <w:rsid w:val="000256DC"/>
    <w:rsid w:val="00025FDA"/>
    <w:rsid w:val="000264D3"/>
    <w:rsid w:val="00026BD9"/>
    <w:rsid w:val="00031178"/>
    <w:rsid w:val="000320AD"/>
    <w:rsid w:val="000326FF"/>
    <w:rsid w:val="0003325C"/>
    <w:rsid w:val="00033288"/>
    <w:rsid w:val="0003329C"/>
    <w:rsid w:val="00033839"/>
    <w:rsid w:val="000349FC"/>
    <w:rsid w:val="000370FA"/>
    <w:rsid w:val="00037D49"/>
    <w:rsid w:val="00040D4D"/>
    <w:rsid w:val="000410D8"/>
    <w:rsid w:val="00041354"/>
    <w:rsid w:val="00041B45"/>
    <w:rsid w:val="00041CBF"/>
    <w:rsid w:val="00041D18"/>
    <w:rsid w:val="00042846"/>
    <w:rsid w:val="00046F75"/>
    <w:rsid w:val="000479C0"/>
    <w:rsid w:val="0005222B"/>
    <w:rsid w:val="00052274"/>
    <w:rsid w:val="0005275B"/>
    <w:rsid w:val="000528D1"/>
    <w:rsid w:val="000534A4"/>
    <w:rsid w:val="000542B6"/>
    <w:rsid w:val="00056A65"/>
    <w:rsid w:val="00060467"/>
    <w:rsid w:val="000609C3"/>
    <w:rsid w:val="0006116C"/>
    <w:rsid w:val="00061277"/>
    <w:rsid w:val="0006249B"/>
    <w:rsid w:val="000624EF"/>
    <w:rsid w:val="00062799"/>
    <w:rsid w:val="000628AD"/>
    <w:rsid w:val="000632AC"/>
    <w:rsid w:val="00066203"/>
    <w:rsid w:val="00066363"/>
    <w:rsid w:val="000665DF"/>
    <w:rsid w:val="00070F87"/>
    <w:rsid w:val="000712FD"/>
    <w:rsid w:val="000721C3"/>
    <w:rsid w:val="0007241D"/>
    <w:rsid w:val="0007299D"/>
    <w:rsid w:val="00072AC4"/>
    <w:rsid w:val="00074E94"/>
    <w:rsid w:val="00075409"/>
    <w:rsid w:val="0007611D"/>
    <w:rsid w:val="0007705C"/>
    <w:rsid w:val="00077180"/>
    <w:rsid w:val="00077479"/>
    <w:rsid w:val="00080A3B"/>
    <w:rsid w:val="00080E5C"/>
    <w:rsid w:val="0008286D"/>
    <w:rsid w:val="00083E4A"/>
    <w:rsid w:val="00084626"/>
    <w:rsid w:val="000846E5"/>
    <w:rsid w:val="00085373"/>
    <w:rsid w:val="00085B49"/>
    <w:rsid w:val="0008621F"/>
    <w:rsid w:val="00087AD3"/>
    <w:rsid w:val="00090D9C"/>
    <w:rsid w:val="00091E77"/>
    <w:rsid w:val="000941FF"/>
    <w:rsid w:val="0009671B"/>
    <w:rsid w:val="000A079F"/>
    <w:rsid w:val="000A142F"/>
    <w:rsid w:val="000A17E2"/>
    <w:rsid w:val="000A2958"/>
    <w:rsid w:val="000A386E"/>
    <w:rsid w:val="000A3EED"/>
    <w:rsid w:val="000A56C0"/>
    <w:rsid w:val="000A6A37"/>
    <w:rsid w:val="000A74F3"/>
    <w:rsid w:val="000A7965"/>
    <w:rsid w:val="000B126E"/>
    <w:rsid w:val="000B2648"/>
    <w:rsid w:val="000B31D0"/>
    <w:rsid w:val="000B4C79"/>
    <w:rsid w:val="000B53A9"/>
    <w:rsid w:val="000B5894"/>
    <w:rsid w:val="000B6BAD"/>
    <w:rsid w:val="000B6D92"/>
    <w:rsid w:val="000B7D59"/>
    <w:rsid w:val="000B7D7D"/>
    <w:rsid w:val="000C083C"/>
    <w:rsid w:val="000C0E8F"/>
    <w:rsid w:val="000C154C"/>
    <w:rsid w:val="000C1CE0"/>
    <w:rsid w:val="000C2630"/>
    <w:rsid w:val="000C5E35"/>
    <w:rsid w:val="000C606A"/>
    <w:rsid w:val="000C62F4"/>
    <w:rsid w:val="000C63B9"/>
    <w:rsid w:val="000C67A0"/>
    <w:rsid w:val="000D2B46"/>
    <w:rsid w:val="000D378B"/>
    <w:rsid w:val="000D403D"/>
    <w:rsid w:val="000D5162"/>
    <w:rsid w:val="000D5669"/>
    <w:rsid w:val="000D5940"/>
    <w:rsid w:val="000D66EE"/>
    <w:rsid w:val="000D67D8"/>
    <w:rsid w:val="000D716E"/>
    <w:rsid w:val="000D7439"/>
    <w:rsid w:val="000D75C2"/>
    <w:rsid w:val="000E02AC"/>
    <w:rsid w:val="000E06EF"/>
    <w:rsid w:val="000E3ECC"/>
    <w:rsid w:val="000E4DDA"/>
    <w:rsid w:val="000E62CF"/>
    <w:rsid w:val="000E6435"/>
    <w:rsid w:val="000E6ED1"/>
    <w:rsid w:val="000E7239"/>
    <w:rsid w:val="000F2430"/>
    <w:rsid w:val="000F3169"/>
    <w:rsid w:val="000F3179"/>
    <w:rsid w:val="000F4143"/>
    <w:rsid w:val="000F5B9D"/>
    <w:rsid w:val="000F5F9E"/>
    <w:rsid w:val="000F74C1"/>
    <w:rsid w:val="00100870"/>
    <w:rsid w:val="00100FE3"/>
    <w:rsid w:val="00102067"/>
    <w:rsid w:val="001022EA"/>
    <w:rsid w:val="0010243A"/>
    <w:rsid w:val="00102707"/>
    <w:rsid w:val="0010350B"/>
    <w:rsid w:val="0010350D"/>
    <w:rsid w:val="00103D45"/>
    <w:rsid w:val="001056C0"/>
    <w:rsid w:val="00105A97"/>
    <w:rsid w:val="001073A7"/>
    <w:rsid w:val="00111431"/>
    <w:rsid w:val="0011216A"/>
    <w:rsid w:val="0011440A"/>
    <w:rsid w:val="0011535D"/>
    <w:rsid w:val="001159BA"/>
    <w:rsid w:val="0011619E"/>
    <w:rsid w:val="00121A21"/>
    <w:rsid w:val="0012217A"/>
    <w:rsid w:val="00123B31"/>
    <w:rsid w:val="00124201"/>
    <w:rsid w:val="001252BC"/>
    <w:rsid w:val="0012602D"/>
    <w:rsid w:val="00127340"/>
    <w:rsid w:val="00130D15"/>
    <w:rsid w:val="0013157C"/>
    <w:rsid w:val="00131C4E"/>
    <w:rsid w:val="00131C5E"/>
    <w:rsid w:val="001321D0"/>
    <w:rsid w:val="001325D4"/>
    <w:rsid w:val="001336E1"/>
    <w:rsid w:val="0013441F"/>
    <w:rsid w:val="0013445B"/>
    <w:rsid w:val="00135609"/>
    <w:rsid w:val="0013581F"/>
    <w:rsid w:val="00136F3F"/>
    <w:rsid w:val="001374CF"/>
    <w:rsid w:val="001409AC"/>
    <w:rsid w:val="001425BB"/>
    <w:rsid w:val="00142D09"/>
    <w:rsid w:val="00142DB3"/>
    <w:rsid w:val="00142E79"/>
    <w:rsid w:val="001524C8"/>
    <w:rsid w:val="001528BB"/>
    <w:rsid w:val="00153F2B"/>
    <w:rsid w:val="001547D4"/>
    <w:rsid w:val="00154910"/>
    <w:rsid w:val="00154F84"/>
    <w:rsid w:val="0015582E"/>
    <w:rsid w:val="00157B8C"/>
    <w:rsid w:val="001620C0"/>
    <w:rsid w:val="00162C87"/>
    <w:rsid w:val="00162DC6"/>
    <w:rsid w:val="00163CCA"/>
    <w:rsid w:val="00164099"/>
    <w:rsid w:val="0016429D"/>
    <w:rsid w:val="00165802"/>
    <w:rsid w:val="00166D49"/>
    <w:rsid w:val="00166F8B"/>
    <w:rsid w:val="00170476"/>
    <w:rsid w:val="00171C52"/>
    <w:rsid w:val="00172BC4"/>
    <w:rsid w:val="001737C3"/>
    <w:rsid w:val="00173850"/>
    <w:rsid w:val="00174EDB"/>
    <w:rsid w:val="00175CC0"/>
    <w:rsid w:val="001761D3"/>
    <w:rsid w:val="001768E7"/>
    <w:rsid w:val="00180CF0"/>
    <w:rsid w:val="001815C2"/>
    <w:rsid w:val="00181ED9"/>
    <w:rsid w:val="00183A51"/>
    <w:rsid w:val="0018497D"/>
    <w:rsid w:val="00184F81"/>
    <w:rsid w:val="001851F8"/>
    <w:rsid w:val="0018762E"/>
    <w:rsid w:val="0019082D"/>
    <w:rsid w:val="00191164"/>
    <w:rsid w:val="00193C86"/>
    <w:rsid w:val="00197ECD"/>
    <w:rsid w:val="001A063E"/>
    <w:rsid w:val="001A159E"/>
    <w:rsid w:val="001A4941"/>
    <w:rsid w:val="001A4F4B"/>
    <w:rsid w:val="001A6861"/>
    <w:rsid w:val="001A6EE1"/>
    <w:rsid w:val="001A7E16"/>
    <w:rsid w:val="001B0488"/>
    <w:rsid w:val="001B1491"/>
    <w:rsid w:val="001B1A88"/>
    <w:rsid w:val="001B2CA4"/>
    <w:rsid w:val="001B5F47"/>
    <w:rsid w:val="001C1107"/>
    <w:rsid w:val="001C3488"/>
    <w:rsid w:val="001C5F6E"/>
    <w:rsid w:val="001C5FEF"/>
    <w:rsid w:val="001D1071"/>
    <w:rsid w:val="001D5D3E"/>
    <w:rsid w:val="001D7027"/>
    <w:rsid w:val="001D7748"/>
    <w:rsid w:val="001D7B7F"/>
    <w:rsid w:val="001E1964"/>
    <w:rsid w:val="001E274C"/>
    <w:rsid w:val="001E2940"/>
    <w:rsid w:val="001E2A11"/>
    <w:rsid w:val="001E355B"/>
    <w:rsid w:val="001E3664"/>
    <w:rsid w:val="001E391E"/>
    <w:rsid w:val="001E45BE"/>
    <w:rsid w:val="001E4FD8"/>
    <w:rsid w:val="001E53DD"/>
    <w:rsid w:val="001F19EC"/>
    <w:rsid w:val="001F37DB"/>
    <w:rsid w:val="001F3C62"/>
    <w:rsid w:val="001F5E17"/>
    <w:rsid w:val="001F6CAD"/>
    <w:rsid w:val="00200504"/>
    <w:rsid w:val="00202897"/>
    <w:rsid w:val="002029F9"/>
    <w:rsid w:val="002033D2"/>
    <w:rsid w:val="0020340E"/>
    <w:rsid w:val="002043B3"/>
    <w:rsid w:val="002045D2"/>
    <w:rsid w:val="00204E93"/>
    <w:rsid w:val="00211224"/>
    <w:rsid w:val="002117AD"/>
    <w:rsid w:val="002121DE"/>
    <w:rsid w:val="002158CF"/>
    <w:rsid w:val="00217349"/>
    <w:rsid w:val="002174A4"/>
    <w:rsid w:val="00224E0C"/>
    <w:rsid w:val="0022591C"/>
    <w:rsid w:val="00226BFF"/>
    <w:rsid w:val="002271C1"/>
    <w:rsid w:val="0023242E"/>
    <w:rsid w:val="00234DEE"/>
    <w:rsid w:val="00236FFD"/>
    <w:rsid w:val="002408F3"/>
    <w:rsid w:val="00241600"/>
    <w:rsid w:val="00243456"/>
    <w:rsid w:val="002436C5"/>
    <w:rsid w:val="00244107"/>
    <w:rsid w:val="00247571"/>
    <w:rsid w:val="002502E9"/>
    <w:rsid w:val="0025146D"/>
    <w:rsid w:val="00253754"/>
    <w:rsid w:val="0025389F"/>
    <w:rsid w:val="002546C4"/>
    <w:rsid w:val="00255121"/>
    <w:rsid w:val="00255A2C"/>
    <w:rsid w:val="00257ED1"/>
    <w:rsid w:val="0026099D"/>
    <w:rsid w:val="002619A6"/>
    <w:rsid w:val="0026227B"/>
    <w:rsid w:val="00262AC6"/>
    <w:rsid w:val="00264BEC"/>
    <w:rsid w:val="00265B71"/>
    <w:rsid w:val="00265BFF"/>
    <w:rsid w:val="00267288"/>
    <w:rsid w:val="002703DB"/>
    <w:rsid w:val="00271451"/>
    <w:rsid w:val="0027192C"/>
    <w:rsid w:val="002745A4"/>
    <w:rsid w:val="00275CB9"/>
    <w:rsid w:val="00276CD8"/>
    <w:rsid w:val="00280286"/>
    <w:rsid w:val="0028107B"/>
    <w:rsid w:val="002813E0"/>
    <w:rsid w:val="00281F70"/>
    <w:rsid w:val="00282705"/>
    <w:rsid w:val="00282C52"/>
    <w:rsid w:val="00282FDF"/>
    <w:rsid w:val="0028412C"/>
    <w:rsid w:val="00284CCD"/>
    <w:rsid w:val="0028574A"/>
    <w:rsid w:val="00285987"/>
    <w:rsid w:val="00285FC3"/>
    <w:rsid w:val="00287420"/>
    <w:rsid w:val="0029211D"/>
    <w:rsid w:val="00292DAB"/>
    <w:rsid w:val="00293626"/>
    <w:rsid w:val="00293972"/>
    <w:rsid w:val="00295395"/>
    <w:rsid w:val="0029649F"/>
    <w:rsid w:val="00296B5F"/>
    <w:rsid w:val="00297A35"/>
    <w:rsid w:val="002A0786"/>
    <w:rsid w:val="002A1F02"/>
    <w:rsid w:val="002A27CF"/>
    <w:rsid w:val="002A2B32"/>
    <w:rsid w:val="002A31AA"/>
    <w:rsid w:val="002A3D0F"/>
    <w:rsid w:val="002A4723"/>
    <w:rsid w:val="002A4AFA"/>
    <w:rsid w:val="002A50C6"/>
    <w:rsid w:val="002B0239"/>
    <w:rsid w:val="002B04FF"/>
    <w:rsid w:val="002B09FE"/>
    <w:rsid w:val="002B3710"/>
    <w:rsid w:val="002B4949"/>
    <w:rsid w:val="002B4FF5"/>
    <w:rsid w:val="002B6EFB"/>
    <w:rsid w:val="002B7672"/>
    <w:rsid w:val="002B7D2B"/>
    <w:rsid w:val="002C1C40"/>
    <w:rsid w:val="002C226F"/>
    <w:rsid w:val="002C3597"/>
    <w:rsid w:val="002C4C54"/>
    <w:rsid w:val="002C52FF"/>
    <w:rsid w:val="002C54F3"/>
    <w:rsid w:val="002C5797"/>
    <w:rsid w:val="002C6F44"/>
    <w:rsid w:val="002C7651"/>
    <w:rsid w:val="002C7800"/>
    <w:rsid w:val="002C792D"/>
    <w:rsid w:val="002D15E2"/>
    <w:rsid w:val="002D23C7"/>
    <w:rsid w:val="002D2A55"/>
    <w:rsid w:val="002D2B7F"/>
    <w:rsid w:val="002D32DC"/>
    <w:rsid w:val="002D342F"/>
    <w:rsid w:val="002D36C5"/>
    <w:rsid w:val="002D573B"/>
    <w:rsid w:val="002D65FA"/>
    <w:rsid w:val="002D6902"/>
    <w:rsid w:val="002D724F"/>
    <w:rsid w:val="002D747D"/>
    <w:rsid w:val="002D7F48"/>
    <w:rsid w:val="002E0070"/>
    <w:rsid w:val="002E0129"/>
    <w:rsid w:val="002E03FC"/>
    <w:rsid w:val="002E064E"/>
    <w:rsid w:val="002E12D7"/>
    <w:rsid w:val="002E53AC"/>
    <w:rsid w:val="002E610F"/>
    <w:rsid w:val="002E625E"/>
    <w:rsid w:val="002E6D7C"/>
    <w:rsid w:val="002E70F2"/>
    <w:rsid w:val="002F095A"/>
    <w:rsid w:val="002F11CA"/>
    <w:rsid w:val="002F20B2"/>
    <w:rsid w:val="002F20C5"/>
    <w:rsid w:val="002F2205"/>
    <w:rsid w:val="002F2624"/>
    <w:rsid w:val="002F2B94"/>
    <w:rsid w:val="002F358B"/>
    <w:rsid w:val="002F374A"/>
    <w:rsid w:val="002F3BB7"/>
    <w:rsid w:val="002F3D90"/>
    <w:rsid w:val="002F4696"/>
    <w:rsid w:val="002F4E13"/>
    <w:rsid w:val="002F6851"/>
    <w:rsid w:val="002F6990"/>
    <w:rsid w:val="002F6CE5"/>
    <w:rsid w:val="002F7260"/>
    <w:rsid w:val="002F7D76"/>
    <w:rsid w:val="003008F5"/>
    <w:rsid w:val="0030167B"/>
    <w:rsid w:val="003022D7"/>
    <w:rsid w:val="00302A4B"/>
    <w:rsid w:val="003036C7"/>
    <w:rsid w:val="003048BA"/>
    <w:rsid w:val="00304D2B"/>
    <w:rsid w:val="00311043"/>
    <w:rsid w:val="00313209"/>
    <w:rsid w:val="0031407A"/>
    <w:rsid w:val="00316415"/>
    <w:rsid w:val="003165E4"/>
    <w:rsid w:val="00316FDA"/>
    <w:rsid w:val="0032004F"/>
    <w:rsid w:val="00320E07"/>
    <w:rsid w:val="003214CA"/>
    <w:rsid w:val="00321C09"/>
    <w:rsid w:val="00326101"/>
    <w:rsid w:val="003263CA"/>
    <w:rsid w:val="003300CB"/>
    <w:rsid w:val="0033212A"/>
    <w:rsid w:val="00332BA2"/>
    <w:rsid w:val="00334106"/>
    <w:rsid w:val="00334D96"/>
    <w:rsid w:val="00334E15"/>
    <w:rsid w:val="003367FC"/>
    <w:rsid w:val="003377E4"/>
    <w:rsid w:val="00337867"/>
    <w:rsid w:val="00337901"/>
    <w:rsid w:val="0033792A"/>
    <w:rsid w:val="003379C7"/>
    <w:rsid w:val="0034003C"/>
    <w:rsid w:val="00341B5C"/>
    <w:rsid w:val="003439DC"/>
    <w:rsid w:val="003449B0"/>
    <w:rsid w:val="00344F64"/>
    <w:rsid w:val="00345EF1"/>
    <w:rsid w:val="00345F0F"/>
    <w:rsid w:val="00346D48"/>
    <w:rsid w:val="0034725A"/>
    <w:rsid w:val="00350834"/>
    <w:rsid w:val="00353E76"/>
    <w:rsid w:val="00354095"/>
    <w:rsid w:val="00354738"/>
    <w:rsid w:val="00354B26"/>
    <w:rsid w:val="00355D01"/>
    <w:rsid w:val="00356659"/>
    <w:rsid w:val="00357F90"/>
    <w:rsid w:val="003601E2"/>
    <w:rsid w:val="00361482"/>
    <w:rsid w:val="003633CD"/>
    <w:rsid w:val="00364AA7"/>
    <w:rsid w:val="0036525A"/>
    <w:rsid w:val="0036747F"/>
    <w:rsid w:val="00370C43"/>
    <w:rsid w:val="00371DBD"/>
    <w:rsid w:val="00372127"/>
    <w:rsid w:val="003753B8"/>
    <w:rsid w:val="00375549"/>
    <w:rsid w:val="00376B88"/>
    <w:rsid w:val="00377EC8"/>
    <w:rsid w:val="0038019F"/>
    <w:rsid w:val="0038030B"/>
    <w:rsid w:val="00381979"/>
    <w:rsid w:val="00381B5D"/>
    <w:rsid w:val="00381C2D"/>
    <w:rsid w:val="003830ED"/>
    <w:rsid w:val="00383437"/>
    <w:rsid w:val="003857A0"/>
    <w:rsid w:val="00385AC0"/>
    <w:rsid w:val="00385D98"/>
    <w:rsid w:val="0038680F"/>
    <w:rsid w:val="00390680"/>
    <w:rsid w:val="00391E4F"/>
    <w:rsid w:val="003923B7"/>
    <w:rsid w:val="00392E56"/>
    <w:rsid w:val="003935B6"/>
    <w:rsid w:val="00393674"/>
    <w:rsid w:val="0039457D"/>
    <w:rsid w:val="00394CA2"/>
    <w:rsid w:val="003952A9"/>
    <w:rsid w:val="0039566E"/>
    <w:rsid w:val="00397648"/>
    <w:rsid w:val="00397DC6"/>
    <w:rsid w:val="003A1115"/>
    <w:rsid w:val="003A1DF5"/>
    <w:rsid w:val="003A3154"/>
    <w:rsid w:val="003A470E"/>
    <w:rsid w:val="003A70F2"/>
    <w:rsid w:val="003A7FF6"/>
    <w:rsid w:val="003B072D"/>
    <w:rsid w:val="003B2E8B"/>
    <w:rsid w:val="003B3F76"/>
    <w:rsid w:val="003B79EE"/>
    <w:rsid w:val="003C0631"/>
    <w:rsid w:val="003C0E5F"/>
    <w:rsid w:val="003C2362"/>
    <w:rsid w:val="003C23E8"/>
    <w:rsid w:val="003C3195"/>
    <w:rsid w:val="003C3500"/>
    <w:rsid w:val="003C615E"/>
    <w:rsid w:val="003C6950"/>
    <w:rsid w:val="003C73D4"/>
    <w:rsid w:val="003C7CB8"/>
    <w:rsid w:val="003D0089"/>
    <w:rsid w:val="003D0F1A"/>
    <w:rsid w:val="003D0F9F"/>
    <w:rsid w:val="003D2D14"/>
    <w:rsid w:val="003D7563"/>
    <w:rsid w:val="003E0DDC"/>
    <w:rsid w:val="003E17F6"/>
    <w:rsid w:val="003E504D"/>
    <w:rsid w:val="003E50C5"/>
    <w:rsid w:val="003E5E99"/>
    <w:rsid w:val="003F1440"/>
    <w:rsid w:val="003F39B4"/>
    <w:rsid w:val="003F4105"/>
    <w:rsid w:val="003F5591"/>
    <w:rsid w:val="003F6B99"/>
    <w:rsid w:val="003F7C56"/>
    <w:rsid w:val="00400530"/>
    <w:rsid w:val="00400AD6"/>
    <w:rsid w:val="00401DE9"/>
    <w:rsid w:val="00405C4E"/>
    <w:rsid w:val="004069DB"/>
    <w:rsid w:val="00407F38"/>
    <w:rsid w:val="00412832"/>
    <w:rsid w:val="00413118"/>
    <w:rsid w:val="00414D30"/>
    <w:rsid w:val="004150F0"/>
    <w:rsid w:val="004151B7"/>
    <w:rsid w:val="00415644"/>
    <w:rsid w:val="00415E05"/>
    <w:rsid w:val="00421EAF"/>
    <w:rsid w:val="00422F78"/>
    <w:rsid w:val="00424856"/>
    <w:rsid w:val="00424DE6"/>
    <w:rsid w:val="004265BA"/>
    <w:rsid w:val="00430394"/>
    <w:rsid w:val="00430B7C"/>
    <w:rsid w:val="004315DE"/>
    <w:rsid w:val="00432644"/>
    <w:rsid w:val="004337F5"/>
    <w:rsid w:val="00435900"/>
    <w:rsid w:val="0043640F"/>
    <w:rsid w:val="0043789D"/>
    <w:rsid w:val="00437EBF"/>
    <w:rsid w:val="004454D5"/>
    <w:rsid w:val="00446545"/>
    <w:rsid w:val="004507A0"/>
    <w:rsid w:val="00450D30"/>
    <w:rsid w:val="00450D37"/>
    <w:rsid w:val="0045134C"/>
    <w:rsid w:val="00452723"/>
    <w:rsid w:val="00452765"/>
    <w:rsid w:val="00455B5A"/>
    <w:rsid w:val="004564F1"/>
    <w:rsid w:val="00457A22"/>
    <w:rsid w:val="004604A4"/>
    <w:rsid w:val="00461E75"/>
    <w:rsid w:val="00464A56"/>
    <w:rsid w:val="00466E3B"/>
    <w:rsid w:val="00466E8F"/>
    <w:rsid w:val="00466FFD"/>
    <w:rsid w:val="00467342"/>
    <w:rsid w:val="00470A9C"/>
    <w:rsid w:val="0047250A"/>
    <w:rsid w:val="00472B9C"/>
    <w:rsid w:val="00472CEE"/>
    <w:rsid w:val="004747B5"/>
    <w:rsid w:val="004755A5"/>
    <w:rsid w:val="00476053"/>
    <w:rsid w:val="00483B39"/>
    <w:rsid w:val="00484198"/>
    <w:rsid w:val="00484D86"/>
    <w:rsid w:val="00484FF8"/>
    <w:rsid w:val="00485D35"/>
    <w:rsid w:val="0048603E"/>
    <w:rsid w:val="0049042E"/>
    <w:rsid w:val="0049393B"/>
    <w:rsid w:val="004A00E9"/>
    <w:rsid w:val="004A0F05"/>
    <w:rsid w:val="004A15A4"/>
    <w:rsid w:val="004A2037"/>
    <w:rsid w:val="004A285D"/>
    <w:rsid w:val="004A3F90"/>
    <w:rsid w:val="004A45CA"/>
    <w:rsid w:val="004A500C"/>
    <w:rsid w:val="004A7B17"/>
    <w:rsid w:val="004B0BAF"/>
    <w:rsid w:val="004B24FE"/>
    <w:rsid w:val="004B26E5"/>
    <w:rsid w:val="004B363A"/>
    <w:rsid w:val="004B57BC"/>
    <w:rsid w:val="004B5BD8"/>
    <w:rsid w:val="004B68A4"/>
    <w:rsid w:val="004B6F33"/>
    <w:rsid w:val="004B7772"/>
    <w:rsid w:val="004C094A"/>
    <w:rsid w:val="004C19E1"/>
    <w:rsid w:val="004C1A9D"/>
    <w:rsid w:val="004C2815"/>
    <w:rsid w:val="004C2B7A"/>
    <w:rsid w:val="004C6BA5"/>
    <w:rsid w:val="004D2284"/>
    <w:rsid w:val="004D4CCD"/>
    <w:rsid w:val="004D5713"/>
    <w:rsid w:val="004D6D6E"/>
    <w:rsid w:val="004E0CEC"/>
    <w:rsid w:val="004E2374"/>
    <w:rsid w:val="004E305E"/>
    <w:rsid w:val="004E45B5"/>
    <w:rsid w:val="004E48E6"/>
    <w:rsid w:val="004E6BC5"/>
    <w:rsid w:val="004F0D14"/>
    <w:rsid w:val="004F1907"/>
    <w:rsid w:val="004F1D26"/>
    <w:rsid w:val="004F269A"/>
    <w:rsid w:val="004F26EE"/>
    <w:rsid w:val="004F416F"/>
    <w:rsid w:val="004F4A17"/>
    <w:rsid w:val="004F4EDB"/>
    <w:rsid w:val="004F5217"/>
    <w:rsid w:val="004F5CDE"/>
    <w:rsid w:val="004F6685"/>
    <w:rsid w:val="004F6ED7"/>
    <w:rsid w:val="005019FE"/>
    <w:rsid w:val="0050208D"/>
    <w:rsid w:val="005021B6"/>
    <w:rsid w:val="00504CB7"/>
    <w:rsid w:val="005053E7"/>
    <w:rsid w:val="005058BD"/>
    <w:rsid w:val="005068EA"/>
    <w:rsid w:val="00506A25"/>
    <w:rsid w:val="005079D7"/>
    <w:rsid w:val="0051224E"/>
    <w:rsid w:val="00512D4D"/>
    <w:rsid w:val="00512D64"/>
    <w:rsid w:val="005175BB"/>
    <w:rsid w:val="00517D68"/>
    <w:rsid w:val="0052095E"/>
    <w:rsid w:val="00521C8C"/>
    <w:rsid w:val="00525338"/>
    <w:rsid w:val="0052546D"/>
    <w:rsid w:val="00527F44"/>
    <w:rsid w:val="005305E4"/>
    <w:rsid w:val="00531944"/>
    <w:rsid w:val="005345BD"/>
    <w:rsid w:val="00535F38"/>
    <w:rsid w:val="0054021B"/>
    <w:rsid w:val="00540A74"/>
    <w:rsid w:val="00540BC4"/>
    <w:rsid w:val="00543A0D"/>
    <w:rsid w:val="00544005"/>
    <w:rsid w:val="00545363"/>
    <w:rsid w:val="00545890"/>
    <w:rsid w:val="0054592A"/>
    <w:rsid w:val="00545957"/>
    <w:rsid w:val="00545B3A"/>
    <w:rsid w:val="00545C04"/>
    <w:rsid w:val="00546BAA"/>
    <w:rsid w:val="00547CDF"/>
    <w:rsid w:val="00550292"/>
    <w:rsid w:val="00552AD5"/>
    <w:rsid w:val="005532DB"/>
    <w:rsid w:val="005532E2"/>
    <w:rsid w:val="005536A3"/>
    <w:rsid w:val="00553C9E"/>
    <w:rsid w:val="005549C7"/>
    <w:rsid w:val="00554B2A"/>
    <w:rsid w:val="00555C63"/>
    <w:rsid w:val="0055620E"/>
    <w:rsid w:val="005562B4"/>
    <w:rsid w:val="005577D8"/>
    <w:rsid w:val="00561D21"/>
    <w:rsid w:val="0056379E"/>
    <w:rsid w:val="00563FD8"/>
    <w:rsid w:val="00565AC6"/>
    <w:rsid w:val="005709A2"/>
    <w:rsid w:val="00570F48"/>
    <w:rsid w:val="00570FBE"/>
    <w:rsid w:val="0057109A"/>
    <w:rsid w:val="005710FF"/>
    <w:rsid w:val="00571860"/>
    <w:rsid w:val="00572EA4"/>
    <w:rsid w:val="00573154"/>
    <w:rsid w:val="005746AB"/>
    <w:rsid w:val="005756A6"/>
    <w:rsid w:val="00575D94"/>
    <w:rsid w:val="00577588"/>
    <w:rsid w:val="00577A8A"/>
    <w:rsid w:val="00582225"/>
    <w:rsid w:val="00582A03"/>
    <w:rsid w:val="00582D72"/>
    <w:rsid w:val="005840AE"/>
    <w:rsid w:val="00587FB3"/>
    <w:rsid w:val="00590341"/>
    <w:rsid w:val="00590B41"/>
    <w:rsid w:val="00590BE3"/>
    <w:rsid w:val="00591051"/>
    <w:rsid w:val="00591C65"/>
    <w:rsid w:val="00592D26"/>
    <w:rsid w:val="0059330C"/>
    <w:rsid w:val="00595176"/>
    <w:rsid w:val="005A0D6A"/>
    <w:rsid w:val="005A1A3D"/>
    <w:rsid w:val="005A2216"/>
    <w:rsid w:val="005A4DE1"/>
    <w:rsid w:val="005A5ADB"/>
    <w:rsid w:val="005A7F5F"/>
    <w:rsid w:val="005B0C5C"/>
    <w:rsid w:val="005B0E98"/>
    <w:rsid w:val="005B1D81"/>
    <w:rsid w:val="005B1FDA"/>
    <w:rsid w:val="005B2029"/>
    <w:rsid w:val="005B2355"/>
    <w:rsid w:val="005B3846"/>
    <w:rsid w:val="005B40BB"/>
    <w:rsid w:val="005B6CA2"/>
    <w:rsid w:val="005B71A6"/>
    <w:rsid w:val="005B769D"/>
    <w:rsid w:val="005C1EF7"/>
    <w:rsid w:val="005C2068"/>
    <w:rsid w:val="005C26B7"/>
    <w:rsid w:val="005C2902"/>
    <w:rsid w:val="005C32D5"/>
    <w:rsid w:val="005C5881"/>
    <w:rsid w:val="005C5BDC"/>
    <w:rsid w:val="005C6149"/>
    <w:rsid w:val="005C61B2"/>
    <w:rsid w:val="005C7221"/>
    <w:rsid w:val="005C7BFD"/>
    <w:rsid w:val="005C7E0E"/>
    <w:rsid w:val="005D0184"/>
    <w:rsid w:val="005D023A"/>
    <w:rsid w:val="005D4434"/>
    <w:rsid w:val="005D45F5"/>
    <w:rsid w:val="005D4D48"/>
    <w:rsid w:val="005D5342"/>
    <w:rsid w:val="005D544D"/>
    <w:rsid w:val="005D629C"/>
    <w:rsid w:val="005D7A4A"/>
    <w:rsid w:val="005E0B64"/>
    <w:rsid w:val="005E12E0"/>
    <w:rsid w:val="005E1652"/>
    <w:rsid w:val="005E19AE"/>
    <w:rsid w:val="005E3850"/>
    <w:rsid w:val="005E5A31"/>
    <w:rsid w:val="005F2C10"/>
    <w:rsid w:val="005F2E4F"/>
    <w:rsid w:val="005F380E"/>
    <w:rsid w:val="005F461E"/>
    <w:rsid w:val="005F630D"/>
    <w:rsid w:val="005F63CB"/>
    <w:rsid w:val="005F6C0F"/>
    <w:rsid w:val="005F739E"/>
    <w:rsid w:val="00601433"/>
    <w:rsid w:val="00601759"/>
    <w:rsid w:val="0060266D"/>
    <w:rsid w:val="0060586A"/>
    <w:rsid w:val="00607F3E"/>
    <w:rsid w:val="0061165A"/>
    <w:rsid w:val="00612D6A"/>
    <w:rsid w:val="006138FB"/>
    <w:rsid w:val="00614008"/>
    <w:rsid w:val="0061454D"/>
    <w:rsid w:val="00614EE7"/>
    <w:rsid w:val="006162F2"/>
    <w:rsid w:val="00616474"/>
    <w:rsid w:val="006165CA"/>
    <w:rsid w:val="00617226"/>
    <w:rsid w:val="0062143A"/>
    <w:rsid w:val="0062275B"/>
    <w:rsid w:val="00622F9F"/>
    <w:rsid w:val="00623748"/>
    <w:rsid w:val="00624FB0"/>
    <w:rsid w:val="006268A8"/>
    <w:rsid w:val="00627EDF"/>
    <w:rsid w:val="00630146"/>
    <w:rsid w:val="00630C31"/>
    <w:rsid w:val="00630E34"/>
    <w:rsid w:val="006313AC"/>
    <w:rsid w:val="00632136"/>
    <w:rsid w:val="00634135"/>
    <w:rsid w:val="00634312"/>
    <w:rsid w:val="00634398"/>
    <w:rsid w:val="00634B33"/>
    <w:rsid w:val="00636278"/>
    <w:rsid w:val="006368F7"/>
    <w:rsid w:val="006370C8"/>
    <w:rsid w:val="00637A4C"/>
    <w:rsid w:val="00637BDD"/>
    <w:rsid w:val="00640906"/>
    <w:rsid w:val="00641B3F"/>
    <w:rsid w:val="00641CA9"/>
    <w:rsid w:val="00645EDE"/>
    <w:rsid w:val="0064670A"/>
    <w:rsid w:val="00647CE9"/>
    <w:rsid w:val="00651C29"/>
    <w:rsid w:val="006522E0"/>
    <w:rsid w:val="006524AF"/>
    <w:rsid w:val="00652B8F"/>
    <w:rsid w:val="00653993"/>
    <w:rsid w:val="006545B3"/>
    <w:rsid w:val="00655316"/>
    <w:rsid w:val="006564BC"/>
    <w:rsid w:val="0065730C"/>
    <w:rsid w:val="00662345"/>
    <w:rsid w:val="00662768"/>
    <w:rsid w:val="00663602"/>
    <w:rsid w:val="00663A15"/>
    <w:rsid w:val="00666705"/>
    <w:rsid w:val="00667B83"/>
    <w:rsid w:val="006713E9"/>
    <w:rsid w:val="00671FA1"/>
    <w:rsid w:val="00673DD2"/>
    <w:rsid w:val="00674078"/>
    <w:rsid w:val="00674966"/>
    <w:rsid w:val="00675F3E"/>
    <w:rsid w:val="00677196"/>
    <w:rsid w:val="0068130F"/>
    <w:rsid w:val="006829DF"/>
    <w:rsid w:val="00682E40"/>
    <w:rsid w:val="00683ABD"/>
    <w:rsid w:val="0068407B"/>
    <w:rsid w:val="00684417"/>
    <w:rsid w:val="006854A3"/>
    <w:rsid w:val="00690A0E"/>
    <w:rsid w:val="006912F2"/>
    <w:rsid w:val="00691BA5"/>
    <w:rsid w:val="00691C70"/>
    <w:rsid w:val="00691E0A"/>
    <w:rsid w:val="00694326"/>
    <w:rsid w:val="00694DC5"/>
    <w:rsid w:val="006960DF"/>
    <w:rsid w:val="00696455"/>
    <w:rsid w:val="00696BDD"/>
    <w:rsid w:val="006978AD"/>
    <w:rsid w:val="006A0FA3"/>
    <w:rsid w:val="006A179D"/>
    <w:rsid w:val="006A2A39"/>
    <w:rsid w:val="006A39AC"/>
    <w:rsid w:val="006A4F54"/>
    <w:rsid w:val="006A4FFF"/>
    <w:rsid w:val="006A641C"/>
    <w:rsid w:val="006A6A47"/>
    <w:rsid w:val="006B01D2"/>
    <w:rsid w:val="006B138A"/>
    <w:rsid w:val="006B24F1"/>
    <w:rsid w:val="006B2681"/>
    <w:rsid w:val="006B2AFB"/>
    <w:rsid w:val="006B4206"/>
    <w:rsid w:val="006B5192"/>
    <w:rsid w:val="006B5943"/>
    <w:rsid w:val="006B63CD"/>
    <w:rsid w:val="006B65BC"/>
    <w:rsid w:val="006B6713"/>
    <w:rsid w:val="006C1CD5"/>
    <w:rsid w:val="006C2248"/>
    <w:rsid w:val="006C3E74"/>
    <w:rsid w:val="006C3F6D"/>
    <w:rsid w:val="006C7B07"/>
    <w:rsid w:val="006D0100"/>
    <w:rsid w:val="006D053F"/>
    <w:rsid w:val="006D0D3B"/>
    <w:rsid w:val="006D39A2"/>
    <w:rsid w:val="006D3DFA"/>
    <w:rsid w:val="006D42CD"/>
    <w:rsid w:val="006D653A"/>
    <w:rsid w:val="006E0A7E"/>
    <w:rsid w:val="006E2689"/>
    <w:rsid w:val="006E3B90"/>
    <w:rsid w:val="006E4AFF"/>
    <w:rsid w:val="006F0817"/>
    <w:rsid w:val="006F233D"/>
    <w:rsid w:val="006F258F"/>
    <w:rsid w:val="006F2E64"/>
    <w:rsid w:val="006F4733"/>
    <w:rsid w:val="006F5A6A"/>
    <w:rsid w:val="006F69EE"/>
    <w:rsid w:val="006F7091"/>
    <w:rsid w:val="006F7A24"/>
    <w:rsid w:val="00700E46"/>
    <w:rsid w:val="00702904"/>
    <w:rsid w:val="007030DC"/>
    <w:rsid w:val="00704871"/>
    <w:rsid w:val="00705C15"/>
    <w:rsid w:val="00710A1C"/>
    <w:rsid w:val="00712ED6"/>
    <w:rsid w:val="0071312C"/>
    <w:rsid w:val="007132A2"/>
    <w:rsid w:val="00713AB3"/>
    <w:rsid w:val="00714610"/>
    <w:rsid w:val="007160C6"/>
    <w:rsid w:val="00720291"/>
    <w:rsid w:val="0072143B"/>
    <w:rsid w:val="00722B6A"/>
    <w:rsid w:val="00722F06"/>
    <w:rsid w:val="007232CE"/>
    <w:rsid w:val="00723A95"/>
    <w:rsid w:val="00724672"/>
    <w:rsid w:val="0072483A"/>
    <w:rsid w:val="00724C56"/>
    <w:rsid w:val="00725B5E"/>
    <w:rsid w:val="00726240"/>
    <w:rsid w:val="00726255"/>
    <w:rsid w:val="00727F63"/>
    <w:rsid w:val="00727FBD"/>
    <w:rsid w:val="00730B47"/>
    <w:rsid w:val="00730FEB"/>
    <w:rsid w:val="00731739"/>
    <w:rsid w:val="007317CE"/>
    <w:rsid w:val="00731834"/>
    <w:rsid w:val="007328CB"/>
    <w:rsid w:val="00732BBC"/>
    <w:rsid w:val="00734A68"/>
    <w:rsid w:val="007350A3"/>
    <w:rsid w:val="007350CD"/>
    <w:rsid w:val="00735412"/>
    <w:rsid w:val="00737DCD"/>
    <w:rsid w:val="007403D5"/>
    <w:rsid w:val="00740CDE"/>
    <w:rsid w:val="007420FA"/>
    <w:rsid w:val="00742DE6"/>
    <w:rsid w:val="00742E79"/>
    <w:rsid w:val="007432DF"/>
    <w:rsid w:val="00743580"/>
    <w:rsid w:val="007455F8"/>
    <w:rsid w:val="00745910"/>
    <w:rsid w:val="00745C4B"/>
    <w:rsid w:val="00746B2C"/>
    <w:rsid w:val="00750226"/>
    <w:rsid w:val="007506D2"/>
    <w:rsid w:val="007519F7"/>
    <w:rsid w:val="007522A2"/>
    <w:rsid w:val="00752405"/>
    <w:rsid w:val="00753E42"/>
    <w:rsid w:val="00754DC4"/>
    <w:rsid w:val="007553DB"/>
    <w:rsid w:val="00756945"/>
    <w:rsid w:val="00760D6A"/>
    <w:rsid w:val="007647A9"/>
    <w:rsid w:val="00764948"/>
    <w:rsid w:val="00765152"/>
    <w:rsid w:val="00765324"/>
    <w:rsid w:val="00767310"/>
    <w:rsid w:val="00767AFF"/>
    <w:rsid w:val="00770E4F"/>
    <w:rsid w:val="00773628"/>
    <w:rsid w:val="00774429"/>
    <w:rsid w:val="0077484B"/>
    <w:rsid w:val="00774B38"/>
    <w:rsid w:val="00777907"/>
    <w:rsid w:val="00780244"/>
    <w:rsid w:val="00780825"/>
    <w:rsid w:val="0078140A"/>
    <w:rsid w:val="0078333C"/>
    <w:rsid w:val="00785A87"/>
    <w:rsid w:val="00786F49"/>
    <w:rsid w:val="00787435"/>
    <w:rsid w:val="00787BB6"/>
    <w:rsid w:val="007924CC"/>
    <w:rsid w:val="00792782"/>
    <w:rsid w:val="007930AC"/>
    <w:rsid w:val="007964DB"/>
    <w:rsid w:val="00797058"/>
    <w:rsid w:val="0079770F"/>
    <w:rsid w:val="00797A4D"/>
    <w:rsid w:val="007A0837"/>
    <w:rsid w:val="007A0C8F"/>
    <w:rsid w:val="007A10B9"/>
    <w:rsid w:val="007A1439"/>
    <w:rsid w:val="007A28DA"/>
    <w:rsid w:val="007A3493"/>
    <w:rsid w:val="007A3ED2"/>
    <w:rsid w:val="007A5806"/>
    <w:rsid w:val="007A5CF7"/>
    <w:rsid w:val="007A68C1"/>
    <w:rsid w:val="007A6B71"/>
    <w:rsid w:val="007A7245"/>
    <w:rsid w:val="007B0D15"/>
    <w:rsid w:val="007B31FD"/>
    <w:rsid w:val="007B3991"/>
    <w:rsid w:val="007B5DF4"/>
    <w:rsid w:val="007C03B3"/>
    <w:rsid w:val="007C03B7"/>
    <w:rsid w:val="007C09A7"/>
    <w:rsid w:val="007C0A68"/>
    <w:rsid w:val="007C1BF4"/>
    <w:rsid w:val="007C3E37"/>
    <w:rsid w:val="007C5C58"/>
    <w:rsid w:val="007C75E1"/>
    <w:rsid w:val="007C7DCD"/>
    <w:rsid w:val="007D0721"/>
    <w:rsid w:val="007D1605"/>
    <w:rsid w:val="007D2DC4"/>
    <w:rsid w:val="007D2F8C"/>
    <w:rsid w:val="007D33D9"/>
    <w:rsid w:val="007D44B1"/>
    <w:rsid w:val="007D4EA9"/>
    <w:rsid w:val="007D4FB6"/>
    <w:rsid w:val="007D5066"/>
    <w:rsid w:val="007D6385"/>
    <w:rsid w:val="007D64CB"/>
    <w:rsid w:val="007D67FE"/>
    <w:rsid w:val="007D7A80"/>
    <w:rsid w:val="007E14B8"/>
    <w:rsid w:val="007E2E38"/>
    <w:rsid w:val="007E355B"/>
    <w:rsid w:val="007E3DF1"/>
    <w:rsid w:val="007E3FBD"/>
    <w:rsid w:val="007E4C8A"/>
    <w:rsid w:val="007E68C6"/>
    <w:rsid w:val="007E6E7D"/>
    <w:rsid w:val="007E7362"/>
    <w:rsid w:val="007E74FE"/>
    <w:rsid w:val="007F2E47"/>
    <w:rsid w:val="007F54ED"/>
    <w:rsid w:val="007F5FF4"/>
    <w:rsid w:val="007F62DA"/>
    <w:rsid w:val="007F7991"/>
    <w:rsid w:val="008018C3"/>
    <w:rsid w:val="00801D6C"/>
    <w:rsid w:val="008021C4"/>
    <w:rsid w:val="008023AB"/>
    <w:rsid w:val="00802CF9"/>
    <w:rsid w:val="00802E5B"/>
    <w:rsid w:val="008050D9"/>
    <w:rsid w:val="00805B1F"/>
    <w:rsid w:val="00806A6B"/>
    <w:rsid w:val="00810D92"/>
    <w:rsid w:val="00812CC3"/>
    <w:rsid w:val="008142BD"/>
    <w:rsid w:val="008160A1"/>
    <w:rsid w:val="00816B86"/>
    <w:rsid w:val="00817A00"/>
    <w:rsid w:val="00821FB2"/>
    <w:rsid w:val="008233F8"/>
    <w:rsid w:val="008255DA"/>
    <w:rsid w:val="00826F77"/>
    <w:rsid w:val="00831463"/>
    <w:rsid w:val="00832132"/>
    <w:rsid w:val="00832EE0"/>
    <w:rsid w:val="00832F9C"/>
    <w:rsid w:val="008334FD"/>
    <w:rsid w:val="00834968"/>
    <w:rsid w:val="0083616E"/>
    <w:rsid w:val="008364A2"/>
    <w:rsid w:val="008365D1"/>
    <w:rsid w:val="00836EA6"/>
    <w:rsid w:val="0084007E"/>
    <w:rsid w:val="00841A94"/>
    <w:rsid w:val="00842788"/>
    <w:rsid w:val="00842D34"/>
    <w:rsid w:val="00844847"/>
    <w:rsid w:val="00845FE6"/>
    <w:rsid w:val="00847BAD"/>
    <w:rsid w:val="00847D09"/>
    <w:rsid w:val="008500D8"/>
    <w:rsid w:val="008503F1"/>
    <w:rsid w:val="00852838"/>
    <w:rsid w:val="008538B8"/>
    <w:rsid w:val="008543F1"/>
    <w:rsid w:val="008559B9"/>
    <w:rsid w:val="00856B4C"/>
    <w:rsid w:val="008573BF"/>
    <w:rsid w:val="00857CAE"/>
    <w:rsid w:val="00860CB0"/>
    <w:rsid w:val="008617E2"/>
    <w:rsid w:val="00861B77"/>
    <w:rsid w:val="00861DF9"/>
    <w:rsid w:val="008622F7"/>
    <w:rsid w:val="00862BD9"/>
    <w:rsid w:val="00863A0A"/>
    <w:rsid w:val="00864171"/>
    <w:rsid w:val="0086448B"/>
    <w:rsid w:val="00864CED"/>
    <w:rsid w:val="00865108"/>
    <w:rsid w:val="00866357"/>
    <w:rsid w:val="00866CA8"/>
    <w:rsid w:val="0086733B"/>
    <w:rsid w:val="00867387"/>
    <w:rsid w:val="008700AF"/>
    <w:rsid w:val="0087172C"/>
    <w:rsid w:val="008743A3"/>
    <w:rsid w:val="008746BB"/>
    <w:rsid w:val="008747B4"/>
    <w:rsid w:val="00876FEC"/>
    <w:rsid w:val="0088037C"/>
    <w:rsid w:val="00880BD5"/>
    <w:rsid w:val="008833A2"/>
    <w:rsid w:val="00883B01"/>
    <w:rsid w:val="00884F23"/>
    <w:rsid w:val="0088767E"/>
    <w:rsid w:val="00892B6C"/>
    <w:rsid w:val="00893D44"/>
    <w:rsid w:val="00895AE7"/>
    <w:rsid w:val="008A03EE"/>
    <w:rsid w:val="008A0CC0"/>
    <w:rsid w:val="008A109F"/>
    <w:rsid w:val="008A1AEB"/>
    <w:rsid w:val="008A218C"/>
    <w:rsid w:val="008A2F1D"/>
    <w:rsid w:val="008A3308"/>
    <w:rsid w:val="008A3B5A"/>
    <w:rsid w:val="008A3EE1"/>
    <w:rsid w:val="008A47C0"/>
    <w:rsid w:val="008A47FC"/>
    <w:rsid w:val="008A63BB"/>
    <w:rsid w:val="008A6474"/>
    <w:rsid w:val="008A696E"/>
    <w:rsid w:val="008A6AD6"/>
    <w:rsid w:val="008B17E7"/>
    <w:rsid w:val="008B31FC"/>
    <w:rsid w:val="008B4957"/>
    <w:rsid w:val="008B5450"/>
    <w:rsid w:val="008B5948"/>
    <w:rsid w:val="008B5C19"/>
    <w:rsid w:val="008B657F"/>
    <w:rsid w:val="008C032D"/>
    <w:rsid w:val="008C06B2"/>
    <w:rsid w:val="008C0912"/>
    <w:rsid w:val="008C1AEC"/>
    <w:rsid w:val="008C3323"/>
    <w:rsid w:val="008C35B9"/>
    <w:rsid w:val="008C59AA"/>
    <w:rsid w:val="008C6E11"/>
    <w:rsid w:val="008D0092"/>
    <w:rsid w:val="008D09C1"/>
    <w:rsid w:val="008D14B2"/>
    <w:rsid w:val="008D1591"/>
    <w:rsid w:val="008D2944"/>
    <w:rsid w:val="008D3D88"/>
    <w:rsid w:val="008D4CCF"/>
    <w:rsid w:val="008D6D13"/>
    <w:rsid w:val="008D7E58"/>
    <w:rsid w:val="008E04CD"/>
    <w:rsid w:val="008E38D2"/>
    <w:rsid w:val="008E73A0"/>
    <w:rsid w:val="008F0526"/>
    <w:rsid w:val="008F2EB4"/>
    <w:rsid w:val="008F34BE"/>
    <w:rsid w:val="008F3646"/>
    <w:rsid w:val="008F66E4"/>
    <w:rsid w:val="008F6F2E"/>
    <w:rsid w:val="009006CD"/>
    <w:rsid w:val="00902F3E"/>
    <w:rsid w:val="0090379E"/>
    <w:rsid w:val="009039A5"/>
    <w:rsid w:val="00903CFC"/>
    <w:rsid w:val="00905DF5"/>
    <w:rsid w:val="00906D74"/>
    <w:rsid w:val="00907F44"/>
    <w:rsid w:val="009109D9"/>
    <w:rsid w:val="00910C9B"/>
    <w:rsid w:val="00911888"/>
    <w:rsid w:val="00912F65"/>
    <w:rsid w:val="00913E85"/>
    <w:rsid w:val="00915CF5"/>
    <w:rsid w:val="00916021"/>
    <w:rsid w:val="00916B0A"/>
    <w:rsid w:val="00916C04"/>
    <w:rsid w:val="00920434"/>
    <w:rsid w:val="00920870"/>
    <w:rsid w:val="00922749"/>
    <w:rsid w:val="009227AF"/>
    <w:rsid w:val="009227EF"/>
    <w:rsid w:val="0092292B"/>
    <w:rsid w:val="009231B1"/>
    <w:rsid w:val="009231DD"/>
    <w:rsid w:val="009232FE"/>
    <w:rsid w:val="00925725"/>
    <w:rsid w:val="00925E07"/>
    <w:rsid w:val="009263EE"/>
    <w:rsid w:val="0092694F"/>
    <w:rsid w:val="00931157"/>
    <w:rsid w:val="00931486"/>
    <w:rsid w:val="00931B15"/>
    <w:rsid w:val="00931FA3"/>
    <w:rsid w:val="00932069"/>
    <w:rsid w:val="0093285E"/>
    <w:rsid w:val="009328F0"/>
    <w:rsid w:val="00934175"/>
    <w:rsid w:val="00934EC9"/>
    <w:rsid w:val="009352CE"/>
    <w:rsid w:val="0093538C"/>
    <w:rsid w:val="0093544F"/>
    <w:rsid w:val="00935698"/>
    <w:rsid w:val="0093576B"/>
    <w:rsid w:val="009400F0"/>
    <w:rsid w:val="009405B3"/>
    <w:rsid w:val="00941644"/>
    <w:rsid w:val="009416A2"/>
    <w:rsid w:val="00941ACC"/>
    <w:rsid w:val="009428AB"/>
    <w:rsid w:val="00943570"/>
    <w:rsid w:val="00944316"/>
    <w:rsid w:val="0094479E"/>
    <w:rsid w:val="0095149F"/>
    <w:rsid w:val="00951CB9"/>
    <w:rsid w:val="00954F67"/>
    <w:rsid w:val="009579D1"/>
    <w:rsid w:val="0096041E"/>
    <w:rsid w:val="00964502"/>
    <w:rsid w:val="00965115"/>
    <w:rsid w:val="00965379"/>
    <w:rsid w:val="0097177D"/>
    <w:rsid w:val="00971790"/>
    <w:rsid w:val="0097516F"/>
    <w:rsid w:val="0097517C"/>
    <w:rsid w:val="00975811"/>
    <w:rsid w:val="00981563"/>
    <w:rsid w:val="009818C6"/>
    <w:rsid w:val="0098196A"/>
    <w:rsid w:val="0098424D"/>
    <w:rsid w:val="00984672"/>
    <w:rsid w:val="009863AF"/>
    <w:rsid w:val="009868E2"/>
    <w:rsid w:val="00991E41"/>
    <w:rsid w:val="00994B19"/>
    <w:rsid w:val="00994BF9"/>
    <w:rsid w:val="009955AD"/>
    <w:rsid w:val="00997568"/>
    <w:rsid w:val="0099799F"/>
    <w:rsid w:val="00997DF2"/>
    <w:rsid w:val="009A0C7F"/>
    <w:rsid w:val="009A1E24"/>
    <w:rsid w:val="009A23A3"/>
    <w:rsid w:val="009A3CAF"/>
    <w:rsid w:val="009A412D"/>
    <w:rsid w:val="009A5FE8"/>
    <w:rsid w:val="009A63F4"/>
    <w:rsid w:val="009B0657"/>
    <w:rsid w:val="009B1992"/>
    <w:rsid w:val="009B2000"/>
    <w:rsid w:val="009B2707"/>
    <w:rsid w:val="009B2751"/>
    <w:rsid w:val="009B6809"/>
    <w:rsid w:val="009B68B7"/>
    <w:rsid w:val="009C14BE"/>
    <w:rsid w:val="009C1841"/>
    <w:rsid w:val="009C1901"/>
    <w:rsid w:val="009C1A8F"/>
    <w:rsid w:val="009C2D61"/>
    <w:rsid w:val="009C2FDF"/>
    <w:rsid w:val="009C3667"/>
    <w:rsid w:val="009C375B"/>
    <w:rsid w:val="009C56D5"/>
    <w:rsid w:val="009C6B72"/>
    <w:rsid w:val="009C776C"/>
    <w:rsid w:val="009D0E6F"/>
    <w:rsid w:val="009D1578"/>
    <w:rsid w:val="009D367B"/>
    <w:rsid w:val="009D3FA5"/>
    <w:rsid w:val="009D4518"/>
    <w:rsid w:val="009D474D"/>
    <w:rsid w:val="009D4946"/>
    <w:rsid w:val="009D5A04"/>
    <w:rsid w:val="009D69F4"/>
    <w:rsid w:val="009E013A"/>
    <w:rsid w:val="009E096C"/>
    <w:rsid w:val="009E1B85"/>
    <w:rsid w:val="009E2795"/>
    <w:rsid w:val="009E2C01"/>
    <w:rsid w:val="009E4051"/>
    <w:rsid w:val="009E458C"/>
    <w:rsid w:val="009E7054"/>
    <w:rsid w:val="009F099D"/>
    <w:rsid w:val="009F238C"/>
    <w:rsid w:val="009F25A9"/>
    <w:rsid w:val="009F2809"/>
    <w:rsid w:val="009F2F30"/>
    <w:rsid w:val="009F3A41"/>
    <w:rsid w:val="009F3C05"/>
    <w:rsid w:val="009F3E37"/>
    <w:rsid w:val="009F6774"/>
    <w:rsid w:val="009F78B5"/>
    <w:rsid w:val="009F7BC8"/>
    <w:rsid w:val="00A00631"/>
    <w:rsid w:val="00A00CB4"/>
    <w:rsid w:val="00A015A2"/>
    <w:rsid w:val="00A01E2D"/>
    <w:rsid w:val="00A02170"/>
    <w:rsid w:val="00A028A7"/>
    <w:rsid w:val="00A04D6A"/>
    <w:rsid w:val="00A05B07"/>
    <w:rsid w:val="00A06263"/>
    <w:rsid w:val="00A071A0"/>
    <w:rsid w:val="00A0731C"/>
    <w:rsid w:val="00A07C15"/>
    <w:rsid w:val="00A07E76"/>
    <w:rsid w:val="00A113BD"/>
    <w:rsid w:val="00A11563"/>
    <w:rsid w:val="00A11778"/>
    <w:rsid w:val="00A117C1"/>
    <w:rsid w:val="00A17DB6"/>
    <w:rsid w:val="00A20EF4"/>
    <w:rsid w:val="00A21072"/>
    <w:rsid w:val="00A2254B"/>
    <w:rsid w:val="00A2268E"/>
    <w:rsid w:val="00A22D54"/>
    <w:rsid w:val="00A26092"/>
    <w:rsid w:val="00A26792"/>
    <w:rsid w:val="00A274CE"/>
    <w:rsid w:val="00A30345"/>
    <w:rsid w:val="00A319D3"/>
    <w:rsid w:val="00A341CA"/>
    <w:rsid w:val="00A3503F"/>
    <w:rsid w:val="00A3645B"/>
    <w:rsid w:val="00A36888"/>
    <w:rsid w:val="00A40C26"/>
    <w:rsid w:val="00A42BEC"/>
    <w:rsid w:val="00A42DCC"/>
    <w:rsid w:val="00A4356B"/>
    <w:rsid w:val="00A435B6"/>
    <w:rsid w:val="00A44D71"/>
    <w:rsid w:val="00A4570C"/>
    <w:rsid w:val="00A50D3F"/>
    <w:rsid w:val="00A51EAA"/>
    <w:rsid w:val="00A520EC"/>
    <w:rsid w:val="00A52BEB"/>
    <w:rsid w:val="00A53671"/>
    <w:rsid w:val="00A54F74"/>
    <w:rsid w:val="00A55372"/>
    <w:rsid w:val="00A554E1"/>
    <w:rsid w:val="00A5637C"/>
    <w:rsid w:val="00A571BA"/>
    <w:rsid w:val="00A575BF"/>
    <w:rsid w:val="00A57A29"/>
    <w:rsid w:val="00A6150F"/>
    <w:rsid w:val="00A61F8D"/>
    <w:rsid w:val="00A61FD3"/>
    <w:rsid w:val="00A62D97"/>
    <w:rsid w:val="00A64511"/>
    <w:rsid w:val="00A64C85"/>
    <w:rsid w:val="00A656D8"/>
    <w:rsid w:val="00A66C85"/>
    <w:rsid w:val="00A67DE1"/>
    <w:rsid w:val="00A70969"/>
    <w:rsid w:val="00A70BAA"/>
    <w:rsid w:val="00A72794"/>
    <w:rsid w:val="00A731C2"/>
    <w:rsid w:val="00A733DC"/>
    <w:rsid w:val="00A73779"/>
    <w:rsid w:val="00A73A0B"/>
    <w:rsid w:val="00A7400B"/>
    <w:rsid w:val="00A75B43"/>
    <w:rsid w:val="00A769CB"/>
    <w:rsid w:val="00A76E67"/>
    <w:rsid w:val="00A77A07"/>
    <w:rsid w:val="00A77C8A"/>
    <w:rsid w:val="00A812E3"/>
    <w:rsid w:val="00A8236B"/>
    <w:rsid w:val="00A82F89"/>
    <w:rsid w:val="00A85C8C"/>
    <w:rsid w:val="00A867FD"/>
    <w:rsid w:val="00A86CD0"/>
    <w:rsid w:val="00A874B6"/>
    <w:rsid w:val="00A9207F"/>
    <w:rsid w:val="00A92917"/>
    <w:rsid w:val="00A94A78"/>
    <w:rsid w:val="00A95008"/>
    <w:rsid w:val="00A95E0D"/>
    <w:rsid w:val="00A9663A"/>
    <w:rsid w:val="00AA246F"/>
    <w:rsid w:val="00AA24F3"/>
    <w:rsid w:val="00AA3807"/>
    <w:rsid w:val="00AA3D3F"/>
    <w:rsid w:val="00AA52B0"/>
    <w:rsid w:val="00AA5590"/>
    <w:rsid w:val="00AA5D8E"/>
    <w:rsid w:val="00AA634C"/>
    <w:rsid w:val="00AB02FA"/>
    <w:rsid w:val="00AB12D8"/>
    <w:rsid w:val="00AB2135"/>
    <w:rsid w:val="00AB2BBC"/>
    <w:rsid w:val="00AB2D2F"/>
    <w:rsid w:val="00AB30F2"/>
    <w:rsid w:val="00AB4D8A"/>
    <w:rsid w:val="00AB55BF"/>
    <w:rsid w:val="00AB6449"/>
    <w:rsid w:val="00AB6DE3"/>
    <w:rsid w:val="00AB7D2D"/>
    <w:rsid w:val="00AC16F3"/>
    <w:rsid w:val="00AC18FC"/>
    <w:rsid w:val="00AC696D"/>
    <w:rsid w:val="00AC69CA"/>
    <w:rsid w:val="00AD160C"/>
    <w:rsid w:val="00AD37EA"/>
    <w:rsid w:val="00AD3C0A"/>
    <w:rsid w:val="00AD567C"/>
    <w:rsid w:val="00AD6848"/>
    <w:rsid w:val="00AD79BD"/>
    <w:rsid w:val="00AE1475"/>
    <w:rsid w:val="00AE1D15"/>
    <w:rsid w:val="00AE2AB0"/>
    <w:rsid w:val="00AE3507"/>
    <w:rsid w:val="00AE3BCB"/>
    <w:rsid w:val="00AE5FD3"/>
    <w:rsid w:val="00AE7C40"/>
    <w:rsid w:val="00AF0C1B"/>
    <w:rsid w:val="00AF1739"/>
    <w:rsid w:val="00AF69E7"/>
    <w:rsid w:val="00AF6ABB"/>
    <w:rsid w:val="00AF6C4F"/>
    <w:rsid w:val="00AF6F7B"/>
    <w:rsid w:val="00B03F6B"/>
    <w:rsid w:val="00B045F2"/>
    <w:rsid w:val="00B05758"/>
    <w:rsid w:val="00B074DC"/>
    <w:rsid w:val="00B07BD3"/>
    <w:rsid w:val="00B1034C"/>
    <w:rsid w:val="00B103C2"/>
    <w:rsid w:val="00B12986"/>
    <w:rsid w:val="00B130EE"/>
    <w:rsid w:val="00B13453"/>
    <w:rsid w:val="00B17376"/>
    <w:rsid w:val="00B17968"/>
    <w:rsid w:val="00B208F5"/>
    <w:rsid w:val="00B2168F"/>
    <w:rsid w:val="00B21A1C"/>
    <w:rsid w:val="00B22B29"/>
    <w:rsid w:val="00B230F8"/>
    <w:rsid w:val="00B23473"/>
    <w:rsid w:val="00B23BE9"/>
    <w:rsid w:val="00B2481D"/>
    <w:rsid w:val="00B2509C"/>
    <w:rsid w:val="00B252EB"/>
    <w:rsid w:val="00B26013"/>
    <w:rsid w:val="00B260AA"/>
    <w:rsid w:val="00B26F66"/>
    <w:rsid w:val="00B305D2"/>
    <w:rsid w:val="00B31274"/>
    <w:rsid w:val="00B345B2"/>
    <w:rsid w:val="00B35E26"/>
    <w:rsid w:val="00B40255"/>
    <w:rsid w:val="00B40613"/>
    <w:rsid w:val="00B44B4F"/>
    <w:rsid w:val="00B44DE5"/>
    <w:rsid w:val="00B45564"/>
    <w:rsid w:val="00B46B99"/>
    <w:rsid w:val="00B479A1"/>
    <w:rsid w:val="00B52789"/>
    <w:rsid w:val="00B530E9"/>
    <w:rsid w:val="00B545EE"/>
    <w:rsid w:val="00B54850"/>
    <w:rsid w:val="00B5487A"/>
    <w:rsid w:val="00B560DB"/>
    <w:rsid w:val="00B568FC"/>
    <w:rsid w:val="00B6026A"/>
    <w:rsid w:val="00B605A5"/>
    <w:rsid w:val="00B60AE6"/>
    <w:rsid w:val="00B612CC"/>
    <w:rsid w:val="00B61D19"/>
    <w:rsid w:val="00B62D1A"/>
    <w:rsid w:val="00B70EBE"/>
    <w:rsid w:val="00B71080"/>
    <w:rsid w:val="00B718CD"/>
    <w:rsid w:val="00B731B8"/>
    <w:rsid w:val="00B73CFA"/>
    <w:rsid w:val="00B741FD"/>
    <w:rsid w:val="00B75542"/>
    <w:rsid w:val="00B76E0B"/>
    <w:rsid w:val="00B775FF"/>
    <w:rsid w:val="00B77675"/>
    <w:rsid w:val="00B81712"/>
    <w:rsid w:val="00B8354A"/>
    <w:rsid w:val="00B8435A"/>
    <w:rsid w:val="00B85896"/>
    <w:rsid w:val="00B85D6A"/>
    <w:rsid w:val="00B86B13"/>
    <w:rsid w:val="00B90487"/>
    <w:rsid w:val="00B923A3"/>
    <w:rsid w:val="00B92D86"/>
    <w:rsid w:val="00B93129"/>
    <w:rsid w:val="00B93BE1"/>
    <w:rsid w:val="00B96437"/>
    <w:rsid w:val="00BA0B23"/>
    <w:rsid w:val="00BA1109"/>
    <w:rsid w:val="00BA2456"/>
    <w:rsid w:val="00BA2697"/>
    <w:rsid w:val="00BA3278"/>
    <w:rsid w:val="00BA52E3"/>
    <w:rsid w:val="00BA56CF"/>
    <w:rsid w:val="00BB010C"/>
    <w:rsid w:val="00BB05E2"/>
    <w:rsid w:val="00BB0822"/>
    <w:rsid w:val="00BB136A"/>
    <w:rsid w:val="00BB2850"/>
    <w:rsid w:val="00BB2C8F"/>
    <w:rsid w:val="00BB41A3"/>
    <w:rsid w:val="00BB6A37"/>
    <w:rsid w:val="00BB7771"/>
    <w:rsid w:val="00BC30E4"/>
    <w:rsid w:val="00BC31D7"/>
    <w:rsid w:val="00BC477D"/>
    <w:rsid w:val="00BC4F2A"/>
    <w:rsid w:val="00BC62E1"/>
    <w:rsid w:val="00BD3B12"/>
    <w:rsid w:val="00BD443F"/>
    <w:rsid w:val="00BD4E00"/>
    <w:rsid w:val="00BD55E4"/>
    <w:rsid w:val="00BD761F"/>
    <w:rsid w:val="00BD7B86"/>
    <w:rsid w:val="00BE0F04"/>
    <w:rsid w:val="00BE1A57"/>
    <w:rsid w:val="00BE41D6"/>
    <w:rsid w:val="00BE5725"/>
    <w:rsid w:val="00BE6715"/>
    <w:rsid w:val="00BE7A42"/>
    <w:rsid w:val="00BF04DE"/>
    <w:rsid w:val="00BF18A6"/>
    <w:rsid w:val="00BF3D7A"/>
    <w:rsid w:val="00BF4C84"/>
    <w:rsid w:val="00BF510D"/>
    <w:rsid w:val="00BF62E7"/>
    <w:rsid w:val="00BF764D"/>
    <w:rsid w:val="00BF798B"/>
    <w:rsid w:val="00C009A6"/>
    <w:rsid w:val="00C02A6C"/>
    <w:rsid w:val="00C02C43"/>
    <w:rsid w:val="00C02ED8"/>
    <w:rsid w:val="00C036E7"/>
    <w:rsid w:val="00C06A39"/>
    <w:rsid w:val="00C07AB1"/>
    <w:rsid w:val="00C07B6E"/>
    <w:rsid w:val="00C07E17"/>
    <w:rsid w:val="00C10D8B"/>
    <w:rsid w:val="00C10DEA"/>
    <w:rsid w:val="00C11191"/>
    <w:rsid w:val="00C11645"/>
    <w:rsid w:val="00C123D5"/>
    <w:rsid w:val="00C134A6"/>
    <w:rsid w:val="00C14FAC"/>
    <w:rsid w:val="00C1668F"/>
    <w:rsid w:val="00C16793"/>
    <w:rsid w:val="00C17A82"/>
    <w:rsid w:val="00C17CFD"/>
    <w:rsid w:val="00C202DF"/>
    <w:rsid w:val="00C2039A"/>
    <w:rsid w:val="00C21050"/>
    <w:rsid w:val="00C217B1"/>
    <w:rsid w:val="00C21D5D"/>
    <w:rsid w:val="00C225D0"/>
    <w:rsid w:val="00C22DF6"/>
    <w:rsid w:val="00C22E61"/>
    <w:rsid w:val="00C2395B"/>
    <w:rsid w:val="00C23E5C"/>
    <w:rsid w:val="00C2478E"/>
    <w:rsid w:val="00C25CD2"/>
    <w:rsid w:val="00C263A0"/>
    <w:rsid w:val="00C27949"/>
    <w:rsid w:val="00C30434"/>
    <w:rsid w:val="00C30BB7"/>
    <w:rsid w:val="00C315A2"/>
    <w:rsid w:val="00C326C7"/>
    <w:rsid w:val="00C34E7D"/>
    <w:rsid w:val="00C34F9A"/>
    <w:rsid w:val="00C37CFF"/>
    <w:rsid w:val="00C4000E"/>
    <w:rsid w:val="00C4062B"/>
    <w:rsid w:val="00C4069F"/>
    <w:rsid w:val="00C41411"/>
    <w:rsid w:val="00C43032"/>
    <w:rsid w:val="00C43127"/>
    <w:rsid w:val="00C43301"/>
    <w:rsid w:val="00C436C2"/>
    <w:rsid w:val="00C438FB"/>
    <w:rsid w:val="00C450CF"/>
    <w:rsid w:val="00C469AE"/>
    <w:rsid w:val="00C47158"/>
    <w:rsid w:val="00C473D0"/>
    <w:rsid w:val="00C474E4"/>
    <w:rsid w:val="00C508E1"/>
    <w:rsid w:val="00C516C7"/>
    <w:rsid w:val="00C529BE"/>
    <w:rsid w:val="00C52C75"/>
    <w:rsid w:val="00C531FF"/>
    <w:rsid w:val="00C534B7"/>
    <w:rsid w:val="00C544EF"/>
    <w:rsid w:val="00C5578A"/>
    <w:rsid w:val="00C5658C"/>
    <w:rsid w:val="00C565F2"/>
    <w:rsid w:val="00C60D99"/>
    <w:rsid w:val="00C62B89"/>
    <w:rsid w:val="00C6347F"/>
    <w:rsid w:val="00C636B9"/>
    <w:rsid w:val="00C6465C"/>
    <w:rsid w:val="00C651F6"/>
    <w:rsid w:val="00C65628"/>
    <w:rsid w:val="00C66A4B"/>
    <w:rsid w:val="00C672A2"/>
    <w:rsid w:val="00C674FF"/>
    <w:rsid w:val="00C676AA"/>
    <w:rsid w:val="00C67D83"/>
    <w:rsid w:val="00C70242"/>
    <w:rsid w:val="00C70ED4"/>
    <w:rsid w:val="00C73D85"/>
    <w:rsid w:val="00C745B9"/>
    <w:rsid w:val="00C749C9"/>
    <w:rsid w:val="00C7592B"/>
    <w:rsid w:val="00C774E0"/>
    <w:rsid w:val="00C77B23"/>
    <w:rsid w:val="00C80ACC"/>
    <w:rsid w:val="00C80EAB"/>
    <w:rsid w:val="00C811A4"/>
    <w:rsid w:val="00C81E35"/>
    <w:rsid w:val="00C84F02"/>
    <w:rsid w:val="00C85223"/>
    <w:rsid w:val="00C86114"/>
    <w:rsid w:val="00C86D54"/>
    <w:rsid w:val="00C905B8"/>
    <w:rsid w:val="00C91866"/>
    <w:rsid w:val="00C95B4A"/>
    <w:rsid w:val="00C97817"/>
    <w:rsid w:val="00C97DFF"/>
    <w:rsid w:val="00CA1123"/>
    <w:rsid w:val="00CA1130"/>
    <w:rsid w:val="00CA1637"/>
    <w:rsid w:val="00CA1A78"/>
    <w:rsid w:val="00CA2605"/>
    <w:rsid w:val="00CA2DE9"/>
    <w:rsid w:val="00CA479B"/>
    <w:rsid w:val="00CA68F8"/>
    <w:rsid w:val="00CA7146"/>
    <w:rsid w:val="00CB28D3"/>
    <w:rsid w:val="00CB2CD6"/>
    <w:rsid w:val="00CB3468"/>
    <w:rsid w:val="00CB4AF1"/>
    <w:rsid w:val="00CC0FBB"/>
    <w:rsid w:val="00CC1305"/>
    <w:rsid w:val="00CC1869"/>
    <w:rsid w:val="00CC2871"/>
    <w:rsid w:val="00CC397A"/>
    <w:rsid w:val="00CC46BA"/>
    <w:rsid w:val="00CC5E42"/>
    <w:rsid w:val="00CC734C"/>
    <w:rsid w:val="00CD02EA"/>
    <w:rsid w:val="00CD4A2D"/>
    <w:rsid w:val="00CD4B61"/>
    <w:rsid w:val="00CD7171"/>
    <w:rsid w:val="00CD7481"/>
    <w:rsid w:val="00CD7D73"/>
    <w:rsid w:val="00CD7F5B"/>
    <w:rsid w:val="00CD7FD1"/>
    <w:rsid w:val="00CE0021"/>
    <w:rsid w:val="00CE09AF"/>
    <w:rsid w:val="00CE17F0"/>
    <w:rsid w:val="00CE3E79"/>
    <w:rsid w:val="00CE76BF"/>
    <w:rsid w:val="00CE7E5D"/>
    <w:rsid w:val="00CF1CB4"/>
    <w:rsid w:val="00CF1D87"/>
    <w:rsid w:val="00CF1FF2"/>
    <w:rsid w:val="00CF230E"/>
    <w:rsid w:val="00CF2325"/>
    <w:rsid w:val="00CF30C3"/>
    <w:rsid w:val="00CF47CC"/>
    <w:rsid w:val="00CF49A6"/>
    <w:rsid w:val="00CF4A8C"/>
    <w:rsid w:val="00CF5910"/>
    <w:rsid w:val="00CF792A"/>
    <w:rsid w:val="00D00135"/>
    <w:rsid w:val="00D00DFF"/>
    <w:rsid w:val="00D011D2"/>
    <w:rsid w:val="00D015C5"/>
    <w:rsid w:val="00D0221B"/>
    <w:rsid w:val="00D02E3A"/>
    <w:rsid w:val="00D036AC"/>
    <w:rsid w:val="00D04B95"/>
    <w:rsid w:val="00D0614C"/>
    <w:rsid w:val="00D0646E"/>
    <w:rsid w:val="00D07012"/>
    <w:rsid w:val="00D11E3D"/>
    <w:rsid w:val="00D12AFC"/>
    <w:rsid w:val="00D12BB9"/>
    <w:rsid w:val="00D138E6"/>
    <w:rsid w:val="00D14ECC"/>
    <w:rsid w:val="00D150A9"/>
    <w:rsid w:val="00D1650C"/>
    <w:rsid w:val="00D16BAC"/>
    <w:rsid w:val="00D17BC8"/>
    <w:rsid w:val="00D205A9"/>
    <w:rsid w:val="00D21762"/>
    <w:rsid w:val="00D2193C"/>
    <w:rsid w:val="00D21CA7"/>
    <w:rsid w:val="00D253AF"/>
    <w:rsid w:val="00D25E30"/>
    <w:rsid w:val="00D300A6"/>
    <w:rsid w:val="00D30AED"/>
    <w:rsid w:val="00D31C14"/>
    <w:rsid w:val="00D31F75"/>
    <w:rsid w:val="00D32459"/>
    <w:rsid w:val="00D34959"/>
    <w:rsid w:val="00D34F7C"/>
    <w:rsid w:val="00D37053"/>
    <w:rsid w:val="00D373EA"/>
    <w:rsid w:val="00D413CA"/>
    <w:rsid w:val="00D41431"/>
    <w:rsid w:val="00D41C7C"/>
    <w:rsid w:val="00D41F6A"/>
    <w:rsid w:val="00D426CF"/>
    <w:rsid w:val="00D43024"/>
    <w:rsid w:val="00D453E9"/>
    <w:rsid w:val="00D45493"/>
    <w:rsid w:val="00D46C13"/>
    <w:rsid w:val="00D46CA8"/>
    <w:rsid w:val="00D50320"/>
    <w:rsid w:val="00D52580"/>
    <w:rsid w:val="00D52F2B"/>
    <w:rsid w:val="00D5660B"/>
    <w:rsid w:val="00D624A0"/>
    <w:rsid w:val="00D625D6"/>
    <w:rsid w:val="00D6274F"/>
    <w:rsid w:val="00D6612C"/>
    <w:rsid w:val="00D6776A"/>
    <w:rsid w:val="00D704EF"/>
    <w:rsid w:val="00D719AC"/>
    <w:rsid w:val="00D7219C"/>
    <w:rsid w:val="00D72611"/>
    <w:rsid w:val="00D72BAA"/>
    <w:rsid w:val="00D74C9D"/>
    <w:rsid w:val="00D77FFD"/>
    <w:rsid w:val="00D8046E"/>
    <w:rsid w:val="00D8181F"/>
    <w:rsid w:val="00D81ED9"/>
    <w:rsid w:val="00D82D2E"/>
    <w:rsid w:val="00D83228"/>
    <w:rsid w:val="00D84265"/>
    <w:rsid w:val="00D86E8D"/>
    <w:rsid w:val="00D87118"/>
    <w:rsid w:val="00D87E03"/>
    <w:rsid w:val="00D87EA9"/>
    <w:rsid w:val="00D912BA"/>
    <w:rsid w:val="00D93BF7"/>
    <w:rsid w:val="00D951C0"/>
    <w:rsid w:val="00D95B29"/>
    <w:rsid w:val="00D97381"/>
    <w:rsid w:val="00D97E4C"/>
    <w:rsid w:val="00DA0461"/>
    <w:rsid w:val="00DA04A8"/>
    <w:rsid w:val="00DA0538"/>
    <w:rsid w:val="00DA18EA"/>
    <w:rsid w:val="00DA29EC"/>
    <w:rsid w:val="00DA3BC7"/>
    <w:rsid w:val="00DA5CEF"/>
    <w:rsid w:val="00DA6158"/>
    <w:rsid w:val="00DA78C1"/>
    <w:rsid w:val="00DA7D64"/>
    <w:rsid w:val="00DB2E15"/>
    <w:rsid w:val="00DB36BC"/>
    <w:rsid w:val="00DB4B5D"/>
    <w:rsid w:val="00DB68C7"/>
    <w:rsid w:val="00DB6EAF"/>
    <w:rsid w:val="00DB7303"/>
    <w:rsid w:val="00DB7354"/>
    <w:rsid w:val="00DC1744"/>
    <w:rsid w:val="00DC3E5C"/>
    <w:rsid w:val="00DC46C7"/>
    <w:rsid w:val="00DC4994"/>
    <w:rsid w:val="00DC64A7"/>
    <w:rsid w:val="00DC70D3"/>
    <w:rsid w:val="00DD0424"/>
    <w:rsid w:val="00DD0EDF"/>
    <w:rsid w:val="00DD3DA5"/>
    <w:rsid w:val="00DD46C1"/>
    <w:rsid w:val="00DD6222"/>
    <w:rsid w:val="00DD6853"/>
    <w:rsid w:val="00DD6BE8"/>
    <w:rsid w:val="00DD7F39"/>
    <w:rsid w:val="00DE0267"/>
    <w:rsid w:val="00DE0CE3"/>
    <w:rsid w:val="00DE1CCF"/>
    <w:rsid w:val="00DE41A1"/>
    <w:rsid w:val="00DE49EC"/>
    <w:rsid w:val="00DE6366"/>
    <w:rsid w:val="00DE6B05"/>
    <w:rsid w:val="00DF0A97"/>
    <w:rsid w:val="00DF0DEE"/>
    <w:rsid w:val="00DF13D0"/>
    <w:rsid w:val="00DF158F"/>
    <w:rsid w:val="00DF2A24"/>
    <w:rsid w:val="00DF2EEA"/>
    <w:rsid w:val="00DF5479"/>
    <w:rsid w:val="00DF6823"/>
    <w:rsid w:val="00E016EC"/>
    <w:rsid w:val="00E01746"/>
    <w:rsid w:val="00E03752"/>
    <w:rsid w:val="00E03CF1"/>
    <w:rsid w:val="00E06781"/>
    <w:rsid w:val="00E075D7"/>
    <w:rsid w:val="00E125BB"/>
    <w:rsid w:val="00E12B78"/>
    <w:rsid w:val="00E12D50"/>
    <w:rsid w:val="00E137D5"/>
    <w:rsid w:val="00E13B89"/>
    <w:rsid w:val="00E14472"/>
    <w:rsid w:val="00E14CE0"/>
    <w:rsid w:val="00E15BDC"/>
    <w:rsid w:val="00E164C9"/>
    <w:rsid w:val="00E2115B"/>
    <w:rsid w:val="00E23F6E"/>
    <w:rsid w:val="00E23FE8"/>
    <w:rsid w:val="00E2656A"/>
    <w:rsid w:val="00E27293"/>
    <w:rsid w:val="00E2792A"/>
    <w:rsid w:val="00E320F5"/>
    <w:rsid w:val="00E32890"/>
    <w:rsid w:val="00E33B12"/>
    <w:rsid w:val="00E35D02"/>
    <w:rsid w:val="00E402A6"/>
    <w:rsid w:val="00E40941"/>
    <w:rsid w:val="00E443DC"/>
    <w:rsid w:val="00E446E8"/>
    <w:rsid w:val="00E46A6C"/>
    <w:rsid w:val="00E51323"/>
    <w:rsid w:val="00E52337"/>
    <w:rsid w:val="00E52705"/>
    <w:rsid w:val="00E52BBF"/>
    <w:rsid w:val="00E52BD1"/>
    <w:rsid w:val="00E52F01"/>
    <w:rsid w:val="00E53365"/>
    <w:rsid w:val="00E5471C"/>
    <w:rsid w:val="00E55BF9"/>
    <w:rsid w:val="00E56D54"/>
    <w:rsid w:val="00E60D87"/>
    <w:rsid w:val="00E61428"/>
    <w:rsid w:val="00E63413"/>
    <w:rsid w:val="00E64FF6"/>
    <w:rsid w:val="00E65ECC"/>
    <w:rsid w:val="00E66399"/>
    <w:rsid w:val="00E7292D"/>
    <w:rsid w:val="00E72B4C"/>
    <w:rsid w:val="00E733B9"/>
    <w:rsid w:val="00E7362D"/>
    <w:rsid w:val="00E73832"/>
    <w:rsid w:val="00E7510F"/>
    <w:rsid w:val="00E75713"/>
    <w:rsid w:val="00E76A5F"/>
    <w:rsid w:val="00E77182"/>
    <w:rsid w:val="00E772B0"/>
    <w:rsid w:val="00E8040A"/>
    <w:rsid w:val="00E80943"/>
    <w:rsid w:val="00E8313A"/>
    <w:rsid w:val="00E83666"/>
    <w:rsid w:val="00E86786"/>
    <w:rsid w:val="00E90952"/>
    <w:rsid w:val="00E90A0C"/>
    <w:rsid w:val="00E90AF6"/>
    <w:rsid w:val="00E91BE6"/>
    <w:rsid w:val="00E93102"/>
    <w:rsid w:val="00E932FC"/>
    <w:rsid w:val="00E93486"/>
    <w:rsid w:val="00E93D8A"/>
    <w:rsid w:val="00E94982"/>
    <w:rsid w:val="00E95009"/>
    <w:rsid w:val="00E951C6"/>
    <w:rsid w:val="00E96113"/>
    <w:rsid w:val="00E961FD"/>
    <w:rsid w:val="00E96A6C"/>
    <w:rsid w:val="00EA02EC"/>
    <w:rsid w:val="00EA0E3B"/>
    <w:rsid w:val="00EA16D5"/>
    <w:rsid w:val="00EA2A78"/>
    <w:rsid w:val="00EA308E"/>
    <w:rsid w:val="00EA4D05"/>
    <w:rsid w:val="00EA530F"/>
    <w:rsid w:val="00EA581A"/>
    <w:rsid w:val="00EA65C8"/>
    <w:rsid w:val="00EB09A6"/>
    <w:rsid w:val="00EB2415"/>
    <w:rsid w:val="00EB2FA0"/>
    <w:rsid w:val="00EB33C4"/>
    <w:rsid w:val="00EB4269"/>
    <w:rsid w:val="00EB4768"/>
    <w:rsid w:val="00EB6506"/>
    <w:rsid w:val="00EB70C7"/>
    <w:rsid w:val="00EB7195"/>
    <w:rsid w:val="00EB7959"/>
    <w:rsid w:val="00EC0097"/>
    <w:rsid w:val="00EC14BF"/>
    <w:rsid w:val="00EC150C"/>
    <w:rsid w:val="00EC177D"/>
    <w:rsid w:val="00EC2841"/>
    <w:rsid w:val="00EC33A8"/>
    <w:rsid w:val="00EC3BA0"/>
    <w:rsid w:val="00EC3CBF"/>
    <w:rsid w:val="00EC6F7F"/>
    <w:rsid w:val="00EC7647"/>
    <w:rsid w:val="00EC79E1"/>
    <w:rsid w:val="00EC7E26"/>
    <w:rsid w:val="00ED0941"/>
    <w:rsid w:val="00ED1DB2"/>
    <w:rsid w:val="00ED2915"/>
    <w:rsid w:val="00ED32FB"/>
    <w:rsid w:val="00ED3591"/>
    <w:rsid w:val="00ED37ED"/>
    <w:rsid w:val="00ED4001"/>
    <w:rsid w:val="00ED57E2"/>
    <w:rsid w:val="00ED6410"/>
    <w:rsid w:val="00ED68C0"/>
    <w:rsid w:val="00ED6A44"/>
    <w:rsid w:val="00EE109D"/>
    <w:rsid w:val="00EE1222"/>
    <w:rsid w:val="00EE19A6"/>
    <w:rsid w:val="00EE1B91"/>
    <w:rsid w:val="00EE22D0"/>
    <w:rsid w:val="00EE2605"/>
    <w:rsid w:val="00EE2DBF"/>
    <w:rsid w:val="00EE38D5"/>
    <w:rsid w:val="00EE3E16"/>
    <w:rsid w:val="00EE3F58"/>
    <w:rsid w:val="00EE4556"/>
    <w:rsid w:val="00EE514A"/>
    <w:rsid w:val="00EE54F7"/>
    <w:rsid w:val="00EE618C"/>
    <w:rsid w:val="00EE6549"/>
    <w:rsid w:val="00EE679A"/>
    <w:rsid w:val="00EE6974"/>
    <w:rsid w:val="00EE74D5"/>
    <w:rsid w:val="00EE790F"/>
    <w:rsid w:val="00EE79EA"/>
    <w:rsid w:val="00EF14CD"/>
    <w:rsid w:val="00EF1F26"/>
    <w:rsid w:val="00EF287A"/>
    <w:rsid w:val="00EF307B"/>
    <w:rsid w:val="00EF458E"/>
    <w:rsid w:val="00EF45C0"/>
    <w:rsid w:val="00EF504A"/>
    <w:rsid w:val="00EF78C4"/>
    <w:rsid w:val="00EF791C"/>
    <w:rsid w:val="00F00BE5"/>
    <w:rsid w:val="00F02BB4"/>
    <w:rsid w:val="00F02EEA"/>
    <w:rsid w:val="00F038CE"/>
    <w:rsid w:val="00F07B86"/>
    <w:rsid w:val="00F104C7"/>
    <w:rsid w:val="00F1059D"/>
    <w:rsid w:val="00F10CCE"/>
    <w:rsid w:val="00F1247F"/>
    <w:rsid w:val="00F15670"/>
    <w:rsid w:val="00F157DA"/>
    <w:rsid w:val="00F161D7"/>
    <w:rsid w:val="00F17B9E"/>
    <w:rsid w:val="00F20846"/>
    <w:rsid w:val="00F209B3"/>
    <w:rsid w:val="00F20E50"/>
    <w:rsid w:val="00F21ABC"/>
    <w:rsid w:val="00F22990"/>
    <w:rsid w:val="00F229C2"/>
    <w:rsid w:val="00F2388F"/>
    <w:rsid w:val="00F23DE4"/>
    <w:rsid w:val="00F26143"/>
    <w:rsid w:val="00F27627"/>
    <w:rsid w:val="00F3090C"/>
    <w:rsid w:val="00F309FA"/>
    <w:rsid w:val="00F30E77"/>
    <w:rsid w:val="00F31745"/>
    <w:rsid w:val="00F31BAE"/>
    <w:rsid w:val="00F3241D"/>
    <w:rsid w:val="00F32DE4"/>
    <w:rsid w:val="00F33E0A"/>
    <w:rsid w:val="00F34EFE"/>
    <w:rsid w:val="00F407CD"/>
    <w:rsid w:val="00F40F02"/>
    <w:rsid w:val="00F41C78"/>
    <w:rsid w:val="00F41DA1"/>
    <w:rsid w:val="00F41E5F"/>
    <w:rsid w:val="00F42BD3"/>
    <w:rsid w:val="00F42C1E"/>
    <w:rsid w:val="00F42F8D"/>
    <w:rsid w:val="00F43F10"/>
    <w:rsid w:val="00F50F4B"/>
    <w:rsid w:val="00F51A68"/>
    <w:rsid w:val="00F5381C"/>
    <w:rsid w:val="00F53EBD"/>
    <w:rsid w:val="00F60258"/>
    <w:rsid w:val="00F60985"/>
    <w:rsid w:val="00F60B47"/>
    <w:rsid w:val="00F60B6D"/>
    <w:rsid w:val="00F62A33"/>
    <w:rsid w:val="00F62F71"/>
    <w:rsid w:val="00F649BF"/>
    <w:rsid w:val="00F64FA5"/>
    <w:rsid w:val="00F65CBF"/>
    <w:rsid w:val="00F66880"/>
    <w:rsid w:val="00F701FC"/>
    <w:rsid w:val="00F712BA"/>
    <w:rsid w:val="00F7217A"/>
    <w:rsid w:val="00F7267C"/>
    <w:rsid w:val="00F726FD"/>
    <w:rsid w:val="00F72995"/>
    <w:rsid w:val="00F7361A"/>
    <w:rsid w:val="00F73657"/>
    <w:rsid w:val="00F7572D"/>
    <w:rsid w:val="00F75ABE"/>
    <w:rsid w:val="00F77BBC"/>
    <w:rsid w:val="00F805FF"/>
    <w:rsid w:val="00F80DEF"/>
    <w:rsid w:val="00F82D48"/>
    <w:rsid w:val="00F8327C"/>
    <w:rsid w:val="00F83401"/>
    <w:rsid w:val="00F834FE"/>
    <w:rsid w:val="00F83B8B"/>
    <w:rsid w:val="00F83EBE"/>
    <w:rsid w:val="00F85A43"/>
    <w:rsid w:val="00F85F3A"/>
    <w:rsid w:val="00F86589"/>
    <w:rsid w:val="00F87397"/>
    <w:rsid w:val="00F9142A"/>
    <w:rsid w:val="00F92658"/>
    <w:rsid w:val="00F93DF5"/>
    <w:rsid w:val="00F95FB9"/>
    <w:rsid w:val="00F96BFC"/>
    <w:rsid w:val="00F97232"/>
    <w:rsid w:val="00FA1D71"/>
    <w:rsid w:val="00FA2C6E"/>
    <w:rsid w:val="00FA3825"/>
    <w:rsid w:val="00FA42E1"/>
    <w:rsid w:val="00FA4BC8"/>
    <w:rsid w:val="00FA5BF2"/>
    <w:rsid w:val="00FA619C"/>
    <w:rsid w:val="00FA7B02"/>
    <w:rsid w:val="00FA7CD0"/>
    <w:rsid w:val="00FB055B"/>
    <w:rsid w:val="00FB068A"/>
    <w:rsid w:val="00FB165E"/>
    <w:rsid w:val="00FB1794"/>
    <w:rsid w:val="00FB2CED"/>
    <w:rsid w:val="00FB384D"/>
    <w:rsid w:val="00FB3FAB"/>
    <w:rsid w:val="00FB4D69"/>
    <w:rsid w:val="00FB52E3"/>
    <w:rsid w:val="00FB6B33"/>
    <w:rsid w:val="00FB6F9B"/>
    <w:rsid w:val="00FC0B70"/>
    <w:rsid w:val="00FC0ED1"/>
    <w:rsid w:val="00FC2AA0"/>
    <w:rsid w:val="00FC2B96"/>
    <w:rsid w:val="00FC40BF"/>
    <w:rsid w:val="00FC5FDA"/>
    <w:rsid w:val="00FC60CD"/>
    <w:rsid w:val="00FC6568"/>
    <w:rsid w:val="00FC6B15"/>
    <w:rsid w:val="00FD045F"/>
    <w:rsid w:val="00FD1F78"/>
    <w:rsid w:val="00FD2405"/>
    <w:rsid w:val="00FD2FEA"/>
    <w:rsid w:val="00FD4C0C"/>
    <w:rsid w:val="00FD6185"/>
    <w:rsid w:val="00FD748F"/>
    <w:rsid w:val="00FE13A5"/>
    <w:rsid w:val="00FE2FA7"/>
    <w:rsid w:val="00FE4311"/>
    <w:rsid w:val="00FE4C44"/>
    <w:rsid w:val="00FE5321"/>
    <w:rsid w:val="00FE5525"/>
    <w:rsid w:val="00FE5C27"/>
    <w:rsid w:val="00FE6EE4"/>
    <w:rsid w:val="00FE74F9"/>
    <w:rsid w:val="00FF0097"/>
    <w:rsid w:val="00FF050E"/>
    <w:rsid w:val="00FF1622"/>
    <w:rsid w:val="00FF1E43"/>
    <w:rsid w:val="00FF3CA6"/>
    <w:rsid w:val="00FF3FCB"/>
    <w:rsid w:val="00FF40A0"/>
    <w:rsid w:val="00FF44A9"/>
    <w:rsid w:val="00FF4EC6"/>
    <w:rsid w:val="00FF52A6"/>
    <w:rsid w:val="00FF5821"/>
    <w:rsid w:val="00FF5A2A"/>
    <w:rsid w:val="00FF5B67"/>
    <w:rsid w:val="00FF6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4A76"/>
  <w15:docId w15:val="{DE444D87-5B2A-42D3-8C94-72D4D78F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6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C0A68"/>
    <w:pPr>
      <w:keepNext/>
      <w:keepLines/>
      <w:spacing w:line="480" w:lineRule="auto"/>
      <w:jc w:val="center"/>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7C0A68"/>
    <w:pPr>
      <w:keepNext/>
      <w:keepLines/>
      <w:spacing w:line="480" w:lineRule="auto"/>
      <w:outlineLvl w:val="1"/>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C8A"/>
    <w:pPr>
      <w:tabs>
        <w:tab w:val="center" w:pos="4680"/>
        <w:tab w:val="right" w:pos="9360"/>
      </w:tabs>
    </w:pPr>
  </w:style>
  <w:style w:type="character" w:customStyle="1" w:styleId="HeaderChar">
    <w:name w:val="Header Char"/>
    <w:basedOn w:val="DefaultParagraphFont"/>
    <w:link w:val="Header"/>
    <w:uiPriority w:val="99"/>
    <w:rsid w:val="00A77C8A"/>
  </w:style>
  <w:style w:type="paragraph" w:styleId="Footer">
    <w:name w:val="footer"/>
    <w:basedOn w:val="Normal"/>
    <w:link w:val="FooterChar"/>
    <w:uiPriority w:val="99"/>
    <w:unhideWhenUsed/>
    <w:rsid w:val="00A77C8A"/>
    <w:pPr>
      <w:tabs>
        <w:tab w:val="center" w:pos="4680"/>
        <w:tab w:val="right" w:pos="9360"/>
      </w:tabs>
    </w:pPr>
  </w:style>
  <w:style w:type="character" w:customStyle="1" w:styleId="FooterChar">
    <w:name w:val="Footer Char"/>
    <w:basedOn w:val="DefaultParagraphFont"/>
    <w:link w:val="Footer"/>
    <w:uiPriority w:val="99"/>
    <w:rsid w:val="00A77C8A"/>
  </w:style>
  <w:style w:type="character" w:customStyle="1" w:styleId="Heading1Char">
    <w:name w:val="Heading 1 Char"/>
    <w:basedOn w:val="DefaultParagraphFont"/>
    <w:link w:val="Heading1"/>
    <w:uiPriority w:val="9"/>
    <w:rsid w:val="007C0A68"/>
    <w:rPr>
      <w:rFonts w:ascii="Times New Roman" w:eastAsiaTheme="maj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7C0A68"/>
    <w:rPr>
      <w:rFonts w:ascii="Times New Roman" w:eastAsiaTheme="majorEastAsia" w:hAnsi="Times New Roman" w:cs="Times New Roman"/>
      <w:b/>
      <w:color w:val="000000" w:themeColor="text1"/>
      <w:sz w:val="24"/>
      <w:szCs w:val="24"/>
    </w:rPr>
  </w:style>
  <w:style w:type="character" w:styleId="Hyperlink">
    <w:name w:val="Hyperlink"/>
    <w:basedOn w:val="DefaultParagraphFont"/>
    <w:uiPriority w:val="99"/>
    <w:unhideWhenUsed/>
    <w:rsid w:val="002D724F"/>
    <w:rPr>
      <w:color w:val="0563C1" w:themeColor="hyperlink"/>
      <w:u w:val="single"/>
    </w:rPr>
  </w:style>
  <w:style w:type="table" w:styleId="TableGrid">
    <w:name w:val="Table Grid"/>
    <w:basedOn w:val="TableNormal"/>
    <w:uiPriority w:val="39"/>
    <w:rsid w:val="00EC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web">
    <w:name w:val="citation web"/>
    <w:rsid w:val="007D0721"/>
    <w:rPr>
      <w:rFonts w:cs="Times New Roman"/>
    </w:rPr>
  </w:style>
  <w:style w:type="character" w:customStyle="1" w:styleId="reference-text">
    <w:name w:val="reference-text"/>
    <w:basedOn w:val="DefaultParagraphFont"/>
    <w:rsid w:val="007E3DF1"/>
  </w:style>
  <w:style w:type="paragraph" w:styleId="BalloonText">
    <w:name w:val="Balloon Text"/>
    <w:basedOn w:val="Normal"/>
    <w:link w:val="BalloonTextChar"/>
    <w:uiPriority w:val="99"/>
    <w:semiHidden/>
    <w:unhideWhenUsed/>
    <w:rsid w:val="00AD160C"/>
    <w:rPr>
      <w:rFonts w:ascii="Tahoma" w:hAnsi="Tahoma" w:cs="Tahoma"/>
      <w:sz w:val="16"/>
      <w:szCs w:val="16"/>
    </w:rPr>
  </w:style>
  <w:style w:type="character" w:customStyle="1" w:styleId="BalloonTextChar">
    <w:name w:val="Balloon Text Char"/>
    <w:basedOn w:val="DefaultParagraphFont"/>
    <w:link w:val="BalloonText"/>
    <w:uiPriority w:val="99"/>
    <w:semiHidden/>
    <w:rsid w:val="00AD160C"/>
    <w:rPr>
      <w:rFonts w:ascii="Tahoma" w:hAnsi="Tahoma" w:cs="Tahoma"/>
      <w:sz w:val="16"/>
      <w:szCs w:val="16"/>
    </w:rPr>
  </w:style>
  <w:style w:type="character" w:styleId="CommentReference">
    <w:name w:val="annotation reference"/>
    <w:basedOn w:val="DefaultParagraphFont"/>
    <w:uiPriority w:val="99"/>
    <w:semiHidden/>
    <w:unhideWhenUsed/>
    <w:rsid w:val="00AD160C"/>
    <w:rPr>
      <w:sz w:val="16"/>
      <w:szCs w:val="16"/>
    </w:rPr>
  </w:style>
  <w:style w:type="paragraph" w:styleId="CommentText">
    <w:name w:val="annotation text"/>
    <w:basedOn w:val="Normal"/>
    <w:link w:val="CommentTextChar"/>
    <w:uiPriority w:val="99"/>
    <w:semiHidden/>
    <w:unhideWhenUsed/>
    <w:rsid w:val="00AD160C"/>
    <w:rPr>
      <w:sz w:val="20"/>
      <w:szCs w:val="20"/>
    </w:rPr>
  </w:style>
  <w:style w:type="character" w:customStyle="1" w:styleId="CommentTextChar">
    <w:name w:val="Comment Text Char"/>
    <w:basedOn w:val="DefaultParagraphFont"/>
    <w:link w:val="CommentText"/>
    <w:uiPriority w:val="99"/>
    <w:semiHidden/>
    <w:rsid w:val="00AD16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160C"/>
    <w:rPr>
      <w:b/>
      <w:bCs/>
    </w:rPr>
  </w:style>
  <w:style w:type="character" w:customStyle="1" w:styleId="CommentSubjectChar">
    <w:name w:val="Comment Subject Char"/>
    <w:basedOn w:val="CommentTextChar"/>
    <w:link w:val="CommentSubject"/>
    <w:uiPriority w:val="99"/>
    <w:semiHidden/>
    <w:rsid w:val="00AD160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907F4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07F44"/>
    <w:rPr>
      <w:sz w:val="20"/>
      <w:szCs w:val="20"/>
    </w:rPr>
  </w:style>
  <w:style w:type="character" w:styleId="FootnoteReference">
    <w:name w:val="footnote reference"/>
    <w:basedOn w:val="DefaultParagraphFont"/>
    <w:uiPriority w:val="99"/>
    <w:semiHidden/>
    <w:unhideWhenUsed/>
    <w:rsid w:val="00907F44"/>
    <w:rPr>
      <w:vertAlign w:val="superscript"/>
    </w:rPr>
  </w:style>
  <w:style w:type="paragraph" w:styleId="ListParagraph">
    <w:name w:val="List Paragraph"/>
    <w:basedOn w:val="Normal"/>
    <w:uiPriority w:val="34"/>
    <w:qFormat/>
    <w:rsid w:val="00354095"/>
    <w:pPr>
      <w:ind w:left="720"/>
      <w:contextualSpacing/>
    </w:pPr>
  </w:style>
  <w:style w:type="paragraph" w:styleId="NormalWeb">
    <w:name w:val="Normal (Web)"/>
    <w:basedOn w:val="Normal"/>
    <w:uiPriority w:val="99"/>
    <w:semiHidden/>
    <w:unhideWhenUsed/>
    <w:rsid w:val="00354095"/>
    <w:pPr>
      <w:spacing w:before="100" w:beforeAutospacing="1" w:after="100" w:afterAutospacing="1"/>
    </w:pPr>
    <w:rPr>
      <w:rFonts w:eastAsia="Times New Roman"/>
      <w:lang w:val="en-CA" w:eastAsia="en-CA"/>
    </w:rPr>
  </w:style>
  <w:style w:type="character" w:styleId="Emphasis">
    <w:name w:val="Emphasis"/>
    <w:qFormat/>
    <w:rsid w:val="00F7361A"/>
    <w:rPr>
      <w:i/>
    </w:rPr>
  </w:style>
  <w:style w:type="paragraph" w:customStyle="1" w:styleId="ReferencesCharChar">
    <w:name w:val="References Char Char"/>
    <w:basedOn w:val="Normal"/>
    <w:link w:val="ReferencesCharCharChar"/>
    <w:rsid w:val="00F7361A"/>
    <w:pPr>
      <w:spacing w:line="480" w:lineRule="auto"/>
      <w:ind w:left="720" w:hanging="720"/>
    </w:pPr>
    <w:rPr>
      <w:rFonts w:eastAsia="Times New Roman"/>
    </w:rPr>
  </w:style>
  <w:style w:type="character" w:customStyle="1" w:styleId="ReferencesCharCharChar">
    <w:name w:val="References Char Char Char"/>
    <w:link w:val="ReferencesCharChar"/>
    <w:rsid w:val="00F7361A"/>
    <w:rPr>
      <w:rFonts w:ascii="Times New Roman" w:eastAsia="Times New Roman" w:hAnsi="Times New Roman" w:cs="Times New Roman"/>
      <w:sz w:val="24"/>
      <w:szCs w:val="24"/>
    </w:rPr>
  </w:style>
  <w:style w:type="character" w:customStyle="1" w:styleId="style1">
    <w:name w:val="style_1"/>
    <w:basedOn w:val="DefaultParagraphFont"/>
    <w:rsid w:val="00F7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063">
      <w:bodyDiv w:val="1"/>
      <w:marLeft w:val="0"/>
      <w:marRight w:val="0"/>
      <w:marTop w:val="0"/>
      <w:marBottom w:val="0"/>
      <w:divBdr>
        <w:top w:val="none" w:sz="0" w:space="0" w:color="auto"/>
        <w:left w:val="none" w:sz="0" w:space="0" w:color="auto"/>
        <w:bottom w:val="none" w:sz="0" w:space="0" w:color="auto"/>
        <w:right w:val="none" w:sz="0" w:space="0" w:color="auto"/>
      </w:divBdr>
    </w:div>
    <w:div w:id="618757072">
      <w:bodyDiv w:val="1"/>
      <w:marLeft w:val="0"/>
      <w:marRight w:val="0"/>
      <w:marTop w:val="0"/>
      <w:marBottom w:val="0"/>
      <w:divBdr>
        <w:top w:val="none" w:sz="0" w:space="0" w:color="auto"/>
        <w:left w:val="none" w:sz="0" w:space="0" w:color="auto"/>
        <w:bottom w:val="none" w:sz="0" w:space="0" w:color="auto"/>
        <w:right w:val="none" w:sz="0" w:space="0" w:color="auto"/>
      </w:divBdr>
    </w:div>
    <w:div w:id="64200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24397\Documents\Custom%20Office%20Templates\Word%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g24397\Documents\Documents\Research\Morality\Moral%20Dilemmas\Multinomial%20Model\Studies%20with%20New%20Dilemmas\Model%20Validation\Texte\Figure%20S1%20-%20Salience%20of%20Har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g24397\Documents\Documents\Research\Morality\Moral%20Dilemmas\Multinomial%20Model\Studies%20with%20New%20Dilemmas\Model%20Validation\Texte\Figure%20S2%20-%20Salience%20of%20Har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29187591708517"/>
          <c:y val="5.2787037983888369E-2"/>
          <c:w val="0.84320602641205289"/>
          <c:h val="0.84472327322721008"/>
        </c:manualLayout>
      </c:layout>
      <c:barChart>
        <c:barDir val="col"/>
        <c:grouping val="clustered"/>
        <c:varyColors val="0"/>
        <c:ser>
          <c:idx val="0"/>
          <c:order val="0"/>
          <c:tx>
            <c:strRef>
              <c:f>Morality!$A$3</c:f>
              <c:strCache>
                <c:ptCount val="1"/>
                <c:pt idx="0">
                  <c:v>Low Salience</c:v>
                </c:pt>
              </c:strCache>
            </c:strRef>
          </c:tx>
          <c:spPr>
            <a:solidFill>
              <a:srgbClr val="FFFFFF"/>
            </a:solidFill>
            <a:ln w="3175">
              <a:solidFill>
                <a:srgbClr val="000000"/>
              </a:solidFill>
              <a:prstDash val="solid"/>
            </a:ln>
          </c:spPr>
          <c:invertIfNegative val="0"/>
          <c:errBars>
            <c:errBarType val="both"/>
            <c:errValType val="cust"/>
            <c:noEndCap val="0"/>
            <c:plus>
              <c:numRef>
                <c:f>Morality!$B$8:$D$8</c:f>
                <c:numCache>
                  <c:formatCode>General</c:formatCode>
                  <c:ptCount val="3"/>
                  <c:pt idx="0">
                    <c:v>3.9349999999999996E-2</c:v>
                  </c:pt>
                  <c:pt idx="1">
                    <c:v>4.9869999999999998E-2</c:v>
                  </c:pt>
                  <c:pt idx="2">
                    <c:v>3.2710000000000017E-2</c:v>
                  </c:pt>
                </c:numCache>
              </c:numRef>
            </c:plus>
            <c:minus>
              <c:numRef>
                <c:f>Morality!$B$13:$D$13</c:f>
                <c:numCache>
                  <c:formatCode>General</c:formatCode>
                  <c:ptCount val="3"/>
                  <c:pt idx="0">
                    <c:v>3.9360000000000006E-2</c:v>
                  </c:pt>
                  <c:pt idx="1">
                    <c:v>4.9869999999999998E-2</c:v>
                  </c:pt>
                  <c:pt idx="2">
                    <c:v>3.2710000000000017E-2</c:v>
                  </c:pt>
                </c:numCache>
              </c:numRef>
            </c:minus>
            <c:spPr>
              <a:ln w="3175">
                <a:solidFill>
                  <a:srgbClr val="000000"/>
                </a:solidFill>
                <a:prstDash val="solid"/>
              </a:ln>
            </c:spPr>
          </c:errBars>
          <c:cat>
            <c:strRef>
              <c:f>Morality!$B$1:$D$2</c:f>
              <c:strCache>
                <c:ptCount val="3"/>
                <c:pt idx="0">
                  <c:v>C Parameter</c:v>
                </c:pt>
                <c:pt idx="1">
                  <c:v>N Parameter</c:v>
                </c:pt>
                <c:pt idx="2">
                  <c:v>I Parameter</c:v>
                </c:pt>
              </c:strCache>
            </c:strRef>
          </c:cat>
          <c:val>
            <c:numRef>
              <c:f>Morality!$B$3:$D$3</c:f>
              <c:numCache>
                <c:formatCode>0.00000</c:formatCode>
                <c:ptCount val="3"/>
                <c:pt idx="0">
                  <c:v>0.20362</c:v>
                </c:pt>
                <c:pt idx="1">
                  <c:v>0.24687000000000001</c:v>
                </c:pt>
                <c:pt idx="2">
                  <c:v>0.51698</c:v>
                </c:pt>
              </c:numCache>
            </c:numRef>
          </c:val>
          <c:extLst>
            <c:ext xmlns:c16="http://schemas.microsoft.com/office/drawing/2014/chart" uri="{C3380CC4-5D6E-409C-BE32-E72D297353CC}">
              <c16:uniqueId val="{00000000-06E7-44D4-9876-6542A6DC53A4}"/>
            </c:ext>
          </c:extLst>
        </c:ser>
        <c:ser>
          <c:idx val="1"/>
          <c:order val="1"/>
          <c:tx>
            <c:strRef>
              <c:f>Morality!$A$4</c:f>
              <c:strCache>
                <c:ptCount val="1"/>
                <c:pt idx="0">
                  <c:v>High Salience</c:v>
                </c:pt>
              </c:strCache>
            </c:strRef>
          </c:tx>
          <c:spPr>
            <a:solidFill>
              <a:srgbClr val="969696"/>
            </a:solidFill>
            <a:ln w="3175">
              <a:solidFill>
                <a:srgbClr val="000000"/>
              </a:solidFill>
              <a:prstDash val="solid"/>
            </a:ln>
          </c:spPr>
          <c:invertIfNegative val="0"/>
          <c:errBars>
            <c:errBarType val="both"/>
            <c:errValType val="cust"/>
            <c:noEndCap val="0"/>
            <c:plus>
              <c:numRef>
                <c:f>Morality!$B$9:$D$9</c:f>
                <c:numCache>
                  <c:formatCode>General</c:formatCode>
                  <c:ptCount val="3"/>
                  <c:pt idx="0">
                    <c:v>3.8510000000000016E-2</c:v>
                  </c:pt>
                  <c:pt idx="1">
                    <c:v>4.6609999999999985E-2</c:v>
                  </c:pt>
                  <c:pt idx="2">
                    <c:v>3.0880000000000019E-2</c:v>
                  </c:pt>
                </c:numCache>
              </c:numRef>
            </c:plus>
            <c:minus>
              <c:numRef>
                <c:f>Morality!$B$14:$D$14</c:f>
                <c:numCache>
                  <c:formatCode>General</c:formatCode>
                  <c:ptCount val="3"/>
                  <c:pt idx="0">
                    <c:v>3.8519999999999985E-2</c:v>
                  </c:pt>
                  <c:pt idx="1">
                    <c:v>4.6610000000000013E-2</c:v>
                  </c:pt>
                  <c:pt idx="2">
                    <c:v>3.0889999999999973E-2</c:v>
                  </c:pt>
                </c:numCache>
              </c:numRef>
            </c:minus>
            <c:spPr>
              <a:ln w="3175">
                <a:solidFill>
                  <a:srgbClr val="000000"/>
                </a:solidFill>
                <a:prstDash val="solid"/>
              </a:ln>
            </c:spPr>
          </c:errBars>
          <c:cat>
            <c:strRef>
              <c:f>Morality!$B$1:$D$2</c:f>
              <c:strCache>
                <c:ptCount val="3"/>
                <c:pt idx="0">
                  <c:v>C Parameter</c:v>
                </c:pt>
                <c:pt idx="1">
                  <c:v>N Parameter</c:v>
                </c:pt>
                <c:pt idx="2">
                  <c:v>I Parameter</c:v>
                </c:pt>
              </c:strCache>
            </c:strRef>
          </c:cat>
          <c:val>
            <c:numRef>
              <c:f>Morality!$B$4:$D$4</c:f>
              <c:numCache>
                <c:formatCode>0.00000</c:formatCode>
                <c:ptCount val="3"/>
                <c:pt idx="0" formatCode="General">
                  <c:v>0.16242999999999999</c:v>
                </c:pt>
                <c:pt idx="1">
                  <c:v>0.25762000000000002</c:v>
                </c:pt>
                <c:pt idx="2">
                  <c:v>0.48792999999999997</c:v>
                </c:pt>
              </c:numCache>
            </c:numRef>
          </c:val>
          <c:extLst>
            <c:ext xmlns:c16="http://schemas.microsoft.com/office/drawing/2014/chart" uri="{C3380CC4-5D6E-409C-BE32-E72D297353CC}">
              <c16:uniqueId val="{00000001-06E7-44D4-9876-6542A6DC53A4}"/>
            </c:ext>
          </c:extLst>
        </c:ser>
        <c:dLbls>
          <c:showLegendKey val="0"/>
          <c:showVal val="0"/>
          <c:showCatName val="0"/>
          <c:showSerName val="0"/>
          <c:showPercent val="0"/>
          <c:showBubbleSize val="0"/>
        </c:dLbls>
        <c:gapWidth val="150"/>
        <c:axId val="125775872"/>
        <c:axId val="125777792"/>
      </c:barChart>
      <c:catAx>
        <c:axId val="125775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25777792"/>
        <c:crossesAt val="0"/>
        <c:auto val="1"/>
        <c:lblAlgn val="ctr"/>
        <c:lblOffset val="100"/>
        <c:tickLblSkip val="1"/>
        <c:tickMarkSkip val="1"/>
        <c:noMultiLvlLbl val="0"/>
      </c:catAx>
      <c:valAx>
        <c:axId val="125777792"/>
        <c:scaling>
          <c:orientation val="minMax"/>
          <c:max val="1"/>
          <c:min val="0"/>
        </c:scaling>
        <c:delete val="0"/>
        <c:axPos val="l"/>
        <c:majorGridlines>
          <c:spPr>
            <a:ln w="3175">
              <a:solidFill>
                <a:srgbClr val="FFFFFF"/>
              </a:solidFill>
              <a:prstDash val="solid"/>
            </a:ln>
          </c:spPr>
        </c:majorGridlines>
        <c:title>
          <c:tx>
            <c:rich>
              <a:bodyPr/>
              <a:lstStyle/>
              <a:p>
                <a:pPr>
                  <a:defRPr/>
                </a:pPr>
                <a:r>
                  <a:rPr lang="en-US"/>
                  <a:t>Parameter Estimate</a:t>
                </a:r>
              </a:p>
            </c:rich>
          </c:tx>
          <c:layout>
            <c:manualLayout>
              <c:xMode val="edge"/>
              <c:yMode val="edge"/>
              <c:x val="9.6899993799987594E-3"/>
              <c:y val="0.30708479621865453"/>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125775872"/>
        <c:crosses val="autoZero"/>
        <c:crossBetween val="between"/>
        <c:majorUnit val="0.1"/>
        <c:minorUnit val="0.1"/>
      </c:valAx>
      <c:spPr>
        <a:noFill/>
        <a:ln w="25400">
          <a:noFill/>
        </a:ln>
      </c:spPr>
    </c:plotArea>
    <c:legend>
      <c:legendPos val="r"/>
      <c:layout>
        <c:manualLayout>
          <c:xMode val="edge"/>
          <c:yMode val="edge"/>
          <c:x val="0.65857027714055427"/>
          <c:y val="0.11086432377770961"/>
          <c:w val="0.29192903052472763"/>
          <c:h val="9.3147220233834399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29187591708517"/>
          <c:y val="5.2787037983888369E-2"/>
          <c:w val="0.84320602641205289"/>
          <c:h val="0.84472327322721008"/>
        </c:manualLayout>
      </c:layout>
      <c:barChart>
        <c:barDir val="col"/>
        <c:grouping val="clustered"/>
        <c:varyColors val="0"/>
        <c:ser>
          <c:idx val="0"/>
          <c:order val="0"/>
          <c:tx>
            <c:strRef>
              <c:f>'[Figure S2 - Salience of Harm.xls]Morality'!$A$3</c:f>
              <c:strCache>
                <c:ptCount val="1"/>
                <c:pt idx="0">
                  <c:v>Low Salience</c:v>
                </c:pt>
              </c:strCache>
            </c:strRef>
          </c:tx>
          <c:spPr>
            <a:solidFill>
              <a:srgbClr val="FFFFFF"/>
            </a:solidFill>
            <a:ln w="3175">
              <a:solidFill>
                <a:srgbClr val="000000"/>
              </a:solidFill>
              <a:prstDash val="solid"/>
            </a:ln>
          </c:spPr>
          <c:invertIfNegative val="0"/>
          <c:errBars>
            <c:errBarType val="both"/>
            <c:errValType val="cust"/>
            <c:noEndCap val="0"/>
            <c:plus>
              <c:numRef>
                <c:f>'[Figure S2 - Salience of Harm.xls]Morality'!$B$8:$D$8</c:f>
                <c:numCache>
                  <c:formatCode>General</c:formatCode>
                  <c:ptCount val="3"/>
                  <c:pt idx="0">
                    <c:v>3.7959999999999994E-2</c:v>
                  </c:pt>
                  <c:pt idx="1">
                    <c:v>4.9150000000000027E-2</c:v>
                  </c:pt>
                  <c:pt idx="2">
                    <c:v>4.0729999999999933E-2</c:v>
                  </c:pt>
                </c:numCache>
              </c:numRef>
            </c:plus>
            <c:minus>
              <c:numRef>
                <c:f>'[Figure S2 - Salience of Harm.xls]Morality'!$B$13:$D$13</c:f>
                <c:numCache>
                  <c:formatCode>General</c:formatCode>
                  <c:ptCount val="3"/>
                  <c:pt idx="0">
                    <c:v>3.7959999999999994E-2</c:v>
                  </c:pt>
                  <c:pt idx="1">
                    <c:v>4.9139999999999961E-2</c:v>
                  </c:pt>
                  <c:pt idx="2">
                    <c:v>4.0730000000000044E-2</c:v>
                  </c:pt>
                </c:numCache>
              </c:numRef>
            </c:minus>
            <c:spPr>
              <a:ln w="3175">
                <a:solidFill>
                  <a:srgbClr val="000000"/>
                </a:solidFill>
                <a:prstDash val="solid"/>
              </a:ln>
            </c:spPr>
          </c:errBars>
          <c:cat>
            <c:strRef>
              <c:f>'[Figure S2 - Salience of Harm.xls]Morality'!$B$1:$D$2</c:f>
              <c:strCache>
                <c:ptCount val="3"/>
                <c:pt idx="0">
                  <c:v>C Parameter</c:v>
                </c:pt>
                <c:pt idx="1">
                  <c:v>N Parameter</c:v>
                </c:pt>
                <c:pt idx="2">
                  <c:v>I Parameter</c:v>
                </c:pt>
              </c:strCache>
            </c:strRef>
          </c:cat>
          <c:val>
            <c:numRef>
              <c:f>'[Figure S2 - Salience of Harm.xls]Morality'!$B$3:$D$3</c:f>
              <c:numCache>
                <c:formatCode>0.00000</c:formatCode>
                <c:ptCount val="3"/>
                <c:pt idx="0">
                  <c:v>0.21387</c:v>
                </c:pt>
                <c:pt idx="1">
                  <c:v>0.41404999999999997</c:v>
                </c:pt>
                <c:pt idx="2">
                  <c:v>0.53895000000000004</c:v>
                </c:pt>
              </c:numCache>
            </c:numRef>
          </c:val>
          <c:extLst>
            <c:ext xmlns:c16="http://schemas.microsoft.com/office/drawing/2014/chart" uri="{C3380CC4-5D6E-409C-BE32-E72D297353CC}">
              <c16:uniqueId val="{00000000-A497-47D7-B62E-3944199C4D01}"/>
            </c:ext>
          </c:extLst>
        </c:ser>
        <c:ser>
          <c:idx val="1"/>
          <c:order val="1"/>
          <c:tx>
            <c:strRef>
              <c:f>'[Figure S2 - Salience of Harm.xls]Morality'!$A$4</c:f>
              <c:strCache>
                <c:ptCount val="1"/>
                <c:pt idx="0">
                  <c:v>High Salience</c:v>
                </c:pt>
              </c:strCache>
            </c:strRef>
          </c:tx>
          <c:spPr>
            <a:solidFill>
              <a:srgbClr val="969696"/>
            </a:solidFill>
            <a:ln w="3175">
              <a:solidFill>
                <a:srgbClr val="000000"/>
              </a:solidFill>
              <a:prstDash val="solid"/>
            </a:ln>
          </c:spPr>
          <c:invertIfNegative val="0"/>
          <c:errBars>
            <c:errBarType val="both"/>
            <c:errValType val="cust"/>
            <c:noEndCap val="0"/>
            <c:plus>
              <c:numRef>
                <c:f>'[Figure S2 - Salience of Harm.xls]Morality'!$B$9:$D$9</c:f>
                <c:numCache>
                  <c:formatCode>General</c:formatCode>
                  <c:ptCount val="3"/>
                  <c:pt idx="0">
                    <c:v>3.8989999999999997E-2</c:v>
                  </c:pt>
                  <c:pt idx="1">
                    <c:v>4.6929999999999972E-2</c:v>
                  </c:pt>
                  <c:pt idx="2">
                    <c:v>3.1810000000000005E-2</c:v>
                  </c:pt>
                </c:numCache>
              </c:numRef>
            </c:plus>
            <c:minus>
              <c:numRef>
                <c:f>'[Figure S2 - Salience of Harm.xls]Morality'!$B$14:$D$14</c:f>
                <c:numCache>
                  <c:formatCode>General</c:formatCode>
                  <c:ptCount val="3"/>
                  <c:pt idx="0">
                    <c:v>3.8989999999999997E-2</c:v>
                  </c:pt>
                  <c:pt idx="1">
                    <c:v>4.6930000000000027E-2</c:v>
                  </c:pt>
                  <c:pt idx="2">
                    <c:v>3.1799999999999939E-2</c:v>
                  </c:pt>
                </c:numCache>
              </c:numRef>
            </c:minus>
            <c:spPr>
              <a:ln w="3175">
                <a:solidFill>
                  <a:srgbClr val="000000"/>
                </a:solidFill>
                <a:prstDash val="solid"/>
              </a:ln>
            </c:spPr>
          </c:errBars>
          <c:cat>
            <c:strRef>
              <c:f>'[Figure S2 - Salience of Harm.xls]Morality'!$B$1:$D$2</c:f>
              <c:strCache>
                <c:ptCount val="3"/>
                <c:pt idx="0">
                  <c:v>C Parameter</c:v>
                </c:pt>
                <c:pt idx="1">
                  <c:v>N Parameter</c:v>
                </c:pt>
                <c:pt idx="2">
                  <c:v>I Parameter</c:v>
                </c:pt>
              </c:strCache>
            </c:strRef>
          </c:cat>
          <c:val>
            <c:numRef>
              <c:f>'[Figure S2 - Salience of Harm.xls]Morality'!$B$4:$D$4</c:f>
              <c:numCache>
                <c:formatCode>0.00000</c:formatCode>
                <c:ptCount val="3"/>
                <c:pt idx="0" formatCode="General">
                  <c:v>0.15562999999999999</c:v>
                </c:pt>
                <c:pt idx="1">
                  <c:v>0.27583000000000002</c:v>
                </c:pt>
                <c:pt idx="2">
                  <c:v>0.51298999999999995</c:v>
                </c:pt>
              </c:numCache>
            </c:numRef>
          </c:val>
          <c:extLst>
            <c:ext xmlns:c16="http://schemas.microsoft.com/office/drawing/2014/chart" uri="{C3380CC4-5D6E-409C-BE32-E72D297353CC}">
              <c16:uniqueId val="{00000001-A497-47D7-B62E-3944199C4D01}"/>
            </c:ext>
          </c:extLst>
        </c:ser>
        <c:dLbls>
          <c:showLegendKey val="0"/>
          <c:showVal val="0"/>
          <c:showCatName val="0"/>
          <c:showSerName val="0"/>
          <c:showPercent val="0"/>
          <c:showBubbleSize val="0"/>
        </c:dLbls>
        <c:gapWidth val="150"/>
        <c:axId val="125396864"/>
        <c:axId val="125398400"/>
      </c:barChart>
      <c:catAx>
        <c:axId val="125396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25398400"/>
        <c:crossesAt val="0"/>
        <c:auto val="1"/>
        <c:lblAlgn val="ctr"/>
        <c:lblOffset val="100"/>
        <c:tickLblSkip val="1"/>
        <c:tickMarkSkip val="1"/>
        <c:noMultiLvlLbl val="0"/>
      </c:catAx>
      <c:valAx>
        <c:axId val="125398400"/>
        <c:scaling>
          <c:orientation val="minMax"/>
          <c:max val="1"/>
          <c:min val="0"/>
        </c:scaling>
        <c:delete val="0"/>
        <c:axPos val="l"/>
        <c:majorGridlines>
          <c:spPr>
            <a:ln w="3175">
              <a:solidFill>
                <a:srgbClr val="FFFFFF"/>
              </a:solidFill>
              <a:prstDash val="solid"/>
            </a:ln>
          </c:spPr>
        </c:majorGridlines>
        <c:title>
          <c:tx>
            <c:rich>
              <a:bodyPr/>
              <a:lstStyle/>
              <a:p>
                <a:pPr>
                  <a:defRPr/>
                </a:pPr>
                <a:r>
                  <a:rPr lang="en-US"/>
                  <a:t>Parameter Estimate</a:t>
                </a:r>
              </a:p>
            </c:rich>
          </c:tx>
          <c:layout>
            <c:manualLayout>
              <c:xMode val="edge"/>
              <c:yMode val="edge"/>
              <c:x val="9.6899993799987594E-3"/>
              <c:y val="0.30708479621865453"/>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pPr>
            <a:endParaRPr lang="en-US"/>
          </a:p>
        </c:txPr>
        <c:crossAx val="125396864"/>
        <c:crosses val="autoZero"/>
        <c:crossBetween val="between"/>
        <c:majorUnit val="0.1"/>
        <c:minorUnit val="0.1"/>
      </c:valAx>
      <c:spPr>
        <a:noFill/>
        <a:ln w="25400">
          <a:noFill/>
        </a:ln>
      </c:spPr>
    </c:plotArea>
    <c:legend>
      <c:legendPos val="r"/>
      <c:layout>
        <c:manualLayout>
          <c:xMode val="edge"/>
          <c:yMode val="edge"/>
          <c:x val="0.65857027714055427"/>
          <c:y val="0.11086432377770961"/>
          <c:w val="0.29192903052472763"/>
          <c:h val="9.3147220233834399E-2"/>
        </c:manualLayout>
      </c:layout>
      <c:overlay val="0"/>
      <c:spPr>
        <a:solidFill>
          <a:srgbClr val="FFFFFF"/>
        </a:solidFill>
        <a:ln w="25400">
          <a:noFill/>
        </a:ln>
      </c:spPr>
    </c:legend>
    <c:plotVisOnly val="1"/>
    <c:dispBlanksAs val="gap"/>
    <c:showDLblsOverMax val="0"/>
  </c:chart>
  <c:spPr>
    <a:solidFill>
      <a:srgbClr val="FFFFFF"/>
    </a:solidFill>
    <a:ln w="9525">
      <a:noFill/>
    </a:ln>
  </c:spPr>
  <c:txPr>
    <a:bodyPr/>
    <a:lstStyle/>
    <a:p>
      <a:pPr>
        <a:defRPr sz="11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72E1-3F86-457F-B205-66057397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4</TotalTime>
  <Pages>10</Pages>
  <Words>1467</Words>
  <Characters>8362</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Gawronski, Bertram</dc:creator>
  <cp:lastModifiedBy>Gawronski, Bertram</cp:lastModifiedBy>
  <cp:revision>3</cp:revision>
  <cp:lastPrinted>2017-02-13T21:39:00Z</cp:lastPrinted>
  <dcterms:created xsi:type="dcterms:W3CDTF">2017-07-07T18:49:00Z</dcterms:created>
  <dcterms:modified xsi:type="dcterms:W3CDTF">2017-07-07T18:52:00Z</dcterms:modified>
</cp:coreProperties>
</file>