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F2" w:rsidRDefault="00FB72F4">
      <w:pPr>
        <w:pStyle w:val="heading2A"/>
        <w:pageBreakBefore/>
        <w:rPr>
          <w:rFonts w:ascii="Times New Roman Bold Italic" w:eastAsia="Times New Roman Bold Italic" w:hAnsi="Times New Roman Bold Italic" w:cs="Times New Roman Bold Italic"/>
        </w:rPr>
      </w:pPr>
      <w:bookmarkStart w:id="0" w:name="_GoBack"/>
      <w:bookmarkEnd w:id="0"/>
      <w:r>
        <w:rPr>
          <w:rFonts w:ascii="Times New Roman Bold Italic" w:eastAsia="Times New Roman Bold Italic" w:hAnsi="Times New Roman Bold Italic" w:cs="Times New Roman Bold Italic"/>
        </w:rPr>
        <w:t>Supplementary material</w:t>
      </w:r>
    </w:p>
    <w:p w:rsidR="008225F2" w:rsidRDefault="00FB72F4">
      <w:pPr>
        <w:pStyle w:val="BodyTextA"/>
        <w:rPr>
          <w:sz w:val="28"/>
          <w:szCs w:val="28"/>
        </w:rPr>
      </w:pPr>
      <w:r>
        <w:rPr>
          <w:sz w:val="28"/>
          <w:szCs w:val="28"/>
        </w:rPr>
        <w:t>Figure S1</w:t>
      </w:r>
    </w:p>
    <w:p w:rsidR="008225F2" w:rsidRDefault="00FB72F4">
      <w:pPr>
        <w:pStyle w:val="BodyTextA"/>
        <w:jc w:val="center"/>
        <w:rPr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>
            <wp:extent cx="5270500" cy="435927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 rotWithShape="1"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225F2" w:rsidRDefault="00FB72F4">
      <w:pPr>
        <w:pStyle w:val="BodyA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CAPTION</w:t>
      </w:r>
    </w:p>
    <w:p w:rsidR="008225F2" w:rsidRDefault="00FB72F4">
      <w:pPr>
        <w:pStyle w:val="BodyA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Neural activation at the time of framing demonstrates higher engagement for the competition frame relative to the cooperation frame in a widespread network of brain regions including </w:t>
      </w:r>
      <w:proofErr w:type="spellStart"/>
      <w:r>
        <w:rPr>
          <w:rFonts w:ascii="Times New Roman" w:eastAsia="Times New Roman" w:hAnsi="Times New Roman" w:cs="Times New Roman"/>
        </w:rPr>
        <w:t>precuneus</w:t>
      </w:r>
      <w:proofErr w:type="spellEnd"/>
      <w:r>
        <w:rPr>
          <w:rFonts w:ascii="Times New Roman" w:eastAsia="Times New Roman" w:hAnsi="Times New Roman" w:cs="Times New Roman"/>
        </w:rPr>
        <w:t xml:space="preserve"> (-2, -22, 48, T=6.0, p&lt;0.001 </w:t>
      </w:r>
      <w:proofErr w:type="spellStart"/>
      <w:r>
        <w:rPr>
          <w:rFonts w:ascii="Times New Roman" w:eastAsia="Times New Roman" w:hAnsi="Times New Roman" w:cs="Times New Roman"/>
        </w:rPr>
        <w:t>u.c</w:t>
      </w:r>
      <w:proofErr w:type="spellEnd"/>
      <w:r>
        <w:rPr>
          <w:rFonts w:ascii="Times New Roman" w:eastAsia="Times New Roman" w:hAnsi="Times New Roman" w:cs="Times New Roman"/>
        </w:rPr>
        <w:t>., 115 voxels), caudate nucleus (-8, 4, 6, T=5.7, p&lt;0.001, 39 voxels), cingulate cortex (e.g., 16, -14, 34, T= 6.5, p&lt;0.001, 41 voxels), and dorsal PFC (30, 18, 64, T= 4.5, p&lt;0.001, 7 voxels). Activation is displayed, for illustrative purposes, using an uncorrected statistical threshold of p&lt;0.001 with a cluster extent threshold of 5, heat bar denotes T-values.</w:t>
      </w:r>
    </w:p>
    <w:p w:rsidR="008225F2" w:rsidRDefault="00FB72F4">
      <w:pPr>
        <w:pStyle w:val="heading2A"/>
        <w:pageBreakBefore/>
        <w:rPr>
          <w:rFonts w:ascii="Times New Roman Bold Italic" w:eastAsia="Times New Roman Bold Italic" w:hAnsi="Times New Roman Bold Italic" w:cs="Times New Roman Bold Italic"/>
        </w:rPr>
      </w:pPr>
      <w:r>
        <w:rPr>
          <w:rFonts w:ascii="Times New Roman Bold Italic" w:eastAsia="Times New Roman Bold Italic" w:hAnsi="Times New Roman Bold Italic" w:cs="Times New Roman Bold Italic"/>
        </w:rPr>
        <w:lastRenderedPageBreak/>
        <w:t xml:space="preserve">Table T1 </w:t>
      </w:r>
    </w:p>
    <w:tbl>
      <w:tblPr>
        <w:tblW w:w="6952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32"/>
        <w:gridCol w:w="801"/>
        <w:gridCol w:w="160"/>
        <w:gridCol w:w="1059"/>
      </w:tblGrid>
      <w:tr w:rsidR="008225F2" w:rsidTr="0081707F">
        <w:trPr>
          <w:trHeight w:val="155"/>
        </w:trPr>
        <w:tc>
          <w:tcPr>
            <w:tcW w:w="493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proofErr w:type="spellStart"/>
            <w:r>
              <w:rPr>
                <w:rFonts w:ascii="Arial Bold" w:eastAsia="Arial Bold" w:hAnsi="Arial Bold" w:cs="Arial Bold"/>
                <w:b/>
                <w:bCs/>
                <w:kern w:val="0"/>
              </w:rPr>
              <w:t>Probit</w:t>
            </w:r>
            <w:proofErr w:type="spellEnd"/>
            <w:r>
              <w:rPr>
                <w:rFonts w:ascii="Arial Bold" w:eastAsia="Arial Bold" w:hAnsi="Arial Bold" w:cs="Arial Bold"/>
                <w:b/>
                <w:bCs/>
                <w:kern w:val="0"/>
              </w:rPr>
              <w:t xml:space="preserve"> model with random effects</w:t>
            </w:r>
          </w:p>
        </w:tc>
        <w:tc>
          <w:tcPr>
            <w:tcW w:w="961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 Bold" w:eastAsia="Arial Bold" w:hAnsi="Arial Bold" w:cs="Arial Bold"/>
                <w:b/>
                <w:bCs/>
                <w:kern w:val="0"/>
              </w:rPr>
              <w:t> </w:t>
            </w:r>
          </w:p>
        </w:tc>
        <w:tc>
          <w:tcPr>
            <w:tcW w:w="10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 Bold" w:eastAsia="Arial Bold" w:hAnsi="Arial Bold" w:cs="Arial Bold"/>
                <w:b/>
                <w:bCs/>
                <w:kern w:val="0"/>
              </w:rPr>
              <w:t> </w:t>
            </w:r>
          </w:p>
        </w:tc>
      </w:tr>
      <w:tr w:rsidR="008225F2" w:rsidTr="0081707F">
        <w:trPr>
          <w:trHeight w:val="105"/>
        </w:trPr>
        <w:tc>
          <w:tcPr>
            <w:tcW w:w="493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Study 1</w:t>
            </w:r>
          </w:p>
        </w:tc>
        <w:tc>
          <w:tcPr>
            <w:tcW w:w="10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Study 2</w:t>
            </w:r>
          </w:p>
        </w:tc>
      </w:tr>
      <w:tr w:rsidR="008225F2" w:rsidTr="0081707F">
        <w:trPr>
          <w:trHeight w:val="95"/>
        </w:trPr>
        <w:tc>
          <w:tcPr>
            <w:tcW w:w="4932" w:type="dxa"/>
            <w:tcBorders>
              <w:bottom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Dependent variable: Cooperation (=1) or Defection (=0)</w:t>
            </w:r>
          </w:p>
        </w:tc>
        <w:tc>
          <w:tcPr>
            <w:tcW w:w="961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bottom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8225F2" w:rsidTr="0081707F">
        <w:trPr>
          <w:trHeight w:val="95"/>
        </w:trPr>
        <w:tc>
          <w:tcPr>
            <w:tcW w:w="493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Frame (1: cooperation frame, 0: competition frame)</w:t>
            </w:r>
          </w:p>
        </w:tc>
        <w:tc>
          <w:tcPr>
            <w:tcW w:w="961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0.649***</w:t>
            </w:r>
          </w:p>
        </w:tc>
        <w:tc>
          <w:tcPr>
            <w:tcW w:w="10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1.121***</w:t>
            </w:r>
          </w:p>
        </w:tc>
      </w:tr>
      <w:tr w:rsidR="008225F2" w:rsidTr="0081707F">
        <w:trPr>
          <w:trHeight w:val="95"/>
        </w:trPr>
        <w:tc>
          <w:tcPr>
            <w:tcW w:w="493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(0.0906)</w:t>
            </w:r>
          </w:p>
        </w:tc>
        <w:tc>
          <w:tcPr>
            <w:tcW w:w="10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(0.0763)</w:t>
            </w:r>
          </w:p>
        </w:tc>
      </w:tr>
      <w:tr w:rsidR="008225F2" w:rsidTr="0081707F">
        <w:trPr>
          <w:trHeight w:val="300"/>
        </w:trPr>
        <w:tc>
          <w:tcPr>
            <w:tcW w:w="493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Constant</w:t>
            </w:r>
          </w:p>
        </w:tc>
        <w:tc>
          <w:tcPr>
            <w:tcW w:w="961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-0.546***</w:t>
            </w:r>
          </w:p>
        </w:tc>
        <w:tc>
          <w:tcPr>
            <w:tcW w:w="10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-0.778***</w:t>
            </w:r>
          </w:p>
        </w:tc>
      </w:tr>
      <w:tr w:rsidR="008225F2" w:rsidTr="0081707F">
        <w:trPr>
          <w:trHeight w:val="95"/>
        </w:trPr>
        <w:tc>
          <w:tcPr>
            <w:tcW w:w="4932" w:type="dxa"/>
            <w:tcBorders>
              <w:bottom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(0.143)</w:t>
            </w:r>
          </w:p>
        </w:tc>
        <w:tc>
          <w:tcPr>
            <w:tcW w:w="1059" w:type="dxa"/>
            <w:tcBorders>
              <w:bottom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(0.226)</w:t>
            </w:r>
          </w:p>
        </w:tc>
      </w:tr>
      <w:tr w:rsidR="008225F2" w:rsidTr="0081707F">
        <w:trPr>
          <w:trHeight w:val="105"/>
        </w:trPr>
        <w:tc>
          <w:tcPr>
            <w:tcW w:w="4932" w:type="dxa"/>
            <w:tcBorders>
              <w:top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877</w:t>
            </w:r>
          </w:p>
        </w:tc>
        <w:tc>
          <w:tcPr>
            <w:tcW w:w="1059" w:type="dxa"/>
            <w:tcBorders>
              <w:top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1,680</w:t>
            </w:r>
          </w:p>
        </w:tc>
      </w:tr>
      <w:tr w:rsidR="008225F2" w:rsidTr="0081707F">
        <w:trPr>
          <w:trHeight w:val="95"/>
        </w:trPr>
        <w:tc>
          <w:tcPr>
            <w:tcW w:w="493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Number of individuals</w:t>
            </w:r>
          </w:p>
        </w:tc>
        <w:tc>
          <w:tcPr>
            <w:tcW w:w="961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0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30</w:t>
            </w:r>
          </w:p>
        </w:tc>
      </w:tr>
      <w:tr w:rsidR="008225F2" w:rsidTr="0081707F">
        <w:trPr>
          <w:trHeight w:val="95"/>
        </w:trPr>
        <w:tc>
          <w:tcPr>
            <w:tcW w:w="493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Wald test chi2</w:t>
            </w:r>
          </w:p>
        </w:tc>
        <w:tc>
          <w:tcPr>
            <w:tcW w:w="961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51.35</w:t>
            </w:r>
          </w:p>
        </w:tc>
        <w:tc>
          <w:tcPr>
            <w:tcW w:w="10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216.0</w:t>
            </w:r>
          </w:p>
        </w:tc>
      </w:tr>
      <w:tr w:rsidR="008225F2" w:rsidTr="0081707F">
        <w:trPr>
          <w:trHeight w:val="95"/>
        </w:trPr>
        <w:tc>
          <w:tcPr>
            <w:tcW w:w="4932" w:type="dxa"/>
            <w:tcBorders>
              <w:bottom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Wald test probability</w:t>
            </w:r>
          </w:p>
        </w:tc>
        <w:tc>
          <w:tcPr>
            <w:tcW w:w="961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59" w:type="dxa"/>
            <w:tcBorders>
              <w:bottom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8225F2" w:rsidTr="0081707F">
        <w:trPr>
          <w:trHeight w:val="95"/>
        </w:trPr>
        <w:tc>
          <w:tcPr>
            <w:tcW w:w="493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Pr="0081707F" w:rsidRDefault="00FB72F4">
            <w:pPr>
              <w:suppressAutoHyphens w:val="0"/>
              <w:rPr>
                <w:sz w:val="18"/>
                <w:szCs w:val="18"/>
              </w:rPr>
            </w:pPr>
            <w:r w:rsidRPr="0081707F">
              <w:rPr>
                <w:rFonts w:ascii="Arial Italic" w:eastAsia="Arial Italic" w:hAnsi="Arial Italic" w:cs="Arial Italic"/>
                <w:i/>
                <w:iCs/>
                <w:sz w:val="18"/>
                <w:szCs w:val="18"/>
              </w:rPr>
              <w:t>Numbers denote coefficient</w:t>
            </w:r>
          </w:p>
        </w:tc>
        <w:tc>
          <w:tcPr>
            <w:tcW w:w="961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0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8225F2" w:rsidTr="0081707F">
        <w:trPr>
          <w:trHeight w:val="160"/>
        </w:trPr>
        <w:tc>
          <w:tcPr>
            <w:tcW w:w="493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Pr="0081707F" w:rsidRDefault="00FB72F4">
            <w:pPr>
              <w:suppressAutoHyphens w:val="0"/>
              <w:rPr>
                <w:sz w:val="18"/>
                <w:szCs w:val="18"/>
              </w:rPr>
            </w:pPr>
            <w:r w:rsidRPr="0081707F">
              <w:rPr>
                <w:rFonts w:ascii="Arial Italic" w:eastAsia="Arial Italic" w:hAnsi="Arial Italic" w:cs="Arial Italic"/>
                <w:i/>
                <w:iCs/>
                <w:kern w:val="0"/>
                <w:sz w:val="18"/>
                <w:szCs w:val="18"/>
              </w:rPr>
              <w:t>Standard errors in parentheses</w:t>
            </w:r>
          </w:p>
        </w:tc>
        <w:tc>
          <w:tcPr>
            <w:tcW w:w="961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8225F2"/>
        </w:tc>
        <w:tc>
          <w:tcPr>
            <w:tcW w:w="10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8225F2"/>
        </w:tc>
      </w:tr>
      <w:tr w:rsidR="008225F2" w:rsidTr="0081707F">
        <w:trPr>
          <w:trHeight w:val="95"/>
        </w:trPr>
        <w:tc>
          <w:tcPr>
            <w:tcW w:w="493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Pr="0081707F" w:rsidRDefault="00FB72F4">
            <w:pPr>
              <w:suppressAutoHyphens w:val="0"/>
              <w:rPr>
                <w:sz w:val="18"/>
                <w:szCs w:val="18"/>
              </w:rPr>
            </w:pPr>
            <w:r w:rsidRPr="0081707F">
              <w:rPr>
                <w:rFonts w:ascii="Arial Italic" w:eastAsia="Arial Italic" w:hAnsi="Arial Italic" w:cs="Arial Italic"/>
                <w:i/>
                <w:iCs/>
                <w:kern w:val="0"/>
                <w:sz w:val="18"/>
                <w:szCs w:val="18"/>
              </w:rPr>
              <w:t>*** p&lt;0.01, ** p&lt;0.05, * p&lt;0.1</w:t>
            </w:r>
          </w:p>
        </w:tc>
        <w:tc>
          <w:tcPr>
            <w:tcW w:w="961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0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8225F2" w:rsidTr="0081707F">
        <w:trPr>
          <w:trHeight w:val="960"/>
        </w:trPr>
        <w:tc>
          <w:tcPr>
            <w:tcW w:w="493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8225F2">
            <w:pPr>
              <w:suppressAutoHyphens w:val="0"/>
              <w:rPr>
                <w:rFonts w:ascii="Arial Italic" w:eastAsia="Arial Italic" w:hAnsi="Arial Italic" w:cs="Arial Italic"/>
                <w:i/>
                <w:iCs/>
                <w:kern w:val="0"/>
                <w:sz w:val="20"/>
                <w:szCs w:val="20"/>
              </w:rPr>
            </w:pPr>
          </w:p>
          <w:p w:rsidR="008225F2" w:rsidRDefault="008225F2">
            <w:pPr>
              <w:suppressAutoHyphens w:val="0"/>
              <w:rPr>
                <w:rFonts w:ascii="Arial Italic" w:eastAsia="Arial Italic" w:hAnsi="Arial Italic" w:cs="Arial Italic"/>
                <w:i/>
                <w:iCs/>
                <w:kern w:val="0"/>
                <w:sz w:val="20"/>
                <w:szCs w:val="20"/>
              </w:rPr>
            </w:pPr>
          </w:p>
          <w:p w:rsidR="008225F2" w:rsidRDefault="008225F2">
            <w:pPr>
              <w:suppressAutoHyphens w:val="0"/>
              <w:rPr>
                <w:rFonts w:ascii="Arial Italic" w:eastAsia="Arial Italic" w:hAnsi="Arial Italic" w:cs="Arial Italic"/>
                <w:i/>
                <w:iCs/>
                <w:kern w:val="0"/>
                <w:sz w:val="20"/>
                <w:szCs w:val="20"/>
              </w:rPr>
            </w:pPr>
          </w:p>
          <w:p w:rsidR="008225F2" w:rsidRDefault="008225F2">
            <w:pPr>
              <w:suppressAutoHyphens w:val="0"/>
            </w:pPr>
          </w:p>
        </w:tc>
        <w:tc>
          <w:tcPr>
            <w:tcW w:w="961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8225F2"/>
        </w:tc>
        <w:tc>
          <w:tcPr>
            <w:tcW w:w="10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8225F2"/>
        </w:tc>
      </w:tr>
      <w:tr w:rsidR="008225F2" w:rsidTr="0081707F">
        <w:trPr>
          <w:trHeight w:val="155"/>
        </w:trPr>
        <w:tc>
          <w:tcPr>
            <w:tcW w:w="5733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proofErr w:type="spellStart"/>
            <w:r>
              <w:rPr>
                <w:rFonts w:ascii="Arial Bold" w:eastAsia="Arial Bold" w:hAnsi="Arial Bold" w:cs="Arial Bold"/>
                <w:b/>
                <w:bCs/>
                <w:kern w:val="0"/>
              </w:rPr>
              <w:t>Probit</w:t>
            </w:r>
            <w:proofErr w:type="spellEnd"/>
            <w:r>
              <w:rPr>
                <w:rFonts w:ascii="Arial Bold" w:eastAsia="Arial Bold" w:hAnsi="Arial Bold" w:cs="Arial Bold"/>
                <w:b/>
                <w:bCs/>
                <w:kern w:val="0"/>
              </w:rPr>
              <w:t xml:space="preserve"> model with random effects</w:t>
            </w:r>
          </w:p>
        </w:tc>
        <w:tc>
          <w:tcPr>
            <w:tcW w:w="1219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 Bold" w:eastAsia="Arial Bold" w:hAnsi="Arial Bold" w:cs="Arial Bold"/>
                <w:b/>
                <w:bCs/>
                <w:kern w:val="0"/>
              </w:rPr>
              <w:t> </w:t>
            </w:r>
          </w:p>
        </w:tc>
      </w:tr>
      <w:tr w:rsidR="008225F2" w:rsidTr="0081707F">
        <w:trPr>
          <w:trHeight w:val="105"/>
        </w:trPr>
        <w:tc>
          <w:tcPr>
            <w:tcW w:w="5733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Study 1</w:t>
            </w:r>
          </w:p>
        </w:tc>
      </w:tr>
      <w:tr w:rsidR="008225F2" w:rsidTr="0081707F">
        <w:trPr>
          <w:trHeight w:val="95"/>
        </w:trPr>
        <w:tc>
          <w:tcPr>
            <w:tcW w:w="5733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Dependent variable: Belief (Cooperation=1 or Defection=0)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8225F2" w:rsidTr="0081707F">
        <w:trPr>
          <w:trHeight w:val="95"/>
        </w:trPr>
        <w:tc>
          <w:tcPr>
            <w:tcW w:w="5733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Frame (1: cooperation frame, 0: competition frame)</w:t>
            </w:r>
          </w:p>
        </w:tc>
        <w:tc>
          <w:tcPr>
            <w:tcW w:w="1219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0.401***</w:t>
            </w:r>
          </w:p>
        </w:tc>
      </w:tr>
      <w:tr w:rsidR="008225F2" w:rsidTr="0081707F">
        <w:trPr>
          <w:trHeight w:val="95"/>
        </w:trPr>
        <w:tc>
          <w:tcPr>
            <w:tcW w:w="5733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(0.0632)</w:t>
            </w:r>
          </w:p>
        </w:tc>
      </w:tr>
      <w:tr w:rsidR="008225F2" w:rsidTr="0081707F">
        <w:trPr>
          <w:trHeight w:val="95"/>
        </w:trPr>
        <w:tc>
          <w:tcPr>
            <w:tcW w:w="5733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219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-0.0124</w:t>
            </w:r>
          </w:p>
        </w:tc>
      </w:tr>
      <w:tr w:rsidR="008225F2" w:rsidTr="0081707F">
        <w:trPr>
          <w:trHeight w:val="95"/>
        </w:trPr>
        <w:tc>
          <w:tcPr>
            <w:tcW w:w="5733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(0.0750)</w:t>
            </w:r>
          </w:p>
        </w:tc>
      </w:tr>
      <w:tr w:rsidR="008225F2" w:rsidTr="0081707F">
        <w:trPr>
          <w:trHeight w:val="105"/>
        </w:trPr>
        <w:tc>
          <w:tcPr>
            <w:tcW w:w="5733" w:type="dxa"/>
            <w:gridSpan w:val="2"/>
            <w:tcBorders>
              <w:top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1,680</w:t>
            </w:r>
          </w:p>
        </w:tc>
      </w:tr>
      <w:tr w:rsidR="008225F2" w:rsidTr="0081707F">
        <w:trPr>
          <w:trHeight w:val="95"/>
        </w:trPr>
        <w:tc>
          <w:tcPr>
            <w:tcW w:w="5733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Individuals</w:t>
            </w:r>
          </w:p>
        </w:tc>
        <w:tc>
          <w:tcPr>
            <w:tcW w:w="1219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30</w:t>
            </w:r>
          </w:p>
        </w:tc>
      </w:tr>
      <w:tr w:rsidR="008225F2" w:rsidTr="0081707F">
        <w:trPr>
          <w:trHeight w:val="95"/>
        </w:trPr>
        <w:tc>
          <w:tcPr>
            <w:tcW w:w="5733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Wald test chi2</w:t>
            </w:r>
          </w:p>
        </w:tc>
        <w:tc>
          <w:tcPr>
            <w:tcW w:w="1219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40.13</w:t>
            </w:r>
          </w:p>
        </w:tc>
      </w:tr>
      <w:tr w:rsidR="008225F2" w:rsidTr="0081707F">
        <w:trPr>
          <w:trHeight w:val="95"/>
        </w:trPr>
        <w:tc>
          <w:tcPr>
            <w:tcW w:w="5733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Wald test probability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81707F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8225F2" w:rsidTr="0081707F">
        <w:trPr>
          <w:trHeight w:val="95"/>
        </w:trPr>
        <w:tc>
          <w:tcPr>
            <w:tcW w:w="493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Pr="0081707F" w:rsidRDefault="00FB72F4">
            <w:pPr>
              <w:suppressAutoHyphens w:val="0"/>
              <w:rPr>
                <w:sz w:val="18"/>
                <w:szCs w:val="18"/>
              </w:rPr>
            </w:pPr>
            <w:r w:rsidRPr="0081707F">
              <w:rPr>
                <w:rFonts w:ascii="Arial Italic" w:eastAsia="Arial Italic" w:hAnsi="Arial Italic" w:cs="Arial Italic"/>
                <w:i/>
                <w:iCs/>
                <w:sz w:val="18"/>
                <w:szCs w:val="18"/>
              </w:rPr>
              <w:t>Numbers denote coefficient</w:t>
            </w:r>
          </w:p>
        </w:tc>
        <w:tc>
          <w:tcPr>
            <w:tcW w:w="8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5F2" w:rsidRDefault="008225F2"/>
        </w:tc>
        <w:tc>
          <w:tcPr>
            <w:tcW w:w="1219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8225F2" w:rsidTr="0081707F">
        <w:trPr>
          <w:trHeight w:val="95"/>
        </w:trPr>
        <w:tc>
          <w:tcPr>
            <w:tcW w:w="493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Pr="0081707F" w:rsidRDefault="00FB72F4">
            <w:pPr>
              <w:suppressAutoHyphens w:val="0"/>
              <w:rPr>
                <w:sz w:val="18"/>
                <w:szCs w:val="18"/>
              </w:rPr>
            </w:pPr>
            <w:r w:rsidRPr="0081707F">
              <w:rPr>
                <w:rFonts w:ascii="Arial Italic" w:eastAsia="Arial Italic" w:hAnsi="Arial Italic" w:cs="Arial Italic"/>
                <w:i/>
                <w:iCs/>
                <w:kern w:val="0"/>
                <w:sz w:val="18"/>
                <w:szCs w:val="18"/>
              </w:rPr>
              <w:t>Standard errors in parentheses</w:t>
            </w:r>
          </w:p>
        </w:tc>
        <w:tc>
          <w:tcPr>
            <w:tcW w:w="8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5F2" w:rsidRDefault="008225F2"/>
        </w:tc>
        <w:tc>
          <w:tcPr>
            <w:tcW w:w="1219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FB72F4">
            <w:pPr>
              <w:suppressAutoHyphens w:val="0"/>
            </w:pPr>
            <w:r>
              <w:rPr>
                <w:rFonts w:ascii="Arial" w:eastAsia="Arial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8225F2" w:rsidTr="0081707F">
        <w:trPr>
          <w:trHeight w:val="160"/>
        </w:trPr>
        <w:tc>
          <w:tcPr>
            <w:tcW w:w="493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Pr="0081707F" w:rsidRDefault="00FB72F4">
            <w:pPr>
              <w:suppressAutoHyphens w:val="0"/>
              <w:rPr>
                <w:sz w:val="18"/>
                <w:szCs w:val="18"/>
              </w:rPr>
            </w:pPr>
            <w:r w:rsidRPr="0081707F">
              <w:rPr>
                <w:rFonts w:ascii="Arial Italic" w:eastAsia="Arial Italic" w:hAnsi="Arial Italic" w:cs="Arial Italic"/>
                <w:i/>
                <w:iCs/>
                <w:kern w:val="0"/>
                <w:sz w:val="18"/>
                <w:szCs w:val="18"/>
              </w:rPr>
              <w:t>*** p&lt;0.01, ** p&lt;0.05, * p&lt;0.1</w:t>
            </w:r>
          </w:p>
        </w:tc>
        <w:tc>
          <w:tcPr>
            <w:tcW w:w="8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5F2" w:rsidRDefault="008225F2"/>
        </w:tc>
        <w:tc>
          <w:tcPr>
            <w:tcW w:w="1219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5F2" w:rsidRDefault="008225F2"/>
        </w:tc>
      </w:tr>
    </w:tbl>
    <w:p w:rsidR="008225F2" w:rsidRDefault="008225F2">
      <w:pPr>
        <w:pStyle w:val="FreeForm"/>
        <w:ind w:left="108"/>
        <w:rPr>
          <w:kern w:val="1"/>
          <w:sz w:val="28"/>
          <w:szCs w:val="28"/>
          <w:lang w:val="en-US"/>
        </w:rPr>
      </w:pPr>
    </w:p>
    <w:p w:rsidR="008225F2" w:rsidRDefault="008225F2">
      <w:pPr>
        <w:pStyle w:val="FreeFormB"/>
        <w:ind w:left="108"/>
        <w:rPr>
          <w:kern w:val="1"/>
          <w:sz w:val="28"/>
          <w:szCs w:val="28"/>
          <w:lang w:val="en-US"/>
        </w:rPr>
      </w:pPr>
    </w:p>
    <w:p w:rsidR="008225F2" w:rsidRDefault="008225F2">
      <w:pPr>
        <w:pStyle w:val="FreeFormBA"/>
        <w:ind w:left="108"/>
        <w:rPr>
          <w:kern w:val="1"/>
          <w:sz w:val="28"/>
          <w:szCs w:val="28"/>
          <w:lang w:val="en-US"/>
        </w:rPr>
      </w:pPr>
    </w:p>
    <w:p w:rsidR="008225F2" w:rsidRDefault="00FB72F4">
      <w:pPr>
        <w:pStyle w:val="heading2A"/>
        <w:pageBreakBefore/>
        <w:rPr>
          <w:rFonts w:ascii="Times New Roman Bold Italic" w:eastAsia="Times New Roman Bold Italic" w:hAnsi="Times New Roman Bold Italic" w:cs="Times New Roman Bold Italic"/>
        </w:rPr>
      </w:pPr>
      <w:r>
        <w:rPr>
          <w:rFonts w:ascii="Times New Roman Bold Italic" w:eastAsia="Times New Roman Bold Italic" w:hAnsi="Times New Roman Bold Italic" w:cs="Times New Roman Bold Italic"/>
        </w:rPr>
        <w:lastRenderedPageBreak/>
        <w:t xml:space="preserve">Table T2 </w:t>
      </w:r>
      <w:proofErr w:type="gramStart"/>
      <w:r>
        <w:rPr>
          <w:rFonts w:ascii="Times New Roman Bold Italic" w:eastAsia="Times New Roman Bold Italic" w:hAnsi="Times New Roman Bold Italic" w:cs="Times New Roman Bold Italic"/>
        </w:rPr>
        <w:t xml:space="preserve">– </w:t>
      </w:r>
      <w:r>
        <w:t xml:space="preserve"> </w:t>
      </w:r>
      <w:r>
        <w:rPr>
          <w:rFonts w:ascii="Times New Roman Bold Italic" w:eastAsia="Times New Roman Bold Italic" w:hAnsi="Times New Roman Bold Italic" w:cs="Times New Roman Bold Italic"/>
        </w:rPr>
        <w:t>Neural</w:t>
      </w:r>
      <w:proofErr w:type="gramEnd"/>
      <w:r>
        <w:rPr>
          <w:rFonts w:ascii="Times New Roman Bold Italic" w:eastAsia="Times New Roman Bold Italic" w:hAnsi="Times New Roman Bold Italic" w:cs="Times New Roman Bold Italic"/>
        </w:rPr>
        <w:t xml:space="preserve"> activation larger for competition frame than cooperation frame during framing phase</w:t>
      </w:r>
    </w:p>
    <w:tbl>
      <w:tblPr>
        <w:tblW w:w="9503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583"/>
        <w:gridCol w:w="1583"/>
        <w:gridCol w:w="1585"/>
        <w:gridCol w:w="1584"/>
        <w:gridCol w:w="1583"/>
        <w:gridCol w:w="1585"/>
      </w:tblGrid>
      <w:tr w:rsidR="008225F2">
        <w:trPr>
          <w:trHeight w:val="740"/>
          <w:tblHeader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Heading2AA"/>
              <w:jc w:val="center"/>
            </w:pPr>
            <w:r>
              <w:rPr>
                <w:rFonts w:ascii="Times New Roman Bold" w:eastAsia="Times New Roman Bold" w:hAnsi="Times New Roman Bold" w:cs="Times New Roman Bold"/>
              </w:rPr>
              <w:t>Brain region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Heading2AA"/>
              <w:jc w:val="center"/>
            </w:pPr>
            <w:r>
              <w:rPr>
                <w:rFonts w:ascii="Times New Roman Bold" w:eastAsia="Times New Roman Bold" w:hAnsi="Times New Roman Bold" w:cs="Times New Roman Bold"/>
              </w:rPr>
              <w:t>Hemisphere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Heading2AA"/>
              <w:jc w:val="center"/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 w:eastAsia="Times New Roman Bold" w:hAnsi="Times New Roman Bold" w:cs="Times New Roman Bold"/>
              </w:rPr>
              <w:t>Peak coordinates</w:t>
            </w:r>
          </w:p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x,y,z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B"/>
              <w:keepNext/>
              <w:suppressAutoHyphens/>
              <w:spacing w:line="100" w:lineRule="atLeast"/>
              <w:jc w:val="center"/>
            </w:pPr>
            <w:r>
              <w:rPr>
                <w:rFonts w:ascii="Times New Roman Bold" w:eastAsia="Times New Roman Bold" w:hAnsi="Times New Roman Bold" w:cs="Times New Roman Bold"/>
                <w:b/>
                <w:bCs/>
                <w:kern w:val="1"/>
              </w:rPr>
              <w:t>Number of activated voxels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Heading2AA"/>
              <w:jc w:val="center"/>
            </w:pPr>
            <w:r>
              <w:rPr>
                <w:rFonts w:ascii="Times New Roman Bold" w:eastAsia="Times New Roman Bold" w:hAnsi="Times New Roman Bold" w:cs="Times New Roman Bold"/>
              </w:rPr>
              <w:t>Z-value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Heading2AA"/>
              <w:jc w:val="center"/>
            </w:pPr>
            <w:r>
              <w:rPr>
                <w:rFonts w:ascii="Times New Roman Bold" w:eastAsia="Times New Roman Bold" w:hAnsi="Times New Roman Bold" w:cs="Times New Roman Bold"/>
              </w:rPr>
              <w:t>p-value</w:t>
            </w:r>
          </w:p>
        </w:tc>
      </w:tr>
      <w:tr w:rsidR="008225F2">
        <w:tblPrEx>
          <w:shd w:val="clear" w:color="auto" w:fill="auto"/>
        </w:tblPrEx>
        <w:trPr>
          <w:trHeight w:val="70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</w:pPr>
            <w:r>
              <w:rPr>
                <w:rFonts w:ascii="Times New Roman" w:eastAsia="Times New Roman" w:hAnsi="Times New Roman" w:cs="Times New Roman"/>
              </w:rPr>
              <w:t>Cingulate Cortex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Right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16, -14, 34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4.08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68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Right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12, 6, 32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3.34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68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Left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-6, 8, 36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3.32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68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</w:tr>
      <w:tr w:rsidR="008225F2">
        <w:tblPrEx>
          <w:shd w:val="clear" w:color="auto" w:fill="auto"/>
        </w:tblPrEx>
        <w:trPr>
          <w:trHeight w:val="68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Precuneus</w:t>
            </w:r>
            <w:proofErr w:type="spellEnd"/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Right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-2, -22, 48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3.92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68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</w:tr>
      <w:tr w:rsidR="008225F2">
        <w:tblPrEx>
          <w:shd w:val="clear" w:color="auto" w:fill="auto"/>
        </w:tblPrEx>
        <w:trPr>
          <w:trHeight w:val="68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</w:pPr>
            <w:r>
              <w:rPr>
                <w:rFonts w:ascii="Times New Roman" w:eastAsia="Times New Roman" w:hAnsi="Times New Roman" w:cs="Times New Roman"/>
              </w:rPr>
              <w:t>Cuneus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Right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-22, -68, 16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3.53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68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</w:tr>
      <w:tr w:rsidR="008225F2">
        <w:tblPrEx>
          <w:shd w:val="clear" w:color="auto" w:fill="auto"/>
        </w:tblPrEx>
        <w:trPr>
          <w:trHeight w:val="740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</w:pPr>
            <w:r>
              <w:rPr>
                <w:rFonts w:ascii="Times New Roman" w:eastAsia="Times New Roman" w:hAnsi="Times New Roman" w:cs="Times New Roman"/>
              </w:rPr>
              <w:t>Anterior intraparietal sulcus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Right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-38, -30, 32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4.32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740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Left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34, -54, 30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3.73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87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</w:tr>
      <w:tr w:rsidR="008225F2">
        <w:tblPrEx>
          <w:shd w:val="clear" w:color="auto" w:fill="auto"/>
        </w:tblPrEx>
        <w:trPr>
          <w:trHeight w:val="87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</w:pPr>
            <w:r>
              <w:rPr>
                <w:rFonts w:ascii="Times New Roman" w:eastAsia="Times New Roman" w:hAnsi="Times New Roman" w:cs="Times New Roman"/>
              </w:rPr>
              <w:t>Primary motor cortex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Right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-8, -26, 54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3.79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87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</w:tr>
      <w:tr w:rsidR="008225F2">
        <w:tblPrEx>
          <w:shd w:val="clear" w:color="auto" w:fill="auto"/>
        </w:tblPrEx>
        <w:trPr>
          <w:trHeight w:val="85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</w:pPr>
            <w:r>
              <w:rPr>
                <w:rFonts w:ascii="Times New Roman" w:eastAsia="Times New Roman" w:hAnsi="Times New Roman" w:cs="Times New Roman"/>
              </w:rPr>
              <w:t>Lateral PFC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Right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-60, 4, 32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3.76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85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</w:tr>
      <w:tr w:rsidR="008225F2">
        <w:tblPrEx>
          <w:shd w:val="clear" w:color="auto" w:fill="auto"/>
        </w:tblPrEx>
        <w:trPr>
          <w:trHeight w:val="85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</w:pPr>
            <w:r>
              <w:rPr>
                <w:rFonts w:ascii="Times New Roman" w:eastAsia="Times New Roman" w:hAnsi="Times New Roman" w:cs="Times New Roman"/>
              </w:rPr>
              <w:t>Medial PFC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Left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14, 44, 54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3.58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85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</w:tr>
      <w:tr w:rsidR="008225F2">
        <w:tblPrEx>
          <w:shd w:val="clear" w:color="auto" w:fill="auto"/>
        </w:tblPrEx>
        <w:trPr>
          <w:trHeight w:val="85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</w:pPr>
            <w:r>
              <w:rPr>
                <w:rFonts w:ascii="Times New Roman" w:eastAsia="Times New Roman" w:hAnsi="Times New Roman" w:cs="Times New Roman"/>
              </w:rPr>
              <w:t>Dorsolateral PFC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Right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-36, 14, 60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3.36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85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Left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30, 18, 64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3.31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85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</w:tr>
      <w:tr w:rsidR="008225F2">
        <w:tblPrEx>
          <w:shd w:val="clear" w:color="auto" w:fill="auto"/>
        </w:tblPrEx>
        <w:trPr>
          <w:trHeight w:val="85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</w:pPr>
            <w:r>
              <w:rPr>
                <w:rFonts w:ascii="Times New Roman" w:eastAsia="Times New Roman" w:hAnsi="Times New Roman" w:cs="Times New Roman"/>
              </w:rPr>
              <w:t>Temporal cortex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Right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-34, -86, -18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4.03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85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Left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52, -62, 20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3.41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85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</w:tr>
      <w:tr w:rsidR="008225F2">
        <w:tblPrEx>
          <w:shd w:val="clear" w:color="auto" w:fill="auto"/>
        </w:tblPrEx>
        <w:trPr>
          <w:trHeight w:val="85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</w:pPr>
            <w:r>
              <w:rPr>
                <w:rFonts w:ascii="Times New Roman" w:eastAsia="Times New Roman" w:hAnsi="Times New Roman" w:cs="Times New Roman"/>
              </w:rPr>
              <w:t>Caudate nucleus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Right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-8, 4, 6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85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Right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-16, -4, 16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3.32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85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</w:tr>
      <w:tr w:rsidR="008225F2">
        <w:tblPrEx>
          <w:shd w:val="clear" w:color="auto" w:fill="auto"/>
        </w:tblPrEx>
        <w:trPr>
          <w:trHeight w:val="85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</w:pPr>
            <w:r>
              <w:rPr>
                <w:rFonts w:ascii="Times New Roman" w:eastAsia="Times New Roman" w:hAnsi="Times New Roman" w:cs="Times New Roman"/>
              </w:rPr>
              <w:t>Thalamus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Left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16 -20 10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3.51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853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</w:tr>
      <w:tr w:rsidR="008225F2">
        <w:tblPrEx>
          <w:shd w:val="clear" w:color="auto" w:fill="auto"/>
        </w:tblPrEx>
        <w:trPr>
          <w:trHeight w:val="70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</w:pPr>
            <w:r>
              <w:rPr>
                <w:rFonts w:ascii="Times New Roman" w:eastAsia="Times New Roman" w:hAnsi="Times New Roman" w:cs="Times New Roman"/>
              </w:rPr>
              <w:t>Left lateral occipital cortex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Right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-50, -76, 14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3.83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70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Right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-36, -78, 42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3.36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225F2">
        <w:tblPrEx>
          <w:shd w:val="clear" w:color="auto" w:fill="auto"/>
        </w:tblPrEx>
        <w:trPr>
          <w:trHeight w:val="68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8225F2"/>
        </w:tc>
      </w:tr>
      <w:tr w:rsidR="008225F2">
        <w:tblPrEx>
          <w:shd w:val="clear" w:color="auto" w:fill="auto"/>
        </w:tblPrEx>
        <w:trPr>
          <w:trHeight w:val="688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</w:pPr>
            <w:r>
              <w:rPr>
                <w:rFonts w:ascii="Times New Roman" w:eastAsia="Times New Roman" w:hAnsi="Times New Roman" w:cs="Times New Roman"/>
              </w:rPr>
              <w:t>Cerebellum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Right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-28 -84 -36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>3.79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5F2" w:rsidRDefault="00FB72F4">
            <w:pPr>
              <w:pStyle w:val="BodyA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&lt;0.001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u.c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8225F2" w:rsidRDefault="008225F2">
      <w:pPr>
        <w:pStyle w:val="FreeForm"/>
        <w:ind w:left="108"/>
        <w:rPr>
          <w:kern w:val="1"/>
          <w:sz w:val="28"/>
          <w:szCs w:val="28"/>
          <w:lang w:val="en-US"/>
        </w:rPr>
      </w:pPr>
    </w:p>
    <w:p w:rsidR="008225F2" w:rsidRDefault="008225F2">
      <w:pPr>
        <w:pStyle w:val="FreeFormB"/>
        <w:ind w:left="108"/>
        <w:rPr>
          <w:kern w:val="1"/>
          <w:sz w:val="28"/>
          <w:szCs w:val="28"/>
          <w:lang w:val="en-US"/>
        </w:rPr>
      </w:pPr>
    </w:p>
    <w:p w:rsidR="008225F2" w:rsidRDefault="008225F2">
      <w:pPr>
        <w:pStyle w:val="FreeFormBA"/>
        <w:ind w:left="108"/>
        <w:rPr>
          <w:kern w:val="1"/>
          <w:sz w:val="28"/>
          <w:szCs w:val="28"/>
          <w:lang w:val="en-US"/>
        </w:rPr>
      </w:pPr>
    </w:p>
    <w:p w:rsidR="008225F2" w:rsidRDefault="00FB72F4">
      <w:pPr>
        <w:pStyle w:val="FreeFormBAA"/>
        <w:ind w:left="108"/>
        <w:rPr>
          <w:kern w:val="1"/>
          <w:sz w:val="28"/>
          <w:szCs w:val="28"/>
          <w:lang w:val="en-US"/>
        </w:rPr>
      </w:pPr>
      <w:r>
        <w:rPr>
          <w:kern w:val="1"/>
          <w:sz w:val="28"/>
          <w:szCs w:val="28"/>
          <w:lang w:val="en-US"/>
        </w:rPr>
        <w:t>CAPTION</w:t>
      </w:r>
    </w:p>
    <w:p w:rsidR="008225F2" w:rsidRDefault="00FB72F4">
      <w:pPr>
        <w:pStyle w:val="FreeFormBAA"/>
        <w:ind w:left="108"/>
        <w:rPr>
          <w:sz w:val="28"/>
          <w:szCs w:val="28"/>
          <w:lang w:val="en-US"/>
        </w:rPr>
      </w:pPr>
      <w:r>
        <w:rPr>
          <w:kern w:val="1"/>
          <w:sz w:val="28"/>
          <w:szCs w:val="28"/>
          <w:lang w:val="en-US"/>
        </w:rPr>
        <w:t xml:space="preserve">Brain regions showing stronger engagement for the competition cue relative to the cooperation cue during the framing phase. All results refer to the peak-level activation at the time that the framing cue is seen, and modeled with a duration = 0 secs. </w:t>
      </w:r>
      <w:r>
        <w:rPr>
          <w:sz w:val="28"/>
          <w:szCs w:val="28"/>
          <w:lang w:val="en-US"/>
        </w:rPr>
        <w:t xml:space="preserve">Abbreviations: PFC = Prefrontal cortex; </w:t>
      </w:r>
      <w:proofErr w:type="spellStart"/>
      <w:r>
        <w:rPr>
          <w:sz w:val="28"/>
          <w:szCs w:val="28"/>
          <w:lang w:val="en-US"/>
        </w:rPr>
        <w:t>u.c</w:t>
      </w:r>
      <w:proofErr w:type="spellEnd"/>
      <w:r>
        <w:rPr>
          <w:sz w:val="28"/>
          <w:szCs w:val="28"/>
          <w:lang w:val="en-US"/>
        </w:rPr>
        <w:t>. = uncorrected (for multiple comparisons)</w:t>
      </w:r>
    </w:p>
    <w:p w:rsidR="008225F2" w:rsidRPr="0081707F" w:rsidRDefault="00FB72F4" w:rsidP="006D075B">
      <w:pPr>
        <w:pStyle w:val="FreeFormBAAAAA"/>
        <w:ind w:left="10"/>
        <w:rPr>
          <w:lang w:val="en-US"/>
        </w:rPr>
      </w:pPr>
      <w:r>
        <w:rPr>
          <w:sz w:val="28"/>
          <w:szCs w:val="28"/>
          <w:lang w:val="en-US"/>
        </w:rPr>
        <w:br/>
      </w:r>
    </w:p>
    <w:sectPr w:rsidR="008225F2" w:rsidRPr="0081707F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2F4" w:rsidRDefault="00FB72F4">
      <w:r>
        <w:separator/>
      </w:r>
    </w:p>
  </w:endnote>
  <w:endnote w:type="continuationSeparator" w:id="0">
    <w:p w:rsidR="00FB72F4" w:rsidRDefault="00FB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 Italic">
    <w:altName w:val="Times New Roman"/>
    <w:panose1 w:val="020B070402020209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2020703060505090304"/>
    <w:charset w:val="00"/>
    <w:family w:val="roman"/>
    <w:pitch w:val="default"/>
  </w:font>
  <w:font w:name="Arial Bold">
    <w:altName w:val="Times New Roman"/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Italic">
    <w:altName w:val="Times New Roman"/>
    <w:panose1 w:val="020B0604020202090204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5F2" w:rsidRDefault="008225F2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5F2" w:rsidRDefault="008225F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2F4" w:rsidRDefault="00FB72F4">
      <w:r>
        <w:separator/>
      </w:r>
    </w:p>
  </w:footnote>
  <w:footnote w:type="continuationSeparator" w:id="0">
    <w:p w:rsidR="00FB72F4" w:rsidRDefault="00FB7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5F2" w:rsidRDefault="008225F2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5F2" w:rsidRDefault="008225F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F2"/>
    <w:rsid w:val="006D075B"/>
    <w:rsid w:val="0081707F"/>
    <w:rsid w:val="008225F2"/>
    <w:rsid w:val="00D63383"/>
    <w:rsid w:val="00FB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EEBCEE-495D-4799-B044-3E8F61EA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eastAsia="Times New Roman"/>
      <w:color w:val="000000"/>
      <w:kern w:val="1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heading2A">
    <w:name w:val="heading 2 A"/>
    <w:next w:val="BodyTextA"/>
    <w:pPr>
      <w:keepNext/>
      <w:widowControl w:val="0"/>
      <w:suppressAutoHyphens/>
      <w:spacing w:before="240" w:after="120" w:line="100" w:lineRule="atLeast"/>
      <w:ind w:left="576" w:hanging="576"/>
    </w:pPr>
    <w:rPr>
      <w:rFonts w:ascii="Arial Bold Italic" w:eastAsia="Arial Bold Italic" w:hAnsi="Arial Bold Italic" w:cs="Arial Bold Italic"/>
      <w:b/>
      <w:bCs/>
      <w:i/>
      <w:iCs/>
      <w:color w:val="000000"/>
      <w:kern w:val="1"/>
      <w:sz w:val="28"/>
      <w:szCs w:val="28"/>
      <w:u w:color="000000"/>
      <w:lang w:val="en-US"/>
    </w:rPr>
  </w:style>
  <w:style w:type="paragraph" w:customStyle="1" w:styleId="BodyTextA">
    <w:name w:val="Body Text A"/>
    <w:pPr>
      <w:suppressAutoHyphens/>
      <w:spacing w:after="120" w:line="100" w:lineRule="atLeast"/>
    </w:pPr>
    <w:rPr>
      <w:rFonts w:eastAsia="Times New Roman"/>
      <w:color w:val="000000"/>
      <w:kern w:val="1"/>
      <w:sz w:val="24"/>
      <w:szCs w:val="24"/>
      <w:u w:color="000000"/>
      <w:lang w:val="en-US"/>
    </w:rPr>
  </w:style>
  <w:style w:type="paragraph" w:customStyle="1" w:styleId="BodyA">
    <w:name w:val="Body A"/>
    <w:pPr>
      <w:suppressAutoHyphens/>
      <w:spacing w:line="100" w:lineRule="atLeast"/>
    </w:pPr>
    <w:rPr>
      <w:rFonts w:ascii="Helvetica" w:eastAsia="Helvetica" w:hAnsi="Helvetica" w:cs="Helvetica"/>
      <w:color w:val="000000"/>
      <w:kern w:val="1"/>
      <w:sz w:val="24"/>
      <w:szCs w:val="24"/>
      <w:u w:color="000000"/>
      <w:lang w:val="en-US"/>
    </w:rPr>
  </w:style>
  <w:style w:type="paragraph" w:customStyle="1" w:styleId="FreeForm">
    <w:name w:val="Free Form"/>
    <w:rPr>
      <w:rFonts w:eastAsia="Times New Roman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BA">
    <w:name w:val="Free Form B A"/>
    <w:rPr>
      <w:rFonts w:eastAsia="Times New Roman"/>
      <w:color w:val="000000"/>
      <w:u w:color="000000"/>
    </w:rPr>
  </w:style>
  <w:style w:type="paragraph" w:customStyle="1" w:styleId="FreeFormBAA">
    <w:name w:val="Free Form B A A"/>
    <w:rPr>
      <w:rFonts w:eastAsia="Times New Roman"/>
      <w:color w:val="000000"/>
      <w:u w:color="000000"/>
    </w:rPr>
  </w:style>
  <w:style w:type="paragraph" w:customStyle="1" w:styleId="Heading2AA">
    <w:name w:val="Heading 2 A A"/>
    <w:next w:val="BodyA"/>
    <w:pPr>
      <w:keepNext/>
      <w:suppressAutoHyphens/>
      <w:spacing w:line="100" w:lineRule="atLeast"/>
    </w:pPr>
    <w:rPr>
      <w:rFonts w:ascii="Helvetica" w:eastAsia="Helvetica" w:hAnsi="Helvetica" w:cs="Helvetica"/>
      <w:b/>
      <w:bCs/>
      <w:color w:val="000000"/>
      <w:kern w:val="1"/>
      <w:sz w:val="24"/>
      <w:szCs w:val="24"/>
      <w:u w:color="000000"/>
      <w:lang w:val="en-US"/>
    </w:rPr>
  </w:style>
  <w:style w:type="paragraph" w:customStyle="1" w:styleId="BodyB">
    <w:name w:val="Body B"/>
    <w:rPr>
      <w:rFonts w:ascii="Helvetica" w:eastAsia="Helvetica" w:hAnsi="Helvetica" w:cs="Helvetica"/>
      <w:color w:val="000000"/>
      <w:sz w:val="24"/>
      <w:szCs w:val="24"/>
      <w:u w:color="000000"/>
      <w:lang w:val="en-US"/>
    </w:rPr>
  </w:style>
  <w:style w:type="paragraph" w:customStyle="1" w:styleId="FreeFormBAAAAA">
    <w:name w:val="Free Form B A A A A A"/>
    <w:rPr>
      <w:rFonts w:eastAsia="Times New Roman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07F"/>
    <w:rPr>
      <w:rFonts w:ascii="Tahoma" w:eastAsia="Times New Roman" w:hAnsi="Tahoma" w:cs="Tahoma"/>
      <w:color w:val="000000"/>
      <w:kern w:val="1"/>
      <w:sz w:val="16"/>
      <w:szCs w:val="16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University of Copenhagen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Toke Reinholt Fosgaard</dc:creator>
  <cp:lastModifiedBy>Bonner, Marla</cp:lastModifiedBy>
  <cp:revision>2</cp:revision>
  <dcterms:created xsi:type="dcterms:W3CDTF">2016-02-08T19:16:00Z</dcterms:created>
  <dcterms:modified xsi:type="dcterms:W3CDTF">2016-02-08T19:16:00Z</dcterms:modified>
</cp:coreProperties>
</file>