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6B8" w:rsidRDefault="003D4736" w:rsidP="005641BE">
      <w:pPr>
        <w:spacing w:line="480" w:lineRule="auto"/>
        <w:rPr>
          <w:b/>
          <w:color w:val="2B3244"/>
          <w:lang w:val="en-US"/>
        </w:rPr>
      </w:pPr>
      <w:r>
        <w:rPr>
          <w:b/>
          <w:color w:val="2B3244"/>
          <w:lang w:val="en-US"/>
        </w:rPr>
        <w:t>Appendix</w:t>
      </w:r>
    </w:p>
    <w:p w:rsidR="005641BE" w:rsidRPr="00FE7435" w:rsidRDefault="005641BE" w:rsidP="005641BE">
      <w:pPr>
        <w:spacing w:line="480" w:lineRule="auto"/>
        <w:rPr>
          <w:color w:val="2B3244"/>
          <w:lang w:val="en-US"/>
        </w:rPr>
      </w:pPr>
      <w:r w:rsidRPr="00FE7435">
        <w:rPr>
          <w:b/>
          <w:color w:val="2B3244"/>
          <w:lang w:val="en-US"/>
        </w:rPr>
        <w:t xml:space="preserve">Table </w:t>
      </w:r>
      <w:r w:rsidR="003D4736">
        <w:rPr>
          <w:b/>
          <w:color w:val="2B3244"/>
          <w:lang w:val="en-US"/>
        </w:rPr>
        <w:t>A</w:t>
      </w:r>
      <w:r w:rsidRPr="00FE7435">
        <w:rPr>
          <w:b/>
          <w:color w:val="2B3244"/>
          <w:lang w:val="en-US"/>
        </w:rPr>
        <w:t>2.</w:t>
      </w:r>
      <w:r w:rsidRPr="00FE7435">
        <w:rPr>
          <w:color w:val="2B3244"/>
          <w:lang w:val="en-US"/>
        </w:rPr>
        <w:t xml:space="preserve"> Impact of certain baseline characteristics on pain ratings and </w:t>
      </w:r>
      <w:r>
        <w:rPr>
          <w:color w:val="2B3244"/>
          <w:lang w:val="en-US"/>
        </w:rPr>
        <w:t>sex</w:t>
      </w:r>
      <w:r w:rsidRPr="00FE7435">
        <w:rPr>
          <w:color w:val="2B3244"/>
          <w:lang w:val="en-US"/>
        </w:rPr>
        <w:t xml:space="preserve"> specific order effect.  </w:t>
      </w:r>
      <w:bookmarkStart w:id="0" w:name="_GoBack"/>
      <w:bookmarkEnd w:id="0"/>
    </w:p>
    <w:p w:rsidR="005641BE" w:rsidRPr="00FE7435" w:rsidRDefault="005641BE" w:rsidP="005641BE">
      <w:pPr>
        <w:numPr>
          <w:ilvl w:val="0"/>
          <w:numId w:val="1"/>
        </w:numPr>
        <w:spacing w:line="480" w:lineRule="auto"/>
        <w:rPr>
          <w:color w:val="2B3244"/>
          <w:sz w:val="22"/>
          <w:szCs w:val="22"/>
          <w:lang w:val="en-US"/>
        </w:rPr>
      </w:pPr>
      <w:r w:rsidRPr="00FE7435">
        <w:rPr>
          <w:color w:val="2B3244"/>
          <w:sz w:val="22"/>
          <w:szCs w:val="22"/>
          <w:lang w:val="en-US"/>
        </w:rPr>
        <w:t xml:space="preserve"> </w:t>
      </w:r>
    </w:p>
    <w:tbl>
      <w:tblPr>
        <w:tblW w:w="11702" w:type="dxa"/>
        <w:tblInd w:w="55" w:type="dxa"/>
        <w:tblCellMar>
          <w:left w:w="70" w:type="dxa"/>
          <w:right w:w="70" w:type="dxa"/>
        </w:tblCellMar>
        <w:tblLook w:val="04A0" w:firstRow="1" w:lastRow="0" w:firstColumn="1" w:lastColumn="0" w:noHBand="0" w:noVBand="1"/>
      </w:tblPr>
      <w:tblGrid>
        <w:gridCol w:w="1591"/>
        <w:gridCol w:w="1510"/>
        <w:gridCol w:w="744"/>
        <w:gridCol w:w="2036"/>
        <w:gridCol w:w="160"/>
        <w:gridCol w:w="704"/>
        <w:gridCol w:w="2057"/>
        <w:gridCol w:w="160"/>
        <w:gridCol w:w="704"/>
        <w:gridCol w:w="2036"/>
      </w:tblGrid>
      <w:tr w:rsidR="007F4A3F" w:rsidRPr="00FE7435" w:rsidTr="007F4A3F">
        <w:trPr>
          <w:trHeight w:val="74"/>
        </w:trPr>
        <w:tc>
          <w:tcPr>
            <w:tcW w:w="1591" w:type="dxa"/>
            <w:shd w:val="clear" w:color="auto" w:fill="auto"/>
            <w:vAlign w:val="center"/>
            <w:hideMark/>
          </w:tcPr>
          <w:p w:rsidR="007F4A3F" w:rsidRPr="00FE7435" w:rsidRDefault="007F4A3F" w:rsidP="00F4112D">
            <w:pPr>
              <w:rPr>
                <w:color w:val="000000"/>
                <w:sz w:val="20"/>
                <w:szCs w:val="20"/>
                <w:lang w:val="en-US"/>
              </w:rPr>
            </w:pPr>
            <w:r w:rsidRPr="00FE7435">
              <w:rPr>
                <w:color w:val="000000"/>
                <w:sz w:val="20"/>
                <w:szCs w:val="20"/>
                <w:lang w:val="en-US"/>
              </w:rPr>
              <w:t>Impact of pain…</w:t>
            </w:r>
          </w:p>
        </w:tc>
        <w:tc>
          <w:tcPr>
            <w:tcW w:w="1510" w:type="dxa"/>
            <w:shd w:val="clear" w:color="auto" w:fill="auto"/>
            <w:vAlign w:val="center"/>
            <w:hideMark/>
          </w:tcPr>
          <w:p w:rsidR="007F4A3F" w:rsidRPr="00FE7435" w:rsidRDefault="007F4A3F" w:rsidP="00F4112D">
            <w:pPr>
              <w:rPr>
                <w:color w:val="000000"/>
                <w:sz w:val="20"/>
                <w:szCs w:val="20"/>
                <w:lang w:val="en-US"/>
              </w:rPr>
            </w:pPr>
            <w:proofErr w:type="gramStart"/>
            <w:r w:rsidRPr="00FE7435">
              <w:rPr>
                <w:color w:val="000000"/>
                <w:sz w:val="20"/>
                <w:szCs w:val="20"/>
                <w:lang w:val="en-US"/>
              </w:rPr>
              <w:t>on</w:t>
            </w:r>
            <w:proofErr w:type="gramEnd"/>
            <w:r w:rsidRPr="00FE7435">
              <w:rPr>
                <w:color w:val="000000"/>
                <w:sz w:val="20"/>
                <w:szCs w:val="20"/>
                <w:lang w:val="en-US"/>
              </w:rPr>
              <w:t xml:space="preserve"> pain ..</w:t>
            </w:r>
          </w:p>
        </w:tc>
        <w:tc>
          <w:tcPr>
            <w:tcW w:w="2780" w:type="dxa"/>
            <w:gridSpan w:val="2"/>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proofErr w:type="spellStart"/>
            <w:r w:rsidRPr="00FE7435">
              <w:rPr>
                <w:color w:val="000000"/>
                <w:sz w:val="20"/>
                <w:szCs w:val="20"/>
              </w:rPr>
              <w:t>opioids</w:t>
            </w:r>
            <w:proofErr w:type="spellEnd"/>
            <w:r w:rsidRPr="00FE7435">
              <w:rPr>
                <w:color w:val="000000"/>
                <w:sz w:val="20"/>
                <w:szCs w:val="20"/>
              </w:rPr>
              <w:t xml:space="preserve"> </w:t>
            </w:r>
            <w:proofErr w:type="spellStart"/>
            <w:r w:rsidRPr="00FE7435">
              <w:rPr>
                <w:color w:val="000000"/>
                <w:sz w:val="20"/>
                <w:szCs w:val="20"/>
              </w:rPr>
              <w:t>administration</w:t>
            </w:r>
            <w:proofErr w:type="spellEnd"/>
          </w:p>
        </w:tc>
        <w:tc>
          <w:tcPr>
            <w:tcW w:w="160" w:type="dxa"/>
          </w:tcPr>
          <w:p w:rsidR="007F4A3F" w:rsidRPr="00FE7435" w:rsidRDefault="007F4A3F" w:rsidP="00F4112D">
            <w:pPr>
              <w:jc w:val="center"/>
              <w:rPr>
                <w:color w:val="000000"/>
                <w:sz w:val="20"/>
                <w:szCs w:val="20"/>
              </w:rPr>
            </w:pPr>
          </w:p>
        </w:tc>
        <w:tc>
          <w:tcPr>
            <w:tcW w:w="2761" w:type="dxa"/>
            <w:gridSpan w:val="2"/>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proofErr w:type="spellStart"/>
            <w:r w:rsidRPr="00FE7435">
              <w:rPr>
                <w:color w:val="000000"/>
                <w:sz w:val="20"/>
                <w:szCs w:val="20"/>
              </w:rPr>
              <w:t>inpatients</w:t>
            </w:r>
            <w:proofErr w:type="spellEnd"/>
            <w:r w:rsidRPr="00FE7435">
              <w:rPr>
                <w:color w:val="000000"/>
                <w:sz w:val="20"/>
                <w:szCs w:val="20"/>
              </w:rPr>
              <w:t>/</w:t>
            </w:r>
            <w:proofErr w:type="spellStart"/>
            <w:r w:rsidRPr="00FE7435">
              <w:rPr>
                <w:color w:val="000000"/>
                <w:sz w:val="20"/>
                <w:szCs w:val="20"/>
              </w:rPr>
              <w:t>outpatients</w:t>
            </w:r>
            <w:proofErr w:type="spellEnd"/>
          </w:p>
        </w:tc>
        <w:tc>
          <w:tcPr>
            <w:tcW w:w="160" w:type="dxa"/>
          </w:tcPr>
          <w:p w:rsidR="007F4A3F" w:rsidRPr="00FE7435" w:rsidRDefault="007F4A3F" w:rsidP="00F4112D">
            <w:pPr>
              <w:jc w:val="center"/>
              <w:rPr>
                <w:color w:val="000000"/>
                <w:sz w:val="20"/>
                <w:szCs w:val="20"/>
              </w:rPr>
            </w:pPr>
          </w:p>
        </w:tc>
        <w:tc>
          <w:tcPr>
            <w:tcW w:w="2740" w:type="dxa"/>
            <w:gridSpan w:val="2"/>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 xml:space="preserve">abdominal </w:t>
            </w:r>
            <w:proofErr w:type="spellStart"/>
            <w:r w:rsidRPr="00FE7435">
              <w:rPr>
                <w:color w:val="000000"/>
                <w:sz w:val="20"/>
                <w:szCs w:val="20"/>
              </w:rPr>
              <w:t>surgery</w:t>
            </w:r>
            <w:proofErr w:type="spellEnd"/>
          </w:p>
        </w:tc>
      </w:tr>
      <w:tr w:rsidR="007F4A3F" w:rsidRPr="007F4A3F" w:rsidTr="007F4A3F">
        <w:trPr>
          <w:trHeight w:val="74"/>
        </w:trPr>
        <w:tc>
          <w:tcPr>
            <w:tcW w:w="1591" w:type="dxa"/>
            <w:tcBorders>
              <w:bottom w:val="single" w:sz="4" w:space="0" w:color="auto"/>
            </w:tcBorders>
            <w:shd w:val="clear" w:color="auto" w:fill="auto"/>
            <w:vAlign w:val="center"/>
          </w:tcPr>
          <w:p w:rsidR="007F4A3F" w:rsidRPr="00FE7435" w:rsidRDefault="007F4A3F" w:rsidP="00F4112D">
            <w:pPr>
              <w:rPr>
                <w:color w:val="000000"/>
                <w:sz w:val="20"/>
                <w:szCs w:val="20"/>
              </w:rPr>
            </w:pPr>
          </w:p>
        </w:tc>
        <w:tc>
          <w:tcPr>
            <w:tcW w:w="1510" w:type="dxa"/>
            <w:tcBorders>
              <w:bottom w:val="single" w:sz="4" w:space="0" w:color="auto"/>
            </w:tcBorders>
            <w:shd w:val="clear" w:color="auto" w:fill="auto"/>
            <w:vAlign w:val="center"/>
          </w:tcPr>
          <w:p w:rsidR="007F4A3F" w:rsidRPr="00FE7435" w:rsidRDefault="007F4A3F" w:rsidP="00F4112D">
            <w:pPr>
              <w:rPr>
                <w:color w:val="000000"/>
                <w:sz w:val="20"/>
                <w:szCs w:val="20"/>
              </w:rPr>
            </w:pPr>
          </w:p>
        </w:tc>
        <w:tc>
          <w:tcPr>
            <w:tcW w:w="744" w:type="dxa"/>
            <w:tcBorders>
              <w:top w:val="single" w:sz="4" w:space="0" w:color="auto"/>
              <w:bottom w:val="single" w:sz="4" w:space="0" w:color="auto"/>
            </w:tcBorders>
            <w:shd w:val="clear" w:color="auto" w:fill="auto"/>
            <w:vAlign w:val="center"/>
            <w:hideMark/>
          </w:tcPr>
          <w:p w:rsidR="007F4A3F" w:rsidRPr="00FE7435" w:rsidRDefault="007F4A3F" w:rsidP="00F4112D">
            <w:pPr>
              <w:jc w:val="center"/>
              <w:rPr>
                <w:color w:val="000000"/>
                <w:sz w:val="20"/>
                <w:szCs w:val="20"/>
              </w:rPr>
            </w:pPr>
            <w:proofErr w:type="spellStart"/>
            <w:r w:rsidRPr="00FE7435">
              <w:rPr>
                <w:color w:val="000000"/>
                <w:sz w:val="20"/>
                <w:szCs w:val="20"/>
              </w:rPr>
              <w:t>main</w:t>
            </w:r>
            <w:proofErr w:type="spellEnd"/>
          </w:p>
          <w:p w:rsidR="007F4A3F" w:rsidRPr="00FE7435" w:rsidRDefault="007F4A3F" w:rsidP="00F4112D">
            <w:pPr>
              <w:jc w:val="center"/>
              <w:rPr>
                <w:color w:val="000000"/>
                <w:sz w:val="20"/>
                <w:szCs w:val="20"/>
              </w:rPr>
            </w:pPr>
            <w:proofErr w:type="spellStart"/>
            <w:r w:rsidRPr="00FE7435">
              <w:rPr>
                <w:color w:val="000000"/>
                <w:sz w:val="20"/>
                <w:szCs w:val="20"/>
              </w:rPr>
              <w:t>effect</w:t>
            </w:r>
            <w:proofErr w:type="spellEnd"/>
          </w:p>
        </w:tc>
        <w:tc>
          <w:tcPr>
            <w:tcW w:w="2036" w:type="dxa"/>
            <w:tcBorders>
              <w:top w:val="single" w:sz="4" w:space="0" w:color="auto"/>
              <w:bottom w:val="single" w:sz="4" w:space="0" w:color="auto"/>
            </w:tcBorders>
            <w:shd w:val="clear" w:color="auto" w:fill="auto"/>
            <w:vAlign w:val="center"/>
            <w:hideMark/>
          </w:tcPr>
          <w:p w:rsidR="007F4A3F" w:rsidRPr="00FE7435" w:rsidRDefault="007F4A3F" w:rsidP="00F4112D">
            <w:pPr>
              <w:jc w:val="center"/>
              <w:rPr>
                <w:color w:val="000000"/>
                <w:sz w:val="20"/>
                <w:szCs w:val="20"/>
                <w:lang w:val="en-US"/>
              </w:rPr>
            </w:pPr>
            <w:r w:rsidRPr="00FE7435">
              <w:rPr>
                <w:color w:val="000000"/>
                <w:sz w:val="20"/>
                <w:szCs w:val="20"/>
                <w:lang w:val="en-US"/>
              </w:rPr>
              <w:t xml:space="preserve">impact on the </w:t>
            </w:r>
            <w:r>
              <w:rPr>
                <w:color w:val="000000"/>
                <w:sz w:val="20"/>
                <w:szCs w:val="20"/>
                <w:lang w:val="en-US"/>
              </w:rPr>
              <w:t>sex</w:t>
            </w:r>
          </w:p>
          <w:p w:rsidR="007F4A3F" w:rsidRPr="00FE7435" w:rsidRDefault="007F4A3F" w:rsidP="00F4112D">
            <w:pPr>
              <w:jc w:val="center"/>
              <w:rPr>
                <w:color w:val="000000"/>
                <w:sz w:val="20"/>
                <w:szCs w:val="20"/>
                <w:lang w:val="en-US"/>
              </w:rPr>
            </w:pPr>
            <w:r w:rsidRPr="00FE7435">
              <w:rPr>
                <w:color w:val="000000"/>
                <w:sz w:val="20"/>
                <w:szCs w:val="20"/>
                <w:lang w:val="en-US"/>
              </w:rPr>
              <w:t>specific order effect</w:t>
            </w:r>
          </w:p>
        </w:tc>
        <w:tc>
          <w:tcPr>
            <w:tcW w:w="160" w:type="dxa"/>
            <w:tcBorders>
              <w:bottom w:val="single" w:sz="4" w:space="0" w:color="auto"/>
            </w:tcBorders>
          </w:tcPr>
          <w:p w:rsidR="007F4A3F" w:rsidRPr="00FE7435" w:rsidRDefault="007F4A3F" w:rsidP="00F4112D">
            <w:pPr>
              <w:jc w:val="center"/>
              <w:rPr>
                <w:color w:val="000000"/>
                <w:sz w:val="20"/>
                <w:szCs w:val="20"/>
              </w:rPr>
            </w:pPr>
          </w:p>
        </w:tc>
        <w:tc>
          <w:tcPr>
            <w:tcW w:w="704" w:type="dxa"/>
            <w:tcBorders>
              <w:top w:val="single" w:sz="4" w:space="0" w:color="auto"/>
              <w:bottom w:val="single" w:sz="4" w:space="0" w:color="auto"/>
            </w:tcBorders>
            <w:shd w:val="clear" w:color="auto" w:fill="auto"/>
            <w:vAlign w:val="center"/>
            <w:hideMark/>
          </w:tcPr>
          <w:p w:rsidR="007F4A3F" w:rsidRPr="00FE7435" w:rsidRDefault="007F4A3F" w:rsidP="00F4112D">
            <w:pPr>
              <w:jc w:val="center"/>
              <w:rPr>
                <w:color w:val="000000"/>
                <w:sz w:val="20"/>
                <w:szCs w:val="20"/>
              </w:rPr>
            </w:pPr>
            <w:proofErr w:type="spellStart"/>
            <w:r w:rsidRPr="00FE7435">
              <w:rPr>
                <w:color w:val="000000"/>
                <w:sz w:val="20"/>
                <w:szCs w:val="20"/>
              </w:rPr>
              <w:t>main</w:t>
            </w:r>
            <w:proofErr w:type="spellEnd"/>
          </w:p>
          <w:p w:rsidR="007F4A3F" w:rsidRPr="00FE7435" w:rsidRDefault="007F4A3F" w:rsidP="00F4112D">
            <w:pPr>
              <w:jc w:val="center"/>
              <w:rPr>
                <w:color w:val="000000"/>
                <w:sz w:val="20"/>
                <w:szCs w:val="20"/>
              </w:rPr>
            </w:pPr>
            <w:proofErr w:type="spellStart"/>
            <w:r w:rsidRPr="00FE7435">
              <w:rPr>
                <w:color w:val="000000"/>
                <w:sz w:val="20"/>
                <w:szCs w:val="20"/>
              </w:rPr>
              <w:t>effect</w:t>
            </w:r>
            <w:proofErr w:type="spellEnd"/>
          </w:p>
        </w:tc>
        <w:tc>
          <w:tcPr>
            <w:tcW w:w="2057" w:type="dxa"/>
            <w:tcBorders>
              <w:top w:val="single" w:sz="4" w:space="0" w:color="auto"/>
              <w:bottom w:val="single" w:sz="4" w:space="0" w:color="auto"/>
            </w:tcBorders>
            <w:shd w:val="clear" w:color="auto" w:fill="auto"/>
            <w:vAlign w:val="center"/>
            <w:hideMark/>
          </w:tcPr>
          <w:p w:rsidR="007F4A3F" w:rsidRPr="00FE7435" w:rsidRDefault="007F4A3F" w:rsidP="00F4112D">
            <w:pPr>
              <w:jc w:val="center"/>
              <w:rPr>
                <w:color w:val="000000"/>
                <w:sz w:val="20"/>
                <w:szCs w:val="20"/>
                <w:lang w:val="en-US"/>
              </w:rPr>
            </w:pPr>
            <w:r w:rsidRPr="00FE7435">
              <w:rPr>
                <w:color w:val="000000"/>
                <w:sz w:val="20"/>
                <w:szCs w:val="20"/>
                <w:lang w:val="en-US"/>
              </w:rPr>
              <w:t xml:space="preserve">impact on the </w:t>
            </w:r>
            <w:r>
              <w:rPr>
                <w:color w:val="000000"/>
                <w:sz w:val="20"/>
                <w:szCs w:val="20"/>
                <w:lang w:val="en-US"/>
              </w:rPr>
              <w:t>sex</w:t>
            </w:r>
          </w:p>
          <w:p w:rsidR="007F4A3F" w:rsidRPr="00FE7435" w:rsidRDefault="007F4A3F" w:rsidP="00F4112D">
            <w:pPr>
              <w:jc w:val="center"/>
              <w:rPr>
                <w:color w:val="000000"/>
                <w:sz w:val="20"/>
                <w:szCs w:val="20"/>
                <w:lang w:val="en-US"/>
              </w:rPr>
            </w:pPr>
            <w:r w:rsidRPr="00FE7435">
              <w:rPr>
                <w:color w:val="000000"/>
                <w:sz w:val="20"/>
                <w:szCs w:val="20"/>
                <w:lang w:val="en-US"/>
              </w:rPr>
              <w:t>specific order effect</w:t>
            </w:r>
          </w:p>
        </w:tc>
        <w:tc>
          <w:tcPr>
            <w:tcW w:w="160" w:type="dxa"/>
            <w:tcBorders>
              <w:bottom w:val="single" w:sz="4" w:space="0" w:color="auto"/>
            </w:tcBorders>
          </w:tcPr>
          <w:p w:rsidR="007F4A3F" w:rsidRPr="00FE7435" w:rsidRDefault="007F4A3F" w:rsidP="00F4112D">
            <w:pPr>
              <w:jc w:val="center"/>
              <w:rPr>
                <w:color w:val="000000"/>
                <w:sz w:val="20"/>
                <w:szCs w:val="20"/>
              </w:rPr>
            </w:pPr>
          </w:p>
        </w:tc>
        <w:tc>
          <w:tcPr>
            <w:tcW w:w="704" w:type="dxa"/>
            <w:tcBorders>
              <w:top w:val="single" w:sz="4" w:space="0" w:color="auto"/>
              <w:bottom w:val="single" w:sz="4" w:space="0" w:color="auto"/>
            </w:tcBorders>
            <w:shd w:val="clear" w:color="auto" w:fill="auto"/>
            <w:vAlign w:val="center"/>
            <w:hideMark/>
          </w:tcPr>
          <w:p w:rsidR="007F4A3F" w:rsidRPr="00FE7435" w:rsidRDefault="007F4A3F" w:rsidP="00F4112D">
            <w:pPr>
              <w:jc w:val="center"/>
              <w:rPr>
                <w:color w:val="000000"/>
                <w:sz w:val="20"/>
                <w:szCs w:val="20"/>
              </w:rPr>
            </w:pPr>
            <w:proofErr w:type="spellStart"/>
            <w:r w:rsidRPr="00FE7435">
              <w:rPr>
                <w:color w:val="000000"/>
                <w:sz w:val="20"/>
                <w:szCs w:val="20"/>
              </w:rPr>
              <w:t>main</w:t>
            </w:r>
            <w:proofErr w:type="spellEnd"/>
          </w:p>
          <w:p w:rsidR="007F4A3F" w:rsidRPr="00FE7435" w:rsidRDefault="007F4A3F" w:rsidP="00F4112D">
            <w:pPr>
              <w:jc w:val="center"/>
              <w:rPr>
                <w:color w:val="000000"/>
                <w:sz w:val="20"/>
                <w:szCs w:val="20"/>
              </w:rPr>
            </w:pPr>
            <w:proofErr w:type="spellStart"/>
            <w:r w:rsidRPr="00FE7435">
              <w:rPr>
                <w:color w:val="000000"/>
                <w:sz w:val="20"/>
                <w:szCs w:val="20"/>
              </w:rPr>
              <w:t>effect</w:t>
            </w:r>
            <w:proofErr w:type="spellEnd"/>
          </w:p>
        </w:tc>
        <w:tc>
          <w:tcPr>
            <w:tcW w:w="2036" w:type="dxa"/>
            <w:tcBorders>
              <w:top w:val="single" w:sz="4" w:space="0" w:color="auto"/>
              <w:bottom w:val="single" w:sz="4" w:space="0" w:color="auto"/>
            </w:tcBorders>
            <w:shd w:val="clear" w:color="auto" w:fill="auto"/>
            <w:vAlign w:val="center"/>
            <w:hideMark/>
          </w:tcPr>
          <w:p w:rsidR="007F4A3F" w:rsidRPr="00FE7435" w:rsidRDefault="007F4A3F" w:rsidP="00F4112D">
            <w:pPr>
              <w:jc w:val="center"/>
              <w:rPr>
                <w:color w:val="000000"/>
                <w:sz w:val="20"/>
                <w:szCs w:val="20"/>
                <w:lang w:val="en-US"/>
              </w:rPr>
            </w:pPr>
            <w:r w:rsidRPr="00FE7435">
              <w:rPr>
                <w:color w:val="000000"/>
                <w:sz w:val="20"/>
                <w:szCs w:val="20"/>
                <w:lang w:val="en-US"/>
              </w:rPr>
              <w:t xml:space="preserve">impact on the </w:t>
            </w:r>
            <w:r>
              <w:rPr>
                <w:color w:val="000000"/>
                <w:sz w:val="20"/>
                <w:szCs w:val="20"/>
                <w:lang w:val="en-US"/>
              </w:rPr>
              <w:t>sex</w:t>
            </w:r>
          </w:p>
          <w:p w:rsidR="007F4A3F" w:rsidRPr="00FE7435" w:rsidRDefault="007F4A3F" w:rsidP="00F4112D">
            <w:pPr>
              <w:jc w:val="center"/>
              <w:rPr>
                <w:color w:val="000000"/>
                <w:sz w:val="20"/>
                <w:szCs w:val="20"/>
                <w:lang w:val="en-US"/>
              </w:rPr>
            </w:pPr>
            <w:r w:rsidRPr="00FE7435">
              <w:rPr>
                <w:color w:val="000000"/>
                <w:sz w:val="20"/>
                <w:szCs w:val="20"/>
                <w:lang w:val="en-US"/>
              </w:rPr>
              <w:t>specific order effect</w:t>
            </w:r>
          </w:p>
        </w:tc>
      </w:tr>
      <w:tr w:rsidR="007F4A3F" w:rsidRPr="00FE7435" w:rsidTr="007F4A3F">
        <w:trPr>
          <w:trHeight w:val="74"/>
        </w:trPr>
        <w:tc>
          <w:tcPr>
            <w:tcW w:w="1591" w:type="dxa"/>
            <w:tcBorders>
              <w:top w:val="single" w:sz="4" w:space="0" w:color="auto"/>
            </w:tcBorders>
            <w:shd w:val="clear" w:color="auto" w:fill="auto"/>
            <w:vAlign w:val="center"/>
            <w:hideMark/>
          </w:tcPr>
          <w:p w:rsidR="007F4A3F" w:rsidRPr="00FE7435" w:rsidRDefault="007F4A3F" w:rsidP="00F4112D">
            <w:pPr>
              <w:rPr>
                <w:color w:val="000000"/>
                <w:sz w:val="20"/>
                <w:szCs w:val="20"/>
              </w:rPr>
            </w:pPr>
            <w:r w:rsidRPr="00FE7435">
              <w:rPr>
                <w:color w:val="000000"/>
                <w:sz w:val="20"/>
                <w:szCs w:val="20"/>
                <w:lang w:val="en-US"/>
              </w:rPr>
              <w:t>on movement</w:t>
            </w:r>
          </w:p>
        </w:tc>
        <w:tc>
          <w:tcPr>
            <w:tcW w:w="1510" w:type="dxa"/>
            <w:tcBorders>
              <w:top w:val="single" w:sz="4" w:space="0" w:color="auto"/>
            </w:tcBorders>
            <w:shd w:val="clear" w:color="auto" w:fill="auto"/>
            <w:vAlign w:val="center"/>
            <w:hideMark/>
          </w:tcPr>
          <w:p w:rsidR="007F4A3F" w:rsidRPr="00FE7435" w:rsidRDefault="007F4A3F" w:rsidP="00F4112D">
            <w:pPr>
              <w:rPr>
                <w:color w:val="000000"/>
                <w:sz w:val="20"/>
                <w:szCs w:val="20"/>
              </w:rPr>
            </w:pPr>
            <w:proofErr w:type="spellStart"/>
            <w:r w:rsidRPr="00FE7435">
              <w:rPr>
                <w:color w:val="000000"/>
                <w:sz w:val="20"/>
                <w:szCs w:val="20"/>
                <w:lang w:val="en-US"/>
              </w:rPr>
              <w:t>Worst</w:t>
            </w:r>
            <w:r>
              <w:rPr>
                <w:color w:val="000000"/>
                <w:sz w:val="20"/>
                <w:szCs w:val="20"/>
                <w:vertAlign w:val="superscript"/>
                <w:lang w:val="en-US"/>
              </w:rPr>
              <w:t>a</w:t>
            </w:r>
            <w:proofErr w:type="spellEnd"/>
          </w:p>
        </w:tc>
        <w:tc>
          <w:tcPr>
            <w:tcW w:w="74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.499</w:t>
            </w:r>
          </w:p>
        </w:tc>
        <w:tc>
          <w:tcPr>
            <w:tcW w:w="160" w:type="dxa"/>
            <w:tcBorders>
              <w:top w:val="single" w:sz="4" w:space="0" w:color="auto"/>
            </w:tcBorders>
          </w:tcPr>
          <w:p w:rsidR="007F4A3F" w:rsidRPr="00FE7435" w:rsidRDefault="007F4A3F" w:rsidP="00F4112D">
            <w:pPr>
              <w:jc w:val="center"/>
              <w:rPr>
                <w:b/>
                <w:bCs/>
                <w:color w:val="000000"/>
                <w:sz w:val="20"/>
                <w:szCs w:val="20"/>
              </w:rPr>
            </w:pPr>
          </w:p>
        </w:tc>
        <w:tc>
          <w:tcPr>
            <w:tcW w:w="70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57"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.393</w:t>
            </w:r>
          </w:p>
        </w:tc>
        <w:tc>
          <w:tcPr>
            <w:tcW w:w="160" w:type="dxa"/>
            <w:tcBorders>
              <w:top w:val="single" w:sz="4" w:space="0" w:color="auto"/>
            </w:tcBorders>
          </w:tcPr>
          <w:p w:rsidR="007F4A3F" w:rsidRPr="00FE7435" w:rsidRDefault="007F4A3F" w:rsidP="00F4112D">
            <w:pPr>
              <w:jc w:val="center"/>
              <w:rPr>
                <w:b/>
                <w:bCs/>
                <w:color w:val="000000"/>
                <w:sz w:val="20"/>
                <w:szCs w:val="20"/>
              </w:rPr>
            </w:pPr>
          </w:p>
        </w:tc>
        <w:tc>
          <w:tcPr>
            <w:tcW w:w="70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.044</w:t>
            </w:r>
          </w:p>
        </w:tc>
        <w:tc>
          <w:tcPr>
            <w:tcW w:w="2036"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.939</w:t>
            </w:r>
          </w:p>
        </w:tc>
      </w:tr>
      <w:tr w:rsidR="007F4A3F" w:rsidRPr="00FE7435" w:rsidTr="007F4A3F">
        <w:trPr>
          <w:trHeight w:val="74"/>
        </w:trPr>
        <w:tc>
          <w:tcPr>
            <w:tcW w:w="1591" w:type="dxa"/>
            <w:tcBorders>
              <w:bottom w:val="single" w:sz="4" w:space="0" w:color="auto"/>
            </w:tcBorders>
            <w:shd w:val="clear" w:color="auto" w:fill="auto"/>
            <w:vAlign w:val="center"/>
            <w:hideMark/>
          </w:tcPr>
          <w:p w:rsidR="007F4A3F" w:rsidRPr="00FE7435" w:rsidRDefault="007F4A3F" w:rsidP="00F4112D">
            <w:pPr>
              <w:rPr>
                <w:color w:val="000000"/>
                <w:sz w:val="20"/>
                <w:szCs w:val="20"/>
              </w:rPr>
            </w:pPr>
          </w:p>
        </w:tc>
        <w:tc>
          <w:tcPr>
            <w:tcW w:w="1510" w:type="dxa"/>
            <w:tcBorders>
              <w:bottom w:val="single" w:sz="4" w:space="0" w:color="auto"/>
            </w:tcBorders>
            <w:shd w:val="clear" w:color="auto" w:fill="auto"/>
            <w:vAlign w:val="center"/>
            <w:hideMark/>
          </w:tcPr>
          <w:p w:rsidR="007F4A3F" w:rsidRPr="00FE7435" w:rsidRDefault="007F4A3F" w:rsidP="00F4112D">
            <w:pPr>
              <w:rPr>
                <w:color w:val="000000"/>
                <w:sz w:val="20"/>
                <w:szCs w:val="20"/>
              </w:rPr>
            </w:pPr>
            <w:r w:rsidRPr="00FE7435">
              <w:rPr>
                <w:color w:val="000000"/>
                <w:sz w:val="20"/>
                <w:szCs w:val="20"/>
                <w:lang w:val="en-US"/>
              </w:rPr>
              <w:t xml:space="preserve">at </w:t>
            </w:r>
            <w:proofErr w:type="spellStart"/>
            <w:r w:rsidRPr="00FE7435">
              <w:rPr>
                <w:color w:val="000000"/>
                <w:sz w:val="20"/>
                <w:szCs w:val="20"/>
                <w:lang w:val="en-US"/>
              </w:rPr>
              <w:t>rest</w:t>
            </w:r>
            <w:r>
              <w:rPr>
                <w:color w:val="000000"/>
                <w:sz w:val="20"/>
                <w:szCs w:val="20"/>
                <w:vertAlign w:val="superscript"/>
                <w:lang w:val="en-US"/>
              </w:rPr>
              <w:t>a</w:t>
            </w:r>
            <w:proofErr w:type="spellEnd"/>
          </w:p>
        </w:tc>
        <w:tc>
          <w:tcPr>
            <w:tcW w:w="744" w:type="dxa"/>
            <w:tcBorders>
              <w:bottom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.319</w:t>
            </w:r>
          </w:p>
        </w:tc>
        <w:tc>
          <w:tcPr>
            <w:tcW w:w="160" w:type="dxa"/>
            <w:tcBorders>
              <w:bottom w:val="single" w:sz="4" w:space="0" w:color="auto"/>
            </w:tcBorders>
          </w:tcPr>
          <w:p w:rsidR="007F4A3F" w:rsidRPr="00FE7435" w:rsidRDefault="007F4A3F" w:rsidP="00F4112D">
            <w:pPr>
              <w:jc w:val="center"/>
              <w:rPr>
                <w:color w:val="000000"/>
                <w:sz w:val="20"/>
                <w:szCs w:val="20"/>
              </w:rPr>
            </w:pPr>
          </w:p>
        </w:tc>
        <w:tc>
          <w:tcPr>
            <w:tcW w:w="704"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.055</w:t>
            </w:r>
          </w:p>
        </w:tc>
        <w:tc>
          <w:tcPr>
            <w:tcW w:w="2057"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.891</w:t>
            </w:r>
          </w:p>
        </w:tc>
        <w:tc>
          <w:tcPr>
            <w:tcW w:w="160" w:type="dxa"/>
            <w:tcBorders>
              <w:bottom w:val="single" w:sz="4" w:space="0" w:color="auto"/>
            </w:tcBorders>
          </w:tcPr>
          <w:p w:rsidR="007F4A3F" w:rsidRPr="00FE7435" w:rsidRDefault="007F4A3F" w:rsidP="00F4112D">
            <w:pPr>
              <w:jc w:val="center"/>
              <w:rPr>
                <w:color w:val="000000"/>
                <w:sz w:val="20"/>
                <w:szCs w:val="20"/>
              </w:rPr>
            </w:pPr>
          </w:p>
        </w:tc>
        <w:tc>
          <w:tcPr>
            <w:tcW w:w="704"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.486</w:t>
            </w:r>
          </w:p>
        </w:tc>
        <w:tc>
          <w:tcPr>
            <w:tcW w:w="2036"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.888</w:t>
            </w:r>
          </w:p>
        </w:tc>
      </w:tr>
      <w:tr w:rsidR="007F4A3F" w:rsidRPr="00FE7435" w:rsidTr="007F4A3F">
        <w:trPr>
          <w:trHeight w:val="74"/>
        </w:trPr>
        <w:tc>
          <w:tcPr>
            <w:tcW w:w="1591" w:type="dxa"/>
            <w:tcBorders>
              <w:top w:val="single" w:sz="4" w:space="0" w:color="auto"/>
            </w:tcBorders>
            <w:shd w:val="clear" w:color="auto" w:fill="auto"/>
            <w:vAlign w:val="center"/>
            <w:hideMark/>
          </w:tcPr>
          <w:p w:rsidR="007F4A3F" w:rsidRPr="00FE7435" w:rsidRDefault="007F4A3F" w:rsidP="00F4112D">
            <w:pPr>
              <w:rPr>
                <w:color w:val="000000"/>
                <w:sz w:val="20"/>
                <w:szCs w:val="20"/>
              </w:rPr>
            </w:pPr>
            <w:r w:rsidRPr="00FE7435">
              <w:rPr>
                <w:color w:val="000000"/>
                <w:sz w:val="20"/>
                <w:szCs w:val="20"/>
                <w:lang w:val="en-US"/>
              </w:rPr>
              <w:t>worst</w:t>
            </w:r>
          </w:p>
        </w:tc>
        <w:tc>
          <w:tcPr>
            <w:tcW w:w="1510" w:type="dxa"/>
            <w:tcBorders>
              <w:top w:val="single" w:sz="4" w:space="0" w:color="auto"/>
            </w:tcBorders>
            <w:shd w:val="clear" w:color="auto" w:fill="auto"/>
            <w:vAlign w:val="center"/>
            <w:hideMark/>
          </w:tcPr>
          <w:p w:rsidR="007F4A3F" w:rsidRPr="00FE7435" w:rsidRDefault="007F4A3F" w:rsidP="00F4112D">
            <w:pPr>
              <w:rPr>
                <w:color w:val="000000"/>
                <w:sz w:val="20"/>
                <w:szCs w:val="20"/>
              </w:rPr>
            </w:pPr>
            <w:r w:rsidRPr="00FE7435">
              <w:rPr>
                <w:color w:val="000000"/>
                <w:sz w:val="20"/>
                <w:szCs w:val="20"/>
                <w:lang w:val="en-US"/>
              </w:rPr>
              <w:t>on movement</w:t>
            </w:r>
          </w:p>
        </w:tc>
        <w:tc>
          <w:tcPr>
            <w:tcW w:w="74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.988</w:t>
            </w:r>
          </w:p>
        </w:tc>
        <w:tc>
          <w:tcPr>
            <w:tcW w:w="160" w:type="dxa"/>
            <w:tcBorders>
              <w:top w:val="single" w:sz="4" w:space="0" w:color="auto"/>
            </w:tcBorders>
          </w:tcPr>
          <w:p w:rsidR="007F4A3F" w:rsidRPr="00FE7435" w:rsidRDefault="007F4A3F" w:rsidP="00F4112D">
            <w:pPr>
              <w:jc w:val="center"/>
              <w:rPr>
                <w:b/>
                <w:bCs/>
                <w:color w:val="000000"/>
                <w:sz w:val="20"/>
                <w:szCs w:val="20"/>
              </w:rPr>
            </w:pPr>
          </w:p>
        </w:tc>
        <w:tc>
          <w:tcPr>
            <w:tcW w:w="70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57"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.359</w:t>
            </w:r>
          </w:p>
        </w:tc>
        <w:tc>
          <w:tcPr>
            <w:tcW w:w="160" w:type="dxa"/>
            <w:tcBorders>
              <w:top w:val="single" w:sz="4" w:space="0" w:color="auto"/>
            </w:tcBorders>
          </w:tcPr>
          <w:p w:rsidR="007F4A3F" w:rsidRPr="00FE7435" w:rsidRDefault="007F4A3F" w:rsidP="00F4112D">
            <w:pPr>
              <w:jc w:val="center"/>
              <w:rPr>
                <w:b/>
                <w:bCs/>
                <w:color w:val="000000"/>
                <w:sz w:val="20"/>
                <w:szCs w:val="20"/>
              </w:rPr>
            </w:pPr>
          </w:p>
        </w:tc>
        <w:tc>
          <w:tcPr>
            <w:tcW w:w="70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.302</w:t>
            </w:r>
          </w:p>
        </w:tc>
      </w:tr>
      <w:tr w:rsidR="007F4A3F" w:rsidRPr="00FE7435" w:rsidTr="007F4A3F">
        <w:trPr>
          <w:trHeight w:val="74"/>
        </w:trPr>
        <w:tc>
          <w:tcPr>
            <w:tcW w:w="1591" w:type="dxa"/>
            <w:tcBorders>
              <w:bottom w:val="single" w:sz="4" w:space="0" w:color="auto"/>
            </w:tcBorders>
            <w:shd w:val="clear" w:color="auto" w:fill="auto"/>
            <w:vAlign w:val="center"/>
            <w:hideMark/>
          </w:tcPr>
          <w:p w:rsidR="007F4A3F" w:rsidRPr="00FE7435" w:rsidRDefault="007F4A3F" w:rsidP="00F4112D">
            <w:pPr>
              <w:rPr>
                <w:color w:val="000000"/>
                <w:sz w:val="20"/>
                <w:szCs w:val="20"/>
              </w:rPr>
            </w:pPr>
          </w:p>
        </w:tc>
        <w:tc>
          <w:tcPr>
            <w:tcW w:w="1510" w:type="dxa"/>
            <w:tcBorders>
              <w:bottom w:val="single" w:sz="4" w:space="0" w:color="auto"/>
            </w:tcBorders>
            <w:shd w:val="clear" w:color="auto" w:fill="auto"/>
            <w:vAlign w:val="center"/>
            <w:hideMark/>
          </w:tcPr>
          <w:p w:rsidR="007F4A3F" w:rsidRPr="00FE7435" w:rsidRDefault="007F4A3F" w:rsidP="00F4112D">
            <w:pPr>
              <w:rPr>
                <w:color w:val="000000"/>
                <w:sz w:val="20"/>
                <w:szCs w:val="20"/>
              </w:rPr>
            </w:pPr>
            <w:r w:rsidRPr="00FE7435">
              <w:rPr>
                <w:color w:val="000000"/>
                <w:sz w:val="20"/>
                <w:szCs w:val="20"/>
                <w:lang w:val="en-US"/>
              </w:rPr>
              <w:t>at rest</w:t>
            </w:r>
          </w:p>
        </w:tc>
        <w:tc>
          <w:tcPr>
            <w:tcW w:w="744" w:type="dxa"/>
            <w:tcBorders>
              <w:bottom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.737</w:t>
            </w:r>
          </w:p>
        </w:tc>
        <w:tc>
          <w:tcPr>
            <w:tcW w:w="160" w:type="dxa"/>
            <w:tcBorders>
              <w:bottom w:val="single" w:sz="4" w:space="0" w:color="auto"/>
            </w:tcBorders>
          </w:tcPr>
          <w:p w:rsidR="007F4A3F" w:rsidRPr="00FE7435" w:rsidRDefault="007F4A3F" w:rsidP="00F4112D">
            <w:pPr>
              <w:jc w:val="center"/>
              <w:rPr>
                <w:color w:val="000000"/>
                <w:sz w:val="20"/>
                <w:szCs w:val="20"/>
              </w:rPr>
            </w:pPr>
          </w:p>
        </w:tc>
        <w:tc>
          <w:tcPr>
            <w:tcW w:w="704"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.063</w:t>
            </w:r>
          </w:p>
        </w:tc>
        <w:tc>
          <w:tcPr>
            <w:tcW w:w="2057"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.958</w:t>
            </w:r>
          </w:p>
        </w:tc>
        <w:tc>
          <w:tcPr>
            <w:tcW w:w="160" w:type="dxa"/>
            <w:tcBorders>
              <w:bottom w:val="single" w:sz="4" w:space="0" w:color="auto"/>
            </w:tcBorders>
          </w:tcPr>
          <w:p w:rsidR="007F4A3F" w:rsidRPr="00FE7435" w:rsidRDefault="007F4A3F" w:rsidP="00F4112D">
            <w:pPr>
              <w:jc w:val="center"/>
              <w:rPr>
                <w:color w:val="000000"/>
                <w:sz w:val="20"/>
                <w:szCs w:val="20"/>
              </w:rPr>
            </w:pPr>
          </w:p>
        </w:tc>
        <w:tc>
          <w:tcPr>
            <w:tcW w:w="704"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.438</w:t>
            </w:r>
          </w:p>
        </w:tc>
        <w:tc>
          <w:tcPr>
            <w:tcW w:w="2036"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.857</w:t>
            </w:r>
          </w:p>
        </w:tc>
      </w:tr>
      <w:tr w:rsidR="007F4A3F" w:rsidRPr="00FE7435" w:rsidTr="007F4A3F">
        <w:trPr>
          <w:trHeight w:val="74"/>
        </w:trPr>
        <w:tc>
          <w:tcPr>
            <w:tcW w:w="1591" w:type="dxa"/>
            <w:tcBorders>
              <w:top w:val="single" w:sz="4" w:space="0" w:color="auto"/>
            </w:tcBorders>
            <w:shd w:val="clear" w:color="auto" w:fill="auto"/>
            <w:vAlign w:val="center"/>
            <w:hideMark/>
          </w:tcPr>
          <w:p w:rsidR="007F4A3F" w:rsidRPr="00FE7435" w:rsidRDefault="007F4A3F" w:rsidP="00F4112D">
            <w:pPr>
              <w:rPr>
                <w:color w:val="000000"/>
                <w:sz w:val="20"/>
                <w:szCs w:val="20"/>
              </w:rPr>
            </w:pPr>
            <w:r w:rsidRPr="00FE7435">
              <w:rPr>
                <w:color w:val="000000"/>
                <w:sz w:val="20"/>
                <w:szCs w:val="20"/>
                <w:lang w:val="en-US"/>
              </w:rPr>
              <w:t>at rest</w:t>
            </w:r>
          </w:p>
        </w:tc>
        <w:tc>
          <w:tcPr>
            <w:tcW w:w="1510" w:type="dxa"/>
            <w:tcBorders>
              <w:top w:val="single" w:sz="4" w:space="0" w:color="auto"/>
            </w:tcBorders>
            <w:shd w:val="clear" w:color="auto" w:fill="auto"/>
            <w:vAlign w:val="center"/>
            <w:hideMark/>
          </w:tcPr>
          <w:p w:rsidR="007F4A3F" w:rsidRPr="00FE7435" w:rsidRDefault="007F4A3F" w:rsidP="00F4112D">
            <w:pPr>
              <w:rPr>
                <w:color w:val="000000"/>
                <w:sz w:val="20"/>
                <w:szCs w:val="20"/>
              </w:rPr>
            </w:pPr>
            <w:r w:rsidRPr="00FE7435">
              <w:rPr>
                <w:color w:val="000000"/>
                <w:sz w:val="20"/>
                <w:szCs w:val="20"/>
                <w:lang w:val="en-US"/>
              </w:rPr>
              <w:t>on movement</w:t>
            </w:r>
          </w:p>
        </w:tc>
        <w:tc>
          <w:tcPr>
            <w:tcW w:w="74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.971</w:t>
            </w:r>
          </w:p>
        </w:tc>
        <w:tc>
          <w:tcPr>
            <w:tcW w:w="160" w:type="dxa"/>
            <w:tcBorders>
              <w:top w:val="single" w:sz="4" w:space="0" w:color="auto"/>
            </w:tcBorders>
          </w:tcPr>
          <w:p w:rsidR="007F4A3F" w:rsidRPr="00FE7435" w:rsidRDefault="007F4A3F" w:rsidP="00F4112D">
            <w:pPr>
              <w:jc w:val="center"/>
              <w:rPr>
                <w:b/>
                <w:bCs/>
                <w:color w:val="000000"/>
                <w:sz w:val="20"/>
                <w:szCs w:val="20"/>
              </w:rPr>
            </w:pPr>
          </w:p>
        </w:tc>
        <w:tc>
          <w:tcPr>
            <w:tcW w:w="70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.001</w:t>
            </w:r>
          </w:p>
        </w:tc>
        <w:tc>
          <w:tcPr>
            <w:tcW w:w="2057"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.058</w:t>
            </w:r>
          </w:p>
        </w:tc>
        <w:tc>
          <w:tcPr>
            <w:tcW w:w="160" w:type="dxa"/>
            <w:tcBorders>
              <w:top w:val="single" w:sz="4" w:space="0" w:color="auto"/>
            </w:tcBorders>
          </w:tcPr>
          <w:p w:rsidR="007F4A3F" w:rsidRPr="00FE7435" w:rsidRDefault="007F4A3F" w:rsidP="00F4112D">
            <w:pPr>
              <w:jc w:val="center"/>
              <w:rPr>
                <w:b/>
                <w:bCs/>
                <w:color w:val="000000"/>
                <w:sz w:val="20"/>
                <w:szCs w:val="20"/>
              </w:rPr>
            </w:pPr>
          </w:p>
        </w:tc>
        <w:tc>
          <w:tcPr>
            <w:tcW w:w="704" w:type="dxa"/>
            <w:tcBorders>
              <w:top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top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.077</w:t>
            </w:r>
          </w:p>
        </w:tc>
      </w:tr>
      <w:tr w:rsidR="007F4A3F" w:rsidRPr="00FE7435" w:rsidTr="007F4A3F">
        <w:trPr>
          <w:trHeight w:val="74"/>
        </w:trPr>
        <w:tc>
          <w:tcPr>
            <w:tcW w:w="1591" w:type="dxa"/>
            <w:tcBorders>
              <w:bottom w:val="single" w:sz="4" w:space="0" w:color="auto"/>
            </w:tcBorders>
            <w:shd w:val="clear" w:color="auto" w:fill="auto"/>
            <w:vAlign w:val="center"/>
            <w:hideMark/>
          </w:tcPr>
          <w:p w:rsidR="007F4A3F" w:rsidRPr="00FE7435" w:rsidRDefault="007F4A3F" w:rsidP="00F4112D">
            <w:pPr>
              <w:rPr>
                <w:color w:val="000000"/>
                <w:sz w:val="20"/>
                <w:szCs w:val="20"/>
              </w:rPr>
            </w:pPr>
          </w:p>
        </w:tc>
        <w:tc>
          <w:tcPr>
            <w:tcW w:w="1510" w:type="dxa"/>
            <w:tcBorders>
              <w:bottom w:val="single" w:sz="4" w:space="0" w:color="auto"/>
            </w:tcBorders>
            <w:shd w:val="clear" w:color="auto" w:fill="auto"/>
            <w:vAlign w:val="center"/>
            <w:hideMark/>
          </w:tcPr>
          <w:p w:rsidR="007F4A3F" w:rsidRPr="00FE7435" w:rsidRDefault="007F4A3F" w:rsidP="00F4112D">
            <w:pPr>
              <w:rPr>
                <w:color w:val="000000"/>
                <w:sz w:val="20"/>
                <w:szCs w:val="20"/>
              </w:rPr>
            </w:pPr>
            <w:proofErr w:type="spellStart"/>
            <w:r w:rsidRPr="00FE7435">
              <w:rPr>
                <w:color w:val="000000"/>
                <w:sz w:val="20"/>
                <w:szCs w:val="20"/>
                <w:lang w:val="en-US"/>
              </w:rPr>
              <w:t>Worst</w:t>
            </w:r>
            <w:r>
              <w:rPr>
                <w:color w:val="000000"/>
                <w:sz w:val="20"/>
                <w:szCs w:val="20"/>
                <w:vertAlign w:val="superscript"/>
                <w:lang w:val="en-US"/>
              </w:rPr>
              <w:t>a</w:t>
            </w:r>
            <w:proofErr w:type="spellEnd"/>
          </w:p>
        </w:tc>
        <w:tc>
          <w:tcPr>
            <w:tcW w:w="744" w:type="dxa"/>
            <w:tcBorders>
              <w:bottom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36"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.862</w:t>
            </w:r>
          </w:p>
        </w:tc>
        <w:tc>
          <w:tcPr>
            <w:tcW w:w="160" w:type="dxa"/>
            <w:tcBorders>
              <w:bottom w:val="single" w:sz="4" w:space="0" w:color="auto"/>
            </w:tcBorders>
          </w:tcPr>
          <w:p w:rsidR="007F4A3F" w:rsidRPr="00FE7435" w:rsidRDefault="007F4A3F" w:rsidP="00F4112D">
            <w:pPr>
              <w:jc w:val="center"/>
              <w:rPr>
                <w:b/>
                <w:bCs/>
                <w:color w:val="000000"/>
                <w:sz w:val="20"/>
                <w:szCs w:val="20"/>
              </w:rPr>
            </w:pPr>
          </w:p>
        </w:tc>
        <w:tc>
          <w:tcPr>
            <w:tcW w:w="704" w:type="dxa"/>
            <w:tcBorders>
              <w:bottom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&lt;.001</w:t>
            </w:r>
          </w:p>
        </w:tc>
        <w:tc>
          <w:tcPr>
            <w:tcW w:w="2057"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.212</w:t>
            </w:r>
          </w:p>
        </w:tc>
        <w:tc>
          <w:tcPr>
            <w:tcW w:w="160" w:type="dxa"/>
            <w:tcBorders>
              <w:bottom w:val="single" w:sz="4" w:space="0" w:color="auto"/>
            </w:tcBorders>
          </w:tcPr>
          <w:p w:rsidR="007F4A3F" w:rsidRPr="00FE7435" w:rsidRDefault="007F4A3F" w:rsidP="00F4112D">
            <w:pPr>
              <w:jc w:val="center"/>
              <w:rPr>
                <w:b/>
                <w:bCs/>
                <w:color w:val="000000"/>
                <w:sz w:val="20"/>
                <w:szCs w:val="20"/>
              </w:rPr>
            </w:pPr>
          </w:p>
        </w:tc>
        <w:tc>
          <w:tcPr>
            <w:tcW w:w="704" w:type="dxa"/>
            <w:tcBorders>
              <w:bottom w:val="single" w:sz="4" w:space="0" w:color="auto"/>
            </w:tcBorders>
            <w:shd w:val="clear" w:color="auto" w:fill="auto"/>
            <w:vAlign w:val="center"/>
            <w:hideMark/>
          </w:tcPr>
          <w:p w:rsidR="007F4A3F" w:rsidRPr="00FE7435" w:rsidRDefault="007F4A3F" w:rsidP="00F4112D">
            <w:pPr>
              <w:jc w:val="center"/>
              <w:rPr>
                <w:b/>
                <w:bCs/>
                <w:color w:val="000000"/>
                <w:sz w:val="20"/>
                <w:szCs w:val="20"/>
              </w:rPr>
            </w:pPr>
            <w:r w:rsidRPr="00FE7435">
              <w:rPr>
                <w:b/>
                <w:bCs/>
                <w:color w:val="000000"/>
                <w:sz w:val="20"/>
                <w:szCs w:val="20"/>
              </w:rPr>
              <w:t>.039</w:t>
            </w:r>
          </w:p>
        </w:tc>
        <w:tc>
          <w:tcPr>
            <w:tcW w:w="2036" w:type="dxa"/>
            <w:tcBorders>
              <w:bottom w:val="single" w:sz="4" w:space="0" w:color="auto"/>
            </w:tcBorders>
            <w:shd w:val="clear" w:color="auto" w:fill="auto"/>
            <w:vAlign w:val="center"/>
            <w:hideMark/>
          </w:tcPr>
          <w:p w:rsidR="007F4A3F" w:rsidRPr="00FE7435" w:rsidRDefault="007F4A3F" w:rsidP="00F4112D">
            <w:pPr>
              <w:jc w:val="center"/>
              <w:rPr>
                <w:color w:val="000000"/>
                <w:sz w:val="20"/>
                <w:szCs w:val="20"/>
              </w:rPr>
            </w:pPr>
            <w:r w:rsidRPr="00FE7435">
              <w:rPr>
                <w:color w:val="000000"/>
                <w:sz w:val="20"/>
                <w:szCs w:val="20"/>
              </w:rPr>
              <w:t>.678</w:t>
            </w:r>
          </w:p>
        </w:tc>
      </w:tr>
    </w:tbl>
    <w:p w:rsidR="00F4112D" w:rsidRPr="00FE7435" w:rsidRDefault="00F4112D" w:rsidP="00F4112D">
      <w:pPr>
        <w:spacing w:line="480" w:lineRule="auto"/>
        <w:rPr>
          <w:color w:val="2B3244"/>
          <w:sz w:val="22"/>
          <w:szCs w:val="22"/>
          <w:lang w:val="en-US"/>
        </w:rPr>
      </w:pPr>
      <w:r w:rsidRPr="007F4A3F">
        <w:rPr>
          <w:color w:val="2B3244"/>
          <w:sz w:val="22"/>
          <w:szCs w:val="22"/>
          <w:lang w:val="en-US"/>
        </w:rPr>
        <w:t>Note.</w:t>
      </w:r>
      <w:r>
        <w:rPr>
          <w:color w:val="2B3244"/>
          <w:sz w:val="22"/>
          <w:szCs w:val="22"/>
          <w:lang w:val="en-US"/>
        </w:rPr>
        <w:t xml:space="preserve"> </w:t>
      </w:r>
      <w:r w:rsidRPr="00FE7435">
        <w:rPr>
          <w:color w:val="2B3244"/>
          <w:sz w:val="22"/>
          <w:szCs w:val="22"/>
          <w:lang w:val="en-US"/>
        </w:rPr>
        <w:t>The results of a three way ANOVA adding certain baseline characteristics to original analysis are shown. For each baseline characteristic the main effect (Is there a difference in pain ratings according to baseline –groups?) and the three way interaction (Is there a variation of the two-way interaction item order*</w:t>
      </w:r>
      <w:r>
        <w:rPr>
          <w:color w:val="2B3244"/>
          <w:sz w:val="22"/>
          <w:szCs w:val="22"/>
          <w:lang w:val="en-US"/>
        </w:rPr>
        <w:t>sex</w:t>
      </w:r>
      <w:r w:rsidRPr="00FE7435">
        <w:rPr>
          <w:color w:val="2B3244"/>
          <w:sz w:val="22"/>
          <w:szCs w:val="22"/>
          <w:lang w:val="en-US"/>
        </w:rPr>
        <w:t xml:space="preserve"> across levels of a certain baseline characteristics?). </w:t>
      </w:r>
    </w:p>
    <w:p w:rsidR="00F4112D" w:rsidRPr="00FE7435" w:rsidRDefault="00F4112D" w:rsidP="00F4112D">
      <w:pPr>
        <w:numPr>
          <w:ilvl w:val="0"/>
          <w:numId w:val="1"/>
        </w:numPr>
        <w:spacing w:line="480" w:lineRule="auto"/>
        <w:rPr>
          <w:color w:val="2B3244"/>
          <w:sz w:val="22"/>
          <w:szCs w:val="22"/>
          <w:lang w:val="en-US"/>
        </w:rPr>
      </w:pPr>
      <w:r w:rsidRPr="00FE7435">
        <w:rPr>
          <w:color w:val="2B3244"/>
          <w:sz w:val="22"/>
          <w:szCs w:val="22"/>
          <w:lang w:val="en-US"/>
        </w:rPr>
        <w:t>All pain ratings are higher for patients which received opioids. The two way interaction item order*</w:t>
      </w:r>
      <w:r>
        <w:rPr>
          <w:color w:val="2B3244"/>
          <w:sz w:val="22"/>
          <w:szCs w:val="22"/>
          <w:lang w:val="en-US"/>
        </w:rPr>
        <w:t>sex</w:t>
      </w:r>
      <w:r w:rsidRPr="00FE7435">
        <w:rPr>
          <w:color w:val="2B3244"/>
          <w:sz w:val="22"/>
          <w:szCs w:val="22"/>
          <w:lang w:val="en-US"/>
        </w:rPr>
        <w:t xml:space="preserve"> is comparable in patient with and without opioids. </w:t>
      </w:r>
    </w:p>
    <w:p w:rsidR="00F4112D" w:rsidRPr="00FE7435" w:rsidRDefault="00F4112D" w:rsidP="00F4112D">
      <w:pPr>
        <w:numPr>
          <w:ilvl w:val="0"/>
          <w:numId w:val="1"/>
        </w:numPr>
        <w:spacing w:line="480" w:lineRule="auto"/>
        <w:rPr>
          <w:color w:val="2B3244"/>
          <w:sz w:val="22"/>
          <w:szCs w:val="22"/>
          <w:lang w:val="en-US"/>
        </w:rPr>
      </w:pPr>
      <w:r w:rsidRPr="00FE7435">
        <w:rPr>
          <w:color w:val="2B3244"/>
          <w:sz w:val="22"/>
          <w:szCs w:val="22"/>
          <w:lang w:val="en-US"/>
        </w:rPr>
        <w:t>Pain ratings are significant higher or tend to be higher in inpatient compared to outpatients. The two way interaction item order*</w:t>
      </w:r>
      <w:r>
        <w:rPr>
          <w:color w:val="2B3244"/>
          <w:sz w:val="22"/>
          <w:szCs w:val="22"/>
          <w:lang w:val="en-US"/>
        </w:rPr>
        <w:t>sex</w:t>
      </w:r>
      <w:r w:rsidRPr="00FE7435">
        <w:rPr>
          <w:color w:val="2B3244"/>
          <w:sz w:val="22"/>
          <w:szCs w:val="22"/>
          <w:lang w:val="en-US"/>
        </w:rPr>
        <w:t xml:space="preserve"> might be different in inpatients compared to outpatients for pain on movement following pain at rest. In all other situations the two way interactions of item order*</w:t>
      </w:r>
      <w:r>
        <w:rPr>
          <w:color w:val="2B3244"/>
          <w:sz w:val="22"/>
          <w:szCs w:val="22"/>
          <w:lang w:val="en-US"/>
        </w:rPr>
        <w:t>sex</w:t>
      </w:r>
      <w:r w:rsidRPr="00FE7435">
        <w:rPr>
          <w:color w:val="2B3244"/>
          <w:sz w:val="22"/>
          <w:szCs w:val="22"/>
          <w:lang w:val="en-US"/>
        </w:rPr>
        <w:t xml:space="preserve"> are comparable. </w:t>
      </w:r>
    </w:p>
    <w:p w:rsidR="00F4112D" w:rsidRDefault="00F4112D" w:rsidP="00F4112D">
      <w:pPr>
        <w:spacing w:line="480" w:lineRule="auto"/>
        <w:rPr>
          <w:color w:val="2B3244"/>
          <w:sz w:val="22"/>
          <w:szCs w:val="22"/>
          <w:vertAlign w:val="superscript"/>
          <w:lang w:val="en-US"/>
        </w:rPr>
      </w:pPr>
      <w:r w:rsidRPr="00FE7435">
        <w:rPr>
          <w:color w:val="2B3244"/>
          <w:sz w:val="22"/>
          <w:szCs w:val="22"/>
          <w:lang w:val="en-US"/>
        </w:rPr>
        <w:t>Worst pain ratings and pain on movement ratings are higher in patients undergoing abdominal surgeries. The two way interaction item order*</w:t>
      </w:r>
      <w:r>
        <w:rPr>
          <w:color w:val="2B3244"/>
          <w:sz w:val="22"/>
          <w:szCs w:val="22"/>
          <w:lang w:val="en-US"/>
        </w:rPr>
        <w:t>sex</w:t>
      </w:r>
      <w:r w:rsidRPr="00FE7435">
        <w:rPr>
          <w:color w:val="2B3244"/>
          <w:sz w:val="22"/>
          <w:szCs w:val="22"/>
          <w:lang w:val="en-US"/>
        </w:rPr>
        <w:t xml:space="preserve"> might be different in patients undergoing abdominal surgeries compared to patients undergoing other surgeries for pain on movement following pain at rest. In all other situations the two way interactions of item order*</w:t>
      </w:r>
      <w:r>
        <w:rPr>
          <w:color w:val="2B3244"/>
          <w:sz w:val="22"/>
          <w:szCs w:val="22"/>
          <w:lang w:val="en-US"/>
        </w:rPr>
        <w:t>sex</w:t>
      </w:r>
      <w:r w:rsidRPr="00FE7435">
        <w:rPr>
          <w:color w:val="2B3244"/>
          <w:sz w:val="22"/>
          <w:szCs w:val="22"/>
          <w:lang w:val="en-US"/>
        </w:rPr>
        <w:t xml:space="preserve"> are comparable.</w:t>
      </w:r>
    </w:p>
    <w:p w:rsidR="005641BE" w:rsidRPr="00AC52E3" w:rsidRDefault="00F4112D" w:rsidP="005641BE">
      <w:pPr>
        <w:spacing w:line="480" w:lineRule="auto"/>
        <w:rPr>
          <w:color w:val="2B3244"/>
          <w:sz w:val="22"/>
          <w:szCs w:val="22"/>
          <w:lang w:val="en-US"/>
        </w:rPr>
      </w:pPr>
      <w:proofErr w:type="spellStart"/>
      <w:proofErr w:type="gramStart"/>
      <w:r>
        <w:rPr>
          <w:color w:val="2B3244"/>
          <w:sz w:val="22"/>
          <w:szCs w:val="22"/>
          <w:vertAlign w:val="superscript"/>
          <w:lang w:val="en-US"/>
        </w:rPr>
        <w:lastRenderedPageBreak/>
        <w:t>a</w:t>
      </w:r>
      <w:proofErr w:type="spellEnd"/>
      <w:proofErr w:type="gramEnd"/>
      <w:r w:rsidR="005641BE" w:rsidRPr="00FE7435">
        <w:rPr>
          <w:color w:val="2B3244"/>
          <w:sz w:val="22"/>
          <w:szCs w:val="22"/>
          <w:lang w:val="en-US"/>
        </w:rPr>
        <w:t xml:space="preserve"> In this situations significant two-way interactions are reported in the result section.</w:t>
      </w:r>
    </w:p>
    <w:p w:rsidR="00F4112D" w:rsidRPr="005641BE" w:rsidRDefault="00F4112D">
      <w:pPr>
        <w:rPr>
          <w:lang w:val="en-US"/>
        </w:rPr>
      </w:pPr>
    </w:p>
    <w:sectPr w:rsidR="00F4112D" w:rsidRPr="005641BE" w:rsidSect="00F4112D">
      <w:pgSz w:w="16838" w:h="11906" w:orient="landscape" w:code="9"/>
      <w:pgMar w:top="1418" w:right="1418" w:bottom="1418" w:left="1134" w:header="709" w:footer="709" w:gutter="0"/>
      <w:lnNumType w:countBy="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95806"/>
    <w:multiLevelType w:val="hybridMultilevel"/>
    <w:tmpl w:val="39CA8B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1BE"/>
    <w:rsid w:val="000952AB"/>
    <w:rsid w:val="002E6557"/>
    <w:rsid w:val="003D4736"/>
    <w:rsid w:val="005641BE"/>
    <w:rsid w:val="007F4A3F"/>
    <w:rsid w:val="009372A0"/>
    <w:rsid w:val="00D156B8"/>
    <w:rsid w:val="00D57F3E"/>
    <w:rsid w:val="00E60097"/>
    <w:rsid w:val="00E933DD"/>
    <w:rsid w:val="00F4112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1BE"/>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5641BE"/>
  </w:style>
  <w:style w:type="paragraph" w:styleId="Sprechblasentext">
    <w:name w:val="Balloon Text"/>
    <w:basedOn w:val="Standard"/>
    <w:link w:val="SprechblasentextZchn"/>
    <w:uiPriority w:val="99"/>
    <w:semiHidden/>
    <w:unhideWhenUsed/>
    <w:rsid w:val="002E65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6557"/>
    <w:rPr>
      <w:rFonts w:ascii="Tahoma" w:eastAsia="Times New Roman" w:hAnsi="Tahoma" w:cs="Tahoma"/>
      <w:sz w:val="16"/>
      <w:szCs w:val="16"/>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641BE"/>
    <w:pPr>
      <w:spacing w:after="0" w:line="240" w:lineRule="auto"/>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Zeilennummer">
    <w:name w:val="line number"/>
    <w:basedOn w:val="Absatz-Standardschriftart"/>
    <w:uiPriority w:val="99"/>
    <w:semiHidden/>
    <w:unhideWhenUsed/>
    <w:rsid w:val="005641BE"/>
  </w:style>
  <w:style w:type="paragraph" w:styleId="Sprechblasentext">
    <w:name w:val="Balloon Text"/>
    <w:basedOn w:val="Standard"/>
    <w:link w:val="SprechblasentextZchn"/>
    <w:uiPriority w:val="99"/>
    <w:semiHidden/>
    <w:unhideWhenUsed/>
    <w:rsid w:val="002E655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6557"/>
    <w:rPr>
      <w:rFonts w:ascii="Tahoma" w:eastAsia="Times New Roman" w:hAnsi="Tahoma" w:cs="Tahoma"/>
      <w:sz w:val="16"/>
      <w:szCs w:val="16"/>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1717</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Medizinische Universität Graz</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Avian Alexander</dc:creator>
  <cp:keywords/>
  <dc:description/>
  <cp:lastModifiedBy>Avian Alexander, Mag.</cp:lastModifiedBy>
  <cp:revision>2</cp:revision>
  <dcterms:created xsi:type="dcterms:W3CDTF">2015-01-05T11:03:00Z</dcterms:created>
  <dcterms:modified xsi:type="dcterms:W3CDTF">2015-08-19T15:38:00Z</dcterms:modified>
</cp:coreProperties>
</file>