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50" w:rsidRDefault="00AF0650" w:rsidP="00AF0650">
      <w:pPr>
        <w:rPr>
          <w:b/>
          <w:noProof/>
          <w:sz w:val="32"/>
          <w:lang w:val="en-US" w:eastAsia="nl-NL"/>
        </w:rPr>
      </w:pPr>
      <w:r w:rsidRPr="00AF0650">
        <w:rPr>
          <w:b/>
          <w:noProof/>
          <w:sz w:val="32"/>
          <w:lang w:val="en-US" w:eastAsia="nl-NL"/>
        </w:rPr>
        <w:t xml:space="preserve">Supplementary information </w:t>
      </w:r>
    </w:p>
    <w:p w:rsidR="00AF0650" w:rsidRPr="002F133B" w:rsidRDefault="002F133B" w:rsidP="00AF0650">
      <w:pPr>
        <w:rPr>
          <w:i/>
          <w:noProof/>
          <w:sz w:val="22"/>
          <w:lang w:val="en-US" w:eastAsia="nl-NL"/>
        </w:rPr>
      </w:pPr>
      <w:r>
        <w:rPr>
          <w:noProof/>
          <w:sz w:val="22"/>
          <w:lang w:val="en-US" w:eastAsia="nl-NL"/>
        </w:rPr>
        <w:t xml:space="preserve">Bijleveld, E., &amp; Knufinke M. (under review). </w:t>
      </w:r>
      <w:r w:rsidR="00AF0650" w:rsidRPr="002F133B">
        <w:rPr>
          <w:i/>
          <w:noProof/>
          <w:sz w:val="22"/>
          <w:lang w:val="en-US" w:eastAsia="nl-NL"/>
        </w:rPr>
        <w:t>Exposure to bright light biases effort-based decisions in humans</w:t>
      </w:r>
      <w:r>
        <w:rPr>
          <w:i/>
          <w:noProof/>
          <w:sz w:val="22"/>
          <w:lang w:val="en-US" w:eastAsia="nl-NL"/>
        </w:rPr>
        <w:t>.</w:t>
      </w:r>
    </w:p>
    <w:p w:rsidR="00BC3CF0" w:rsidRDefault="00BC3CF0" w:rsidP="00AF0650">
      <w:pPr>
        <w:rPr>
          <w:noProof/>
          <w:lang w:val="en-US" w:eastAsia="nl-NL"/>
        </w:rPr>
      </w:pPr>
    </w:p>
    <w:p w:rsidR="00A109E7" w:rsidRDefault="00A109E7" w:rsidP="00AF0650">
      <w:pPr>
        <w:rPr>
          <w:noProof/>
          <w:lang w:val="en-US" w:eastAsia="nl-NL"/>
        </w:rPr>
      </w:pPr>
    </w:p>
    <w:p w:rsidR="00AF0650" w:rsidRPr="002F133B" w:rsidRDefault="00BC3CF0" w:rsidP="00AF0650">
      <w:pPr>
        <w:rPr>
          <w:noProof/>
          <w:lang w:val="en-US" w:eastAsia="nl-NL"/>
        </w:rPr>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424844</wp:posOffset>
            </wp:positionV>
            <wp:extent cx="6323901" cy="2636875"/>
            <wp:effectExtent l="0" t="0" r="1270" b="0"/>
            <wp:wrapTopAndBottom/>
            <wp:docPr id="3" name="Picture 3" descr="U:\SpiderOak\projects\bright light\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piderOak\projects\bright light\Fig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3901" cy="2636875"/>
                    </a:xfrm>
                    <a:prstGeom prst="rect">
                      <a:avLst/>
                    </a:prstGeom>
                    <a:noFill/>
                    <a:ln>
                      <a:noFill/>
                    </a:ln>
                  </pic:spPr>
                </pic:pic>
              </a:graphicData>
            </a:graphic>
          </wp:anchor>
        </w:drawing>
      </w:r>
    </w:p>
    <w:p w:rsidR="00AF0650" w:rsidRPr="002F133B" w:rsidRDefault="00AF0650" w:rsidP="00AF0650">
      <w:pPr>
        <w:rPr>
          <w:noProof/>
          <w:lang w:val="en-US" w:eastAsia="nl-NL"/>
        </w:rPr>
      </w:pPr>
    </w:p>
    <w:p w:rsidR="00AF0650" w:rsidRDefault="00A109E7" w:rsidP="00AF0650">
      <w:pPr>
        <w:rPr>
          <w:lang w:val="en-US"/>
        </w:rPr>
      </w:pPr>
      <w:r>
        <w:rPr>
          <w:b/>
          <w:lang w:val="en-US"/>
        </w:rPr>
        <w:t>Supplementary Figure S2</w:t>
      </w:r>
      <w:r w:rsidR="00AF0650" w:rsidRPr="004C6D6A">
        <w:rPr>
          <w:b/>
          <w:lang w:val="en-US"/>
        </w:rPr>
        <w:t>.</w:t>
      </w:r>
      <w:r w:rsidR="00AF0650">
        <w:rPr>
          <w:lang w:val="en-US"/>
        </w:rPr>
        <w:t xml:space="preserve"> </w:t>
      </w:r>
      <w:r w:rsidR="004C6D6A">
        <w:rPr>
          <w:lang w:val="en-US"/>
        </w:rPr>
        <w:t>Probabili</w:t>
      </w:r>
      <w:r w:rsidR="00D6050A">
        <w:rPr>
          <w:lang w:val="en-US"/>
        </w:rPr>
        <w:t>ty</w:t>
      </w:r>
      <w:r w:rsidR="004C6D6A">
        <w:rPr>
          <w:lang w:val="en-US"/>
        </w:rPr>
        <w:t xml:space="preserve"> of receiving reward feedback </w:t>
      </w:r>
      <w:r w:rsidR="00C95916">
        <w:rPr>
          <w:lang w:val="en-US"/>
        </w:rPr>
        <w:t>throughout</w:t>
      </w:r>
      <w:r w:rsidR="004C6D6A">
        <w:rPr>
          <w:lang w:val="en-US"/>
        </w:rPr>
        <w:t xml:space="preserve"> the two-armed bandit task (2ABT)</w:t>
      </w:r>
      <w:r w:rsidR="00F251BF">
        <w:rPr>
          <w:lang w:val="en-US"/>
        </w:rPr>
        <w:t xml:space="preserve">, </w:t>
      </w:r>
      <w:r w:rsidR="004C6D6A">
        <w:rPr>
          <w:lang w:val="en-US"/>
        </w:rPr>
        <w:t>separately for each choice</w:t>
      </w:r>
      <w:r w:rsidR="00C97586">
        <w:rPr>
          <w:lang w:val="en-US"/>
        </w:rPr>
        <w:t xml:space="preserve"> option</w:t>
      </w:r>
      <w:r w:rsidR="004C6D6A">
        <w:rPr>
          <w:lang w:val="en-US"/>
        </w:rPr>
        <w:t xml:space="preserve"> (left vs. right) and separately for each version of the task. In one of the sessions, participants got version 1; </w:t>
      </w:r>
      <w:r w:rsidR="00E81D69">
        <w:rPr>
          <w:lang w:val="en-US"/>
        </w:rPr>
        <w:t>in</w:t>
      </w:r>
      <w:r w:rsidR="004C6D6A">
        <w:rPr>
          <w:lang w:val="en-US"/>
        </w:rPr>
        <w:t xml:space="preserve"> the other session, version 2</w:t>
      </w:r>
      <w:r w:rsidR="005D314A">
        <w:rPr>
          <w:lang w:val="en-US"/>
        </w:rPr>
        <w:t xml:space="preserve"> (see Methods</w:t>
      </w:r>
      <w:r w:rsidR="00E30A00">
        <w:rPr>
          <w:lang w:val="en-US"/>
        </w:rPr>
        <w:t xml:space="preserve"> in main text</w:t>
      </w:r>
      <w:r w:rsidR="005D314A">
        <w:rPr>
          <w:lang w:val="en-US"/>
        </w:rPr>
        <w:t>)</w:t>
      </w:r>
      <w:r w:rsidR="004C6D6A">
        <w:rPr>
          <w:lang w:val="en-US"/>
        </w:rPr>
        <w:t>.</w:t>
      </w:r>
    </w:p>
    <w:p w:rsidR="00AF0650" w:rsidRDefault="00AF0650" w:rsidP="002333D1">
      <w:pPr>
        <w:rPr>
          <w:lang w:val="en-US"/>
        </w:rPr>
      </w:pPr>
    </w:p>
    <w:p w:rsidR="00BC3CF0" w:rsidRDefault="00BC3CF0" w:rsidP="002333D1">
      <w:pPr>
        <w:rPr>
          <w:lang w:val="en-US"/>
        </w:rPr>
      </w:pPr>
    </w:p>
    <w:p w:rsidR="00BC3CF0" w:rsidRDefault="00BC3CF0" w:rsidP="002333D1">
      <w:pPr>
        <w:rPr>
          <w:lang w:val="en-US"/>
        </w:rPr>
      </w:pPr>
    </w:p>
    <w:p w:rsidR="00BC3CF0" w:rsidRDefault="00BC3CF0" w:rsidP="002333D1">
      <w:pPr>
        <w:rPr>
          <w:lang w:val="en-US"/>
        </w:rPr>
      </w:pPr>
    </w:p>
    <w:p w:rsidR="00BC3CF0" w:rsidRDefault="00BC3CF0" w:rsidP="002333D1">
      <w:pPr>
        <w:rPr>
          <w:lang w:val="en-US"/>
        </w:rPr>
      </w:pPr>
    </w:p>
    <w:p w:rsidR="00BC3CF0" w:rsidRDefault="00BC3CF0" w:rsidP="002333D1">
      <w:pPr>
        <w:rPr>
          <w:lang w:val="en-US"/>
        </w:rPr>
      </w:pPr>
    </w:p>
    <w:p w:rsidR="00BC3CF0" w:rsidRDefault="00BC3CF0" w:rsidP="002333D1">
      <w:pPr>
        <w:rPr>
          <w:lang w:val="en-US"/>
        </w:rPr>
      </w:pPr>
    </w:p>
    <w:p w:rsidR="00BC3CF0" w:rsidRDefault="00BC3CF0" w:rsidP="002333D1">
      <w:pPr>
        <w:rPr>
          <w:lang w:val="en-US"/>
        </w:rPr>
      </w:pPr>
    </w:p>
    <w:p w:rsidR="00A109E7" w:rsidRDefault="00A109E7">
      <w:pPr>
        <w:spacing w:line="259" w:lineRule="auto"/>
        <w:rPr>
          <w:lang w:val="en-US"/>
        </w:rPr>
      </w:pPr>
      <w:r>
        <w:rPr>
          <w:lang w:val="en-US"/>
        </w:rPr>
        <w:br w:type="page"/>
      </w:r>
    </w:p>
    <w:tbl>
      <w:tblPr>
        <w:tblStyle w:val="PlainTable1"/>
        <w:tblW w:w="10201" w:type="dxa"/>
        <w:tblInd w:w="-568" w:type="dxa"/>
        <w:tblLayout w:type="fixed"/>
        <w:tblLook w:val="04A0" w:firstRow="1" w:lastRow="0" w:firstColumn="1" w:lastColumn="0" w:noHBand="0" w:noVBand="1"/>
      </w:tblPr>
      <w:tblGrid>
        <w:gridCol w:w="3515"/>
        <w:gridCol w:w="742"/>
        <w:gridCol w:w="743"/>
        <w:gridCol w:w="743"/>
        <w:gridCol w:w="743"/>
        <w:gridCol w:w="743"/>
        <w:gridCol w:w="743"/>
        <w:gridCol w:w="743"/>
        <w:gridCol w:w="743"/>
        <w:gridCol w:w="743"/>
      </w:tblGrid>
      <w:tr w:rsidR="006B7B6C" w:rsidRPr="002333D1" w:rsidTr="00BC3CF0">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135651" w:rsidRPr="002F133B" w:rsidRDefault="00135651" w:rsidP="002333D1">
            <w:pPr>
              <w:rPr>
                <w:b w:val="0"/>
                <w:lang w:val="en-US"/>
              </w:rPr>
            </w:pPr>
          </w:p>
        </w:tc>
        <w:tc>
          <w:tcPr>
            <w:tcW w:w="742"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2</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3</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4</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5</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6</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7</w:t>
            </w:r>
          </w:p>
        </w:tc>
        <w:tc>
          <w:tcPr>
            <w:tcW w:w="743" w:type="dxa"/>
            <w:noWrap/>
            <w:hideMark/>
          </w:tcPr>
          <w:p w:rsidR="00135651" w:rsidRPr="002F133B" w:rsidRDefault="000B67A7">
            <w:pPr>
              <w:cnfStyle w:val="100000000000" w:firstRow="1" w:lastRow="0" w:firstColumn="0" w:lastColumn="0" w:oddVBand="0" w:evenVBand="0" w:oddHBand="0" w:evenHBand="0" w:firstRowFirstColumn="0" w:firstRowLastColumn="0" w:lastRowFirstColumn="0" w:lastRowLastColumn="0"/>
              <w:rPr>
                <w:b w:val="0"/>
              </w:rPr>
            </w:pPr>
            <w:r>
              <w:rPr>
                <w:b w:val="0"/>
              </w:rPr>
              <w:t>8</w:t>
            </w:r>
          </w:p>
        </w:tc>
        <w:tc>
          <w:tcPr>
            <w:tcW w:w="743" w:type="dxa"/>
            <w:noWrap/>
            <w:hideMark/>
          </w:tcPr>
          <w:p w:rsidR="00135651" w:rsidRPr="0025062A" w:rsidRDefault="00135651">
            <w:pPr>
              <w:cnfStyle w:val="100000000000" w:firstRow="1" w:lastRow="0" w:firstColumn="0" w:lastColumn="0" w:oddVBand="0" w:evenVBand="0" w:oddHBand="0" w:evenHBand="0" w:firstRowFirstColumn="0" w:firstRowLastColumn="0" w:lastRowFirstColumn="0" w:lastRowLastColumn="0"/>
              <w:rPr>
                <w:b w:val="0"/>
                <w:i/>
              </w:rPr>
            </w:pPr>
            <w:r w:rsidRPr="0025062A">
              <w:rPr>
                <w:b w:val="0"/>
                <w:i/>
              </w:rPr>
              <w:t>M</w:t>
            </w:r>
          </w:p>
        </w:tc>
        <w:tc>
          <w:tcPr>
            <w:tcW w:w="743" w:type="dxa"/>
            <w:noWrap/>
            <w:hideMark/>
          </w:tcPr>
          <w:p w:rsidR="00135651" w:rsidRPr="0025062A" w:rsidRDefault="00135651">
            <w:pPr>
              <w:cnfStyle w:val="100000000000" w:firstRow="1" w:lastRow="0" w:firstColumn="0" w:lastColumn="0" w:oddVBand="0" w:evenVBand="0" w:oddHBand="0" w:evenHBand="0" w:firstRowFirstColumn="0" w:firstRowLastColumn="0" w:lastRowFirstColumn="0" w:lastRowLastColumn="0"/>
              <w:rPr>
                <w:b w:val="0"/>
                <w:i/>
              </w:rPr>
            </w:pPr>
            <w:r w:rsidRPr="0025062A">
              <w:rPr>
                <w:b w:val="0"/>
                <w:i/>
              </w:rPr>
              <w:t>SD</w:t>
            </w:r>
          </w:p>
        </w:tc>
      </w:tr>
      <w:tr w:rsidR="006B7B6C" w:rsidRPr="009428E5" w:rsidTr="00BC3CF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1. </w:t>
            </w:r>
            <w:proofErr w:type="spellStart"/>
            <w:r w:rsidRPr="009428E5">
              <w:rPr>
                <w:b w:val="0"/>
                <w:lang w:val="en-US"/>
              </w:rPr>
              <w:t>EEfRT</w:t>
            </w:r>
            <w:proofErr w:type="spellEnd"/>
            <w:r w:rsidRPr="009428E5">
              <w:rPr>
                <w:b w:val="0"/>
                <w:lang w:val="en-US"/>
              </w:rPr>
              <w:t xml:space="preserve"> hard choices all trials</w:t>
            </w:r>
          </w:p>
        </w:tc>
        <w:tc>
          <w:tcPr>
            <w:tcW w:w="742"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.74**</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.91**</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.81**</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.09</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.14</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.15</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.39*</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0.49</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0.19</w:t>
            </w:r>
          </w:p>
        </w:tc>
      </w:tr>
      <w:tr w:rsidR="006B7B6C" w:rsidRPr="009428E5" w:rsidTr="00BC3CF0">
        <w:trPr>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2. </w:t>
            </w:r>
            <w:proofErr w:type="spellStart"/>
            <w:r w:rsidRPr="009428E5">
              <w:rPr>
                <w:b w:val="0"/>
                <w:lang w:val="en-US"/>
              </w:rPr>
              <w:t>EEfRT</w:t>
            </w:r>
            <w:proofErr w:type="spellEnd"/>
            <w:r w:rsidRPr="009428E5">
              <w:rPr>
                <w:b w:val="0"/>
                <w:lang w:val="en-US"/>
              </w:rPr>
              <w:t xml:space="preserve"> hard choices low prob. </w:t>
            </w:r>
          </w:p>
        </w:tc>
        <w:tc>
          <w:tcPr>
            <w:tcW w:w="742" w:type="dxa"/>
            <w:noWrap/>
          </w:tcPr>
          <w:p w:rsidR="009428E5" w:rsidRPr="00135651"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.54**</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.34*</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.22</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-.13</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.07</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0.19</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0.23</w:t>
            </w:r>
          </w:p>
        </w:tc>
      </w:tr>
      <w:tr w:rsidR="006B7B6C" w:rsidRPr="009428E5" w:rsidTr="00BC3CF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3. </w:t>
            </w:r>
            <w:proofErr w:type="spellStart"/>
            <w:r w:rsidRPr="009428E5">
              <w:rPr>
                <w:b w:val="0"/>
                <w:lang w:val="en-US"/>
              </w:rPr>
              <w:t>EEfRT</w:t>
            </w:r>
            <w:proofErr w:type="spellEnd"/>
            <w:r w:rsidRPr="009428E5">
              <w:rPr>
                <w:b w:val="0"/>
                <w:lang w:val="en-US"/>
              </w:rPr>
              <w:t xml:space="preserve"> hard choices medium prob. </w:t>
            </w:r>
          </w:p>
        </w:tc>
        <w:tc>
          <w:tcPr>
            <w:tcW w:w="742" w:type="dxa"/>
            <w:noWrap/>
          </w:tcPr>
          <w:p w:rsidR="009428E5" w:rsidRPr="00135651"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135651"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.68**</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.15</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.16</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.21</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.47**</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0.54</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0.26</w:t>
            </w:r>
          </w:p>
        </w:tc>
      </w:tr>
      <w:tr w:rsidR="006B7B6C" w:rsidRPr="009428E5" w:rsidTr="00BC3CF0">
        <w:trPr>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4. </w:t>
            </w:r>
            <w:proofErr w:type="spellStart"/>
            <w:r w:rsidRPr="009428E5">
              <w:rPr>
                <w:b w:val="0"/>
                <w:lang w:val="en-US"/>
              </w:rPr>
              <w:t>EEfRT</w:t>
            </w:r>
            <w:proofErr w:type="spellEnd"/>
            <w:r w:rsidRPr="009428E5">
              <w:rPr>
                <w:b w:val="0"/>
                <w:lang w:val="en-US"/>
              </w:rPr>
              <w:t xml:space="preserve"> hard choices high prob. </w:t>
            </w:r>
          </w:p>
        </w:tc>
        <w:tc>
          <w:tcPr>
            <w:tcW w:w="742" w:type="dxa"/>
            <w:noWrap/>
          </w:tcPr>
          <w:p w:rsidR="009428E5" w:rsidRPr="00135651"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135651"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135651"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-.12</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.13</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.29</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.37*</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0.74</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0.22</w:t>
            </w:r>
          </w:p>
        </w:tc>
      </w:tr>
      <w:tr w:rsidR="006B7B6C" w:rsidRPr="002333D1" w:rsidTr="00BC3CF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5. </w:t>
            </w:r>
            <w:r w:rsidRPr="009428E5">
              <w:rPr>
                <w:b w:val="0"/>
                <w:lang w:val="en-US"/>
              </w:rPr>
              <w:t xml:space="preserve">2ABT Learning rate </w:t>
            </w:r>
            <w:r w:rsidRPr="009428E5">
              <w:rPr>
                <w:rFonts w:ascii="Times New Roman" w:hAnsi="Times New Roman" w:cs="Times New Roman"/>
                <w:b w:val="0"/>
              </w:rPr>
              <w:t>α</w:t>
            </w:r>
          </w:p>
        </w:tc>
        <w:tc>
          <w:tcPr>
            <w:tcW w:w="742"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hideMark/>
          </w:tcPr>
          <w:p w:rsidR="009428E5" w:rsidRPr="002F133B" w:rsidRDefault="009428E5" w:rsidP="009428E5">
            <w:pPr>
              <w:cnfStyle w:val="000000100000" w:firstRow="0" w:lastRow="0" w:firstColumn="0" w:lastColumn="0" w:oddVBand="0" w:evenVBand="0" w:oddHBand="1" w:evenHBand="0" w:firstRowFirstColumn="0" w:firstRowLastColumn="0" w:lastRowFirstColumn="0" w:lastRowLastColumn="0"/>
            </w:pPr>
            <w:r w:rsidRPr="002F133B">
              <w:t>-.3</w:t>
            </w:r>
            <w:r>
              <w:t>0</w:t>
            </w:r>
          </w:p>
        </w:tc>
        <w:tc>
          <w:tcPr>
            <w:tcW w:w="743" w:type="dxa"/>
            <w:noWrap/>
            <w:hideMark/>
          </w:tcPr>
          <w:p w:rsidR="009428E5" w:rsidRPr="002F133B" w:rsidRDefault="009428E5" w:rsidP="009428E5">
            <w:pPr>
              <w:cnfStyle w:val="000000100000" w:firstRow="0" w:lastRow="0" w:firstColumn="0" w:lastColumn="0" w:oddVBand="0" w:evenVBand="0" w:oddHBand="1" w:evenHBand="0" w:firstRowFirstColumn="0" w:firstRowLastColumn="0" w:lastRowFirstColumn="0" w:lastRowLastColumn="0"/>
            </w:pPr>
            <w:r w:rsidRPr="002F133B">
              <w:t>-.32</w:t>
            </w:r>
          </w:p>
        </w:tc>
        <w:tc>
          <w:tcPr>
            <w:tcW w:w="743" w:type="dxa"/>
            <w:noWrap/>
            <w:hideMark/>
          </w:tcPr>
          <w:p w:rsidR="009428E5" w:rsidRPr="002F133B" w:rsidRDefault="009428E5" w:rsidP="009428E5">
            <w:pPr>
              <w:cnfStyle w:val="000000100000" w:firstRow="0" w:lastRow="0" w:firstColumn="0" w:lastColumn="0" w:oddVBand="0" w:evenVBand="0" w:oddHBand="1" w:evenHBand="0" w:firstRowFirstColumn="0" w:firstRowLastColumn="0" w:lastRowFirstColumn="0" w:lastRowLastColumn="0"/>
            </w:pPr>
            <w:r w:rsidRPr="002F133B">
              <w:t>-.01</w:t>
            </w:r>
          </w:p>
        </w:tc>
        <w:tc>
          <w:tcPr>
            <w:tcW w:w="743" w:type="dxa"/>
            <w:noWrap/>
            <w:hideMark/>
          </w:tcPr>
          <w:p w:rsidR="009428E5" w:rsidRPr="002F133B" w:rsidRDefault="009428E5" w:rsidP="009428E5">
            <w:pPr>
              <w:cnfStyle w:val="000000100000" w:firstRow="0" w:lastRow="0" w:firstColumn="0" w:lastColumn="0" w:oddVBand="0" w:evenVBand="0" w:oddHBand="1" w:evenHBand="0" w:firstRowFirstColumn="0" w:firstRowLastColumn="0" w:lastRowFirstColumn="0" w:lastRowLastColumn="0"/>
            </w:pPr>
            <w:r w:rsidRPr="002F133B">
              <w:t>0.57</w:t>
            </w:r>
          </w:p>
        </w:tc>
        <w:tc>
          <w:tcPr>
            <w:tcW w:w="743" w:type="dxa"/>
            <w:noWrap/>
            <w:hideMark/>
          </w:tcPr>
          <w:p w:rsidR="009428E5" w:rsidRPr="002F133B" w:rsidRDefault="009428E5" w:rsidP="009428E5">
            <w:pPr>
              <w:cnfStyle w:val="000000100000" w:firstRow="0" w:lastRow="0" w:firstColumn="0" w:lastColumn="0" w:oddVBand="0" w:evenVBand="0" w:oddHBand="1" w:evenHBand="0" w:firstRowFirstColumn="0" w:firstRowLastColumn="0" w:lastRowFirstColumn="0" w:lastRowLastColumn="0"/>
            </w:pPr>
            <w:r w:rsidRPr="002F133B">
              <w:t>0.32</w:t>
            </w:r>
          </w:p>
        </w:tc>
      </w:tr>
      <w:tr w:rsidR="006B7B6C" w:rsidRPr="009428E5" w:rsidTr="00BC3CF0">
        <w:trPr>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sidRPr="009428E5">
              <w:rPr>
                <w:b w:val="0"/>
                <w:lang w:val="en-US"/>
              </w:rPr>
              <w:t xml:space="preserve">6. 2ABT Inverse temperature </w:t>
            </w:r>
            <w:r w:rsidRPr="009428E5">
              <w:rPr>
                <w:rFonts w:cs="Arial"/>
                <w:b w:val="0"/>
              </w:rPr>
              <w:t>τ</w:t>
            </w:r>
          </w:p>
        </w:tc>
        <w:tc>
          <w:tcPr>
            <w:tcW w:w="742"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.33</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.16</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2.51</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1.46</w:t>
            </w:r>
          </w:p>
        </w:tc>
      </w:tr>
      <w:tr w:rsidR="006B7B6C" w:rsidRPr="009428E5" w:rsidTr="00BC3CF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7. </w:t>
            </w:r>
            <w:r w:rsidRPr="009428E5">
              <w:rPr>
                <w:b w:val="0"/>
                <w:lang w:val="en-US"/>
              </w:rPr>
              <w:t>2ABT “win” feedback</w:t>
            </w:r>
          </w:p>
        </w:tc>
        <w:tc>
          <w:tcPr>
            <w:tcW w:w="742"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.19</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0.57</w:t>
            </w:r>
          </w:p>
        </w:tc>
        <w:tc>
          <w:tcPr>
            <w:tcW w:w="743" w:type="dxa"/>
            <w:noWrap/>
            <w:hideMark/>
          </w:tcPr>
          <w:p w:rsidR="009428E5" w:rsidRPr="009428E5" w:rsidRDefault="009428E5" w:rsidP="009428E5">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0.07</w:t>
            </w:r>
          </w:p>
        </w:tc>
      </w:tr>
      <w:tr w:rsidR="006B7B6C" w:rsidRPr="009428E5" w:rsidTr="00BC3CF0">
        <w:trPr>
          <w:trHeight w:val="333"/>
        </w:trPr>
        <w:tc>
          <w:tcPr>
            <w:cnfStyle w:val="001000000000" w:firstRow="0" w:lastRow="0" w:firstColumn="1" w:lastColumn="0" w:oddVBand="0" w:evenVBand="0" w:oddHBand="0" w:evenHBand="0" w:firstRowFirstColumn="0" w:firstRowLastColumn="0" w:lastRowFirstColumn="0" w:lastRowLastColumn="0"/>
            <w:tcW w:w="3515" w:type="dxa"/>
            <w:noWrap/>
            <w:hideMark/>
          </w:tcPr>
          <w:p w:rsidR="009428E5" w:rsidRPr="009428E5" w:rsidRDefault="009428E5" w:rsidP="009428E5">
            <w:pPr>
              <w:rPr>
                <w:b w:val="0"/>
                <w:lang w:val="en-US"/>
              </w:rPr>
            </w:pPr>
            <w:r>
              <w:rPr>
                <w:b w:val="0"/>
                <w:lang w:val="en-US"/>
              </w:rPr>
              <w:t xml:space="preserve">8. </w:t>
            </w:r>
            <w:r w:rsidRPr="009428E5">
              <w:rPr>
                <w:b w:val="0"/>
                <w:lang w:val="en-US"/>
              </w:rPr>
              <w:t>BART Adjusted score</w:t>
            </w:r>
          </w:p>
        </w:tc>
        <w:tc>
          <w:tcPr>
            <w:tcW w:w="742"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35.4</w:t>
            </w:r>
          </w:p>
        </w:tc>
        <w:tc>
          <w:tcPr>
            <w:tcW w:w="743" w:type="dxa"/>
            <w:noWrap/>
            <w:hideMark/>
          </w:tcPr>
          <w:p w:rsidR="009428E5" w:rsidRPr="009428E5" w:rsidRDefault="009428E5" w:rsidP="009428E5">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14.2</w:t>
            </w:r>
          </w:p>
        </w:tc>
      </w:tr>
    </w:tbl>
    <w:p w:rsidR="003B2681" w:rsidRDefault="003B2681" w:rsidP="002333D1">
      <w:pPr>
        <w:rPr>
          <w:lang w:val="en-US"/>
        </w:rPr>
      </w:pPr>
    </w:p>
    <w:p w:rsidR="00955D2D" w:rsidRDefault="00AF0650" w:rsidP="00955D2D">
      <w:pPr>
        <w:rPr>
          <w:lang w:val="en-US"/>
        </w:rPr>
      </w:pPr>
      <w:r w:rsidRPr="00B86ED3">
        <w:rPr>
          <w:b/>
          <w:lang w:val="en-US"/>
        </w:rPr>
        <w:t>Supplementary Table S1.</w:t>
      </w:r>
      <w:r>
        <w:rPr>
          <w:lang w:val="en-US"/>
        </w:rPr>
        <w:t xml:space="preserve"> </w:t>
      </w:r>
      <w:r w:rsidR="004C6D6A">
        <w:rPr>
          <w:lang w:val="en-US"/>
        </w:rPr>
        <w:t>Correlations between the main indices of task behavior, for bright light sessions.</w:t>
      </w:r>
      <w:r w:rsidR="00955D2D">
        <w:rPr>
          <w:lang w:val="en-US"/>
        </w:rPr>
        <w:t xml:space="preserve"> The rightmost two columns contain the mean and the standard deviation for that row.</w:t>
      </w:r>
    </w:p>
    <w:p w:rsidR="002333D1" w:rsidRDefault="002333D1" w:rsidP="002333D1">
      <w:pPr>
        <w:rPr>
          <w:lang w:val="en-US"/>
        </w:rPr>
      </w:pPr>
    </w:p>
    <w:p w:rsidR="00A109E7" w:rsidRDefault="00A109E7" w:rsidP="002333D1">
      <w:pPr>
        <w:rPr>
          <w:lang w:val="en-US"/>
        </w:rPr>
      </w:pPr>
    </w:p>
    <w:p w:rsidR="00A109E7" w:rsidRDefault="00A109E7" w:rsidP="002333D1">
      <w:pPr>
        <w:rPr>
          <w:lang w:val="en-US"/>
        </w:rPr>
      </w:pPr>
    </w:p>
    <w:p w:rsidR="00BC3CF0" w:rsidRDefault="00BC3CF0" w:rsidP="002333D1">
      <w:pPr>
        <w:rPr>
          <w:lang w:val="en-US"/>
        </w:rPr>
      </w:pPr>
    </w:p>
    <w:tbl>
      <w:tblPr>
        <w:tblStyle w:val="PlainTable1"/>
        <w:tblpPr w:leftFromText="141" w:rightFromText="141" w:vertAnchor="text" w:horzAnchor="margin" w:tblpXSpec="center" w:tblpY="-160"/>
        <w:tblW w:w="10148" w:type="dxa"/>
        <w:tblLayout w:type="fixed"/>
        <w:tblLook w:val="04A0" w:firstRow="1" w:lastRow="0" w:firstColumn="1" w:lastColumn="0" w:noHBand="0" w:noVBand="1"/>
      </w:tblPr>
      <w:tblGrid>
        <w:gridCol w:w="3515"/>
        <w:gridCol w:w="737"/>
        <w:gridCol w:w="737"/>
        <w:gridCol w:w="737"/>
        <w:gridCol w:w="737"/>
        <w:gridCol w:w="737"/>
        <w:gridCol w:w="737"/>
        <w:gridCol w:w="737"/>
        <w:gridCol w:w="737"/>
        <w:gridCol w:w="737"/>
      </w:tblGrid>
      <w:tr w:rsidR="00BC3CF0" w:rsidRPr="00AF0650" w:rsidTr="00BC3CF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5" w:type="dxa"/>
            <w:noWrap/>
            <w:hideMark/>
          </w:tcPr>
          <w:p w:rsidR="00BC3CF0" w:rsidRPr="009428E5" w:rsidRDefault="00BC3CF0" w:rsidP="00BC3CF0">
            <w:pPr>
              <w:rPr>
                <w:b w:val="0"/>
                <w:lang w:val="en-US"/>
              </w:rPr>
            </w:pP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2</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3</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4</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5</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6</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7</w:t>
            </w:r>
          </w:p>
        </w:tc>
        <w:tc>
          <w:tcPr>
            <w:tcW w:w="737" w:type="dxa"/>
            <w:noWrap/>
            <w:hideMark/>
          </w:tcPr>
          <w:p w:rsidR="00BC3CF0" w:rsidRPr="002F133B" w:rsidRDefault="00BC3CF0" w:rsidP="00BC3CF0">
            <w:pPr>
              <w:cnfStyle w:val="100000000000" w:firstRow="1" w:lastRow="0" w:firstColumn="0" w:lastColumn="0" w:oddVBand="0" w:evenVBand="0" w:oddHBand="0" w:evenHBand="0" w:firstRowFirstColumn="0" w:firstRowLastColumn="0" w:lastRowFirstColumn="0" w:lastRowLastColumn="0"/>
              <w:rPr>
                <w:b w:val="0"/>
              </w:rPr>
            </w:pPr>
            <w:r>
              <w:rPr>
                <w:b w:val="0"/>
              </w:rPr>
              <w:t>8</w:t>
            </w:r>
          </w:p>
        </w:tc>
        <w:tc>
          <w:tcPr>
            <w:tcW w:w="737" w:type="dxa"/>
            <w:noWrap/>
            <w:hideMark/>
          </w:tcPr>
          <w:p w:rsidR="00BC3CF0" w:rsidRPr="0025062A" w:rsidRDefault="00BC3CF0" w:rsidP="00BC3CF0">
            <w:pPr>
              <w:cnfStyle w:val="100000000000" w:firstRow="1" w:lastRow="0" w:firstColumn="0" w:lastColumn="0" w:oddVBand="0" w:evenVBand="0" w:oddHBand="0" w:evenHBand="0" w:firstRowFirstColumn="0" w:firstRowLastColumn="0" w:lastRowFirstColumn="0" w:lastRowLastColumn="0"/>
              <w:rPr>
                <w:b w:val="0"/>
                <w:i/>
              </w:rPr>
            </w:pPr>
            <w:r w:rsidRPr="0025062A">
              <w:rPr>
                <w:b w:val="0"/>
                <w:i/>
              </w:rPr>
              <w:t>M</w:t>
            </w:r>
          </w:p>
        </w:tc>
        <w:tc>
          <w:tcPr>
            <w:tcW w:w="737" w:type="dxa"/>
            <w:noWrap/>
            <w:hideMark/>
          </w:tcPr>
          <w:p w:rsidR="00BC3CF0" w:rsidRPr="0025062A" w:rsidRDefault="00BC3CF0" w:rsidP="00BC3CF0">
            <w:pPr>
              <w:cnfStyle w:val="100000000000" w:firstRow="1" w:lastRow="0" w:firstColumn="0" w:lastColumn="0" w:oddVBand="0" w:evenVBand="0" w:oddHBand="0" w:evenHBand="0" w:firstRowFirstColumn="0" w:firstRowLastColumn="0" w:lastRowFirstColumn="0" w:lastRowLastColumn="0"/>
              <w:rPr>
                <w:b w:val="0"/>
                <w:i/>
              </w:rPr>
            </w:pPr>
            <w:r w:rsidRPr="0025062A">
              <w:rPr>
                <w:b w:val="0"/>
                <w:i/>
              </w:rPr>
              <w:t>SD</w:t>
            </w:r>
          </w:p>
        </w:tc>
      </w:tr>
      <w:tr w:rsidR="00BC3CF0" w:rsidRPr="00AF0650" w:rsidTr="00BC3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1. </w:t>
            </w:r>
            <w:proofErr w:type="spellStart"/>
            <w:r w:rsidRPr="009428E5">
              <w:rPr>
                <w:b w:val="0"/>
                <w:lang w:val="en-US"/>
              </w:rPr>
              <w:t>EEfRT</w:t>
            </w:r>
            <w:proofErr w:type="spellEnd"/>
            <w:r w:rsidRPr="009428E5">
              <w:rPr>
                <w:b w:val="0"/>
                <w:lang w:val="en-US"/>
              </w:rPr>
              <w:t xml:space="preserve"> hard choices all trials</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.77**</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.94**</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.87**</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.09</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.1</w:t>
            </w:r>
            <w:r>
              <w:t>0</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.08</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.16</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0.51</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0.26</w:t>
            </w:r>
          </w:p>
        </w:tc>
      </w:tr>
      <w:tr w:rsidR="00BC3CF0" w:rsidRPr="009428E5" w:rsidTr="00BC3CF0">
        <w:trPr>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2. </w:t>
            </w:r>
            <w:proofErr w:type="spellStart"/>
            <w:r w:rsidRPr="009428E5">
              <w:rPr>
                <w:b w:val="0"/>
                <w:lang w:val="en-US"/>
              </w:rPr>
              <w:t>EEfRT</w:t>
            </w:r>
            <w:proofErr w:type="spellEnd"/>
            <w:r w:rsidRPr="009428E5">
              <w:rPr>
                <w:b w:val="0"/>
                <w:lang w:val="en-US"/>
              </w:rPr>
              <w:t xml:space="preserve"> hard choices low prob. </w:t>
            </w: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.62**</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.44**</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9428E5">
              <w:rPr>
                <w:lang w:val="en-US"/>
              </w:rPr>
              <w:t>.09</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.21</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.13</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0.23</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r w:rsidRPr="009428E5">
              <w:rPr>
                <w:lang w:val="en-US"/>
              </w:rPr>
              <w:t>0.29</w:t>
            </w:r>
          </w:p>
        </w:tc>
      </w:tr>
      <w:tr w:rsidR="00BC3CF0" w:rsidRPr="009428E5" w:rsidTr="00BC3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3. </w:t>
            </w:r>
            <w:proofErr w:type="spellStart"/>
            <w:r w:rsidRPr="009428E5">
              <w:rPr>
                <w:b w:val="0"/>
                <w:lang w:val="en-US"/>
              </w:rPr>
              <w:t>EEfRT</w:t>
            </w:r>
            <w:proofErr w:type="spellEnd"/>
            <w:r w:rsidRPr="009428E5">
              <w:rPr>
                <w:b w:val="0"/>
                <w:lang w:val="en-US"/>
              </w:rPr>
              <w:t xml:space="preserve"> hard choices medium prob. </w:t>
            </w: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.81**</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.17</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9428E5">
              <w:rPr>
                <w:lang w:val="en-US"/>
              </w:rPr>
              <w:t>.02</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-.04</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.17</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0.55</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rPr>
                <w:lang w:val="en-US"/>
              </w:rPr>
            </w:pPr>
            <w:r w:rsidRPr="009428E5">
              <w:rPr>
                <w:lang w:val="en-US"/>
              </w:rPr>
              <w:t>0.31</w:t>
            </w:r>
          </w:p>
        </w:tc>
      </w:tr>
      <w:tr w:rsidR="00BC3CF0" w:rsidRPr="00AF0650" w:rsidTr="00BC3CF0">
        <w:trPr>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4. </w:t>
            </w:r>
            <w:proofErr w:type="spellStart"/>
            <w:r w:rsidRPr="009428E5">
              <w:rPr>
                <w:b w:val="0"/>
                <w:lang w:val="en-US"/>
              </w:rPr>
              <w:t>EEfRT</w:t>
            </w:r>
            <w:proofErr w:type="spellEnd"/>
            <w:r w:rsidRPr="009428E5">
              <w:rPr>
                <w:b w:val="0"/>
                <w:lang w:val="en-US"/>
              </w:rPr>
              <w:t xml:space="preserve"> hard choices high prob. </w:t>
            </w: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rPr>
                <w:lang w:val="en-US"/>
              </w:rPr>
            </w:pP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.17</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.03</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.12</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.21</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0.75</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0.28</w:t>
            </w:r>
          </w:p>
        </w:tc>
      </w:tr>
      <w:tr w:rsidR="00BC3CF0" w:rsidRPr="00AF0650" w:rsidTr="00BC3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5. </w:t>
            </w:r>
            <w:r w:rsidRPr="009428E5">
              <w:rPr>
                <w:b w:val="0"/>
                <w:lang w:val="en-US"/>
              </w:rPr>
              <w:t xml:space="preserve">2ABT Learning rate </w:t>
            </w:r>
            <w:r w:rsidRPr="009428E5">
              <w:rPr>
                <w:rFonts w:ascii="Times New Roman" w:hAnsi="Times New Roman" w:cs="Times New Roman"/>
                <w:b w:val="0"/>
              </w:rPr>
              <w:t>α</w:t>
            </w: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-.58**</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-.24</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-.03</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0.59</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0.31</w:t>
            </w:r>
          </w:p>
        </w:tc>
      </w:tr>
      <w:tr w:rsidR="00BC3CF0" w:rsidRPr="00AF0650" w:rsidTr="00BC3CF0">
        <w:trPr>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sidRPr="009428E5">
              <w:rPr>
                <w:b w:val="0"/>
                <w:lang w:val="en-US"/>
              </w:rPr>
              <w:t xml:space="preserve">6. 2ABT Inverse temperature </w:t>
            </w:r>
            <w:r w:rsidRPr="009428E5">
              <w:rPr>
                <w:rFonts w:cs="Arial"/>
                <w:b w:val="0"/>
              </w:rPr>
              <w:t>τ</w:t>
            </w: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.2</w:t>
            </w:r>
            <w:r>
              <w:t>9</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.02</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2.51</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rsidRPr="009428E5">
              <w:t>1.66</w:t>
            </w:r>
          </w:p>
        </w:tc>
      </w:tr>
      <w:tr w:rsidR="00BC3CF0" w:rsidRPr="00AF0650" w:rsidTr="00BC3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7. </w:t>
            </w:r>
            <w:r w:rsidRPr="009428E5">
              <w:rPr>
                <w:b w:val="0"/>
                <w:lang w:val="en-US"/>
              </w:rPr>
              <w:t>2ABT “win” feedback</w:t>
            </w: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-.29</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0.57</w:t>
            </w:r>
          </w:p>
        </w:tc>
        <w:tc>
          <w:tcPr>
            <w:tcW w:w="737" w:type="dxa"/>
            <w:noWrap/>
            <w:hideMark/>
          </w:tcPr>
          <w:p w:rsidR="00BC3CF0" w:rsidRPr="009428E5" w:rsidRDefault="00BC3CF0" w:rsidP="00BC3CF0">
            <w:pPr>
              <w:cnfStyle w:val="000000100000" w:firstRow="0" w:lastRow="0" w:firstColumn="0" w:lastColumn="0" w:oddVBand="0" w:evenVBand="0" w:oddHBand="1" w:evenHBand="0" w:firstRowFirstColumn="0" w:firstRowLastColumn="0" w:lastRowFirstColumn="0" w:lastRowLastColumn="0"/>
            </w:pPr>
            <w:r w:rsidRPr="009428E5">
              <w:t>0.06</w:t>
            </w:r>
          </w:p>
        </w:tc>
      </w:tr>
      <w:tr w:rsidR="00BC3CF0" w:rsidRPr="00AF0650" w:rsidTr="00BC3CF0">
        <w:trPr>
          <w:trHeight w:val="340"/>
        </w:trPr>
        <w:tc>
          <w:tcPr>
            <w:cnfStyle w:val="001000000000" w:firstRow="0" w:lastRow="0" w:firstColumn="1" w:lastColumn="0" w:oddVBand="0" w:evenVBand="0" w:oddHBand="0" w:evenHBand="0" w:firstRowFirstColumn="0" w:firstRowLastColumn="0" w:lastRowFirstColumn="0" w:lastRowLastColumn="0"/>
            <w:tcW w:w="3515" w:type="dxa"/>
            <w:noWrap/>
          </w:tcPr>
          <w:p w:rsidR="00BC3CF0" w:rsidRPr="009428E5" w:rsidRDefault="00BC3CF0" w:rsidP="00BC3CF0">
            <w:pPr>
              <w:rPr>
                <w:b w:val="0"/>
                <w:lang w:val="en-US"/>
              </w:rPr>
            </w:pPr>
            <w:r>
              <w:rPr>
                <w:b w:val="0"/>
                <w:lang w:val="en-US"/>
              </w:rPr>
              <w:t xml:space="preserve">8. </w:t>
            </w:r>
            <w:r w:rsidRPr="009428E5">
              <w:rPr>
                <w:b w:val="0"/>
                <w:lang w:val="en-US"/>
              </w:rPr>
              <w:t>BART Adjusted score</w:t>
            </w: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t>36.</w:t>
            </w:r>
            <w:r w:rsidRPr="009428E5">
              <w:t>4</w:t>
            </w:r>
          </w:p>
        </w:tc>
        <w:tc>
          <w:tcPr>
            <w:tcW w:w="737" w:type="dxa"/>
            <w:noWrap/>
            <w:hideMark/>
          </w:tcPr>
          <w:p w:rsidR="00BC3CF0" w:rsidRPr="009428E5" w:rsidRDefault="00BC3CF0" w:rsidP="00BC3CF0">
            <w:pPr>
              <w:cnfStyle w:val="000000000000" w:firstRow="0" w:lastRow="0" w:firstColumn="0" w:lastColumn="0" w:oddVBand="0" w:evenVBand="0" w:oddHBand="0" w:evenHBand="0" w:firstRowFirstColumn="0" w:firstRowLastColumn="0" w:lastRowFirstColumn="0" w:lastRowLastColumn="0"/>
            </w:pPr>
            <w:r>
              <w:t>16.9</w:t>
            </w:r>
          </w:p>
        </w:tc>
      </w:tr>
    </w:tbl>
    <w:p w:rsidR="00BC3CF0" w:rsidRDefault="00BC3CF0" w:rsidP="00AF0650">
      <w:pPr>
        <w:rPr>
          <w:lang w:val="en-US"/>
        </w:rPr>
      </w:pPr>
    </w:p>
    <w:p w:rsidR="004C6D6A" w:rsidRDefault="00AF0650" w:rsidP="004C6D6A">
      <w:pPr>
        <w:rPr>
          <w:lang w:val="en-US"/>
        </w:rPr>
      </w:pPr>
      <w:r w:rsidRPr="00955D2D">
        <w:rPr>
          <w:b/>
          <w:lang w:val="en-US"/>
        </w:rPr>
        <w:t>Supplementary Table S</w:t>
      </w:r>
      <w:r w:rsidR="00552E75" w:rsidRPr="00955D2D">
        <w:rPr>
          <w:b/>
          <w:lang w:val="en-US"/>
        </w:rPr>
        <w:t>2</w:t>
      </w:r>
      <w:r w:rsidRPr="00955D2D">
        <w:rPr>
          <w:b/>
          <w:lang w:val="en-US"/>
        </w:rPr>
        <w:t>.</w:t>
      </w:r>
      <w:r>
        <w:rPr>
          <w:lang w:val="en-US"/>
        </w:rPr>
        <w:t xml:space="preserve"> </w:t>
      </w:r>
      <w:r w:rsidR="004C6D6A">
        <w:rPr>
          <w:lang w:val="en-US"/>
        </w:rPr>
        <w:t>Correlations between the main indices of task behavior, for dim light sessions.</w:t>
      </w:r>
      <w:r w:rsidR="00955D2D">
        <w:rPr>
          <w:lang w:val="en-US"/>
        </w:rPr>
        <w:t xml:space="preserve"> The rightmost two columns contain the mean and the standard deviation for that row.</w:t>
      </w:r>
    </w:p>
    <w:p w:rsidR="00BC3CF0" w:rsidRDefault="00BC3CF0">
      <w:pPr>
        <w:spacing w:line="259" w:lineRule="auto"/>
        <w:rPr>
          <w:lang w:val="en-US"/>
        </w:rPr>
      </w:pPr>
      <w:r>
        <w:rPr>
          <w:lang w:val="en-US"/>
        </w:rPr>
        <w:br w:type="page"/>
      </w:r>
    </w:p>
    <w:tbl>
      <w:tblPr>
        <w:tblStyle w:val="PlainTable1"/>
        <w:tblW w:w="0" w:type="auto"/>
        <w:tblLook w:val="04A0" w:firstRow="1" w:lastRow="0" w:firstColumn="1" w:lastColumn="0" w:noHBand="0" w:noVBand="1"/>
      </w:tblPr>
      <w:tblGrid>
        <w:gridCol w:w="3061"/>
        <w:gridCol w:w="1120"/>
        <w:gridCol w:w="1000"/>
        <w:gridCol w:w="1120"/>
        <w:gridCol w:w="1120"/>
        <w:gridCol w:w="1000"/>
      </w:tblGrid>
      <w:tr w:rsidR="000B67A7" w:rsidRPr="00AF0650" w:rsidTr="000B67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4C6D6A" w:rsidRDefault="00AF0650" w:rsidP="00AF0650">
            <w:pPr>
              <w:rPr>
                <w:b w:val="0"/>
                <w:lang w:val="en-US"/>
              </w:rPr>
            </w:pPr>
          </w:p>
        </w:tc>
        <w:tc>
          <w:tcPr>
            <w:tcW w:w="1120" w:type="dxa"/>
            <w:noWrap/>
            <w:hideMark/>
          </w:tcPr>
          <w:p w:rsidR="00AF0650" w:rsidRPr="002F133B" w:rsidRDefault="00AF0650">
            <w:pPr>
              <w:cnfStyle w:val="100000000000" w:firstRow="1" w:lastRow="0" w:firstColumn="0" w:lastColumn="0" w:oddVBand="0" w:evenVBand="0" w:oddHBand="0" w:evenHBand="0" w:firstRowFirstColumn="0" w:firstRowLastColumn="0" w:lastRowFirstColumn="0" w:lastRowLastColumn="0"/>
              <w:rPr>
                <w:b w:val="0"/>
              </w:rPr>
            </w:pPr>
            <w:r w:rsidRPr="002F133B">
              <w:rPr>
                <w:b w:val="0"/>
              </w:rPr>
              <w:t>Estimate</w:t>
            </w:r>
          </w:p>
        </w:tc>
        <w:tc>
          <w:tcPr>
            <w:tcW w:w="1000" w:type="dxa"/>
            <w:noWrap/>
            <w:hideMark/>
          </w:tcPr>
          <w:p w:rsidR="00AF0650" w:rsidRPr="00D9064E" w:rsidRDefault="000B67A7">
            <w:pPr>
              <w:cnfStyle w:val="100000000000" w:firstRow="1" w:lastRow="0" w:firstColumn="0" w:lastColumn="0" w:oddVBand="0" w:evenVBand="0" w:oddHBand="0" w:evenHBand="0" w:firstRowFirstColumn="0" w:firstRowLastColumn="0" w:lastRowFirstColumn="0" w:lastRowLastColumn="0"/>
              <w:rPr>
                <w:b w:val="0"/>
                <w:i/>
              </w:rPr>
            </w:pPr>
            <w:r w:rsidRPr="00D9064E">
              <w:rPr>
                <w:b w:val="0"/>
                <w:i/>
              </w:rPr>
              <w:t>SE</w:t>
            </w:r>
          </w:p>
        </w:tc>
        <w:tc>
          <w:tcPr>
            <w:tcW w:w="1120" w:type="dxa"/>
            <w:noWrap/>
            <w:hideMark/>
          </w:tcPr>
          <w:p w:rsidR="00AF0650" w:rsidRPr="00D9064E" w:rsidRDefault="00AF0650">
            <w:pPr>
              <w:cnfStyle w:val="100000000000" w:firstRow="1" w:lastRow="0" w:firstColumn="0" w:lastColumn="0" w:oddVBand="0" w:evenVBand="0" w:oddHBand="0" w:evenHBand="0" w:firstRowFirstColumn="0" w:firstRowLastColumn="0" w:lastRowFirstColumn="0" w:lastRowLastColumn="0"/>
              <w:rPr>
                <w:b w:val="0"/>
                <w:i/>
              </w:rPr>
            </w:pPr>
            <w:r w:rsidRPr="00D9064E">
              <w:rPr>
                <w:b w:val="0"/>
                <w:i/>
              </w:rPr>
              <w:t>df</w:t>
            </w:r>
          </w:p>
        </w:tc>
        <w:tc>
          <w:tcPr>
            <w:tcW w:w="1120" w:type="dxa"/>
            <w:noWrap/>
            <w:hideMark/>
          </w:tcPr>
          <w:p w:rsidR="00AF0650" w:rsidRPr="00D9064E" w:rsidRDefault="000B67A7" w:rsidP="000B67A7">
            <w:pPr>
              <w:cnfStyle w:val="100000000000" w:firstRow="1" w:lastRow="0" w:firstColumn="0" w:lastColumn="0" w:oddVBand="0" w:evenVBand="0" w:oddHBand="0" w:evenHBand="0" w:firstRowFirstColumn="0" w:firstRowLastColumn="0" w:lastRowFirstColumn="0" w:lastRowLastColumn="0"/>
              <w:rPr>
                <w:b w:val="0"/>
                <w:i/>
              </w:rPr>
            </w:pPr>
            <w:r w:rsidRPr="00D9064E">
              <w:rPr>
                <w:b w:val="0"/>
                <w:i/>
              </w:rPr>
              <w:t>t</w:t>
            </w:r>
          </w:p>
        </w:tc>
        <w:tc>
          <w:tcPr>
            <w:tcW w:w="1000" w:type="dxa"/>
            <w:noWrap/>
            <w:hideMark/>
          </w:tcPr>
          <w:p w:rsidR="00AF0650" w:rsidRPr="00D9064E" w:rsidRDefault="003656AB">
            <w:pPr>
              <w:cnfStyle w:val="100000000000" w:firstRow="1" w:lastRow="0" w:firstColumn="0" w:lastColumn="0" w:oddVBand="0" w:evenVBand="0" w:oddHBand="0" w:evenHBand="0" w:firstRowFirstColumn="0" w:firstRowLastColumn="0" w:lastRowFirstColumn="0" w:lastRowLastColumn="0"/>
              <w:rPr>
                <w:b w:val="0"/>
                <w:i/>
              </w:rPr>
            </w:pPr>
            <w:r w:rsidRPr="00D9064E">
              <w:rPr>
                <w:b w:val="0"/>
                <w:i/>
              </w:rPr>
              <w:t>p</w:t>
            </w:r>
          </w:p>
        </w:tc>
      </w:tr>
      <w:tr w:rsidR="000B67A7" w:rsidRPr="000B67A7" w:rsidTr="000B6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690C57" w:rsidRDefault="000B67A7">
            <w:pPr>
              <w:rPr>
                <w:b w:val="0"/>
                <w:i/>
                <w:lang w:val="en-US"/>
              </w:rPr>
            </w:pPr>
            <w:r w:rsidRPr="00690C57">
              <w:rPr>
                <w:b w:val="0"/>
                <w:i/>
                <w:lang w:val="en-US"/>
              </w:rPr>
              <w:t xml:space="preserve">1. Inverse temperature </w:t>
            </w:r>
            <w:r w:rsidRPr="00690C57">
              <w:rPr>
                <w:rFonts w:cs="Arial"/>
                <w:b w:val="0"/>
                <w:i/>
              </w:rPr>
              <w:t>τ</w:t>
            </w:r>
          </w:p>
        </w:tc>
        <w:tc>
          <w:tcPr>
            <w:tcW w:w="1120" w:type="dxa"/>
            <w:noWrap/>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p>
        </w:tc>
        <w:tc>
          <w:tcPr>
            <w:tcW w:w="1000" w:type="dxa"/>
            <w:noWrap/>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p>
        </w:tc>
        <w:tc>
          <w:tcPr>
            <w:tcW w:w="1120" w:type="dxa"/>
            <w:noWrap/>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p>
        </w:tc>
        <w:tc>
          <w:tcPr>
            <w:tcW w:w="1120" w:type="dxa"/>
            <w:noWrap/>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p>
        </w:tc>
        <w:tc>
          <w:tcPr>
            <w:tcW w:w="1000" w:type="dxa"/>
            <w:noWrap/>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p>
        </w:tc>
      </w:tr>
      <w:tr w:rsidR="000B67A7" w:rsidRPr="000B67A7" w:rsidTr="000B67A7">
        <w:trPr>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Sex</w:t>
            </w:r>
            <w:r w:rsidRPr="000B67A7">
              <w:rPr>
                <w:b w:val="0"/>
                <w:lang w:val="en-US"/>
              </w:rPr>
              <w:t xml:space="preserve"> = female</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-0.7</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0.5</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34.1</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-1.5</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0.145</w:t>
            </w:r>
          </w:p>
        </w:tc>
      </w:tr>
      <w:tr w:rsidR="000B67A7" w:rsidRPr="000B67A7" w:rsidTr="000B6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Session</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0.6</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0.3</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34.3</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2.4</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0.020</w:t>
            </w:r>
          </w:p>
        </w:tc>
      </w:tr>
      <w:tr w:rsidR="000B67A7" w:rsidRPr="000B67A7" w:rsidTr="000B67A7">
        <w:trPr>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Walk</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0.3</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0.3</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33.0</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1.0</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0.335</w:t>
            </w:r>
          </w:p>
        </w:tc>
      </w:tr>
      <w:tr w:rsidR="000B67A7" w:rsidRPr="00AF0650" w:rsidTr="000B6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2F133B" w:rsidRDefault="000B67A7">
            <w:pPr>
              <w:rPr>
                <w:b w:val="0"/>
              </w:rPr>
            </w:pPr>
            <w:r w:rsidRPr="000B67A7">
              <w:rPr>
                <w:b w:val="0"/>
                <w:lang w:val="en-US"/>
              </w:rPr>
              <w:t xml:space="preserve">  </w:t>
            </w:r>
            <w:r w:rsidR="00AF0650" w:rsidRPr="000B67A7">
              <w:rPr>
                <w:b w:val="0"/>
                <w:lang w:val="en-US"/>
              </w:rPr>
              <w:t>Brightness</w:t>
            </w:r>
            <w:r w:rsidRPr="000B67A7">
              <w:rPr>
                <w:b w:val="0"/>
                <w:lang w:val="en-US"/>
              </w:rPr>
              <w:t xml:space="preserve"> </w:t>
            </w:r>
            <w:r>
              <w:rPr>
                <w:b w:val="0"/>
              </w:rPr>
              <w:t>= bright</w:t>
            </w:r>
          </w:p>
        </w:tc>
        <w:tc>
          <w:tcPr>
            <w:tcW w:w="1120" w:type="dxa"/>
            <w:noWrap/>
            <w:hideMark/>
          </w:tcPr>
          <w:p w:rsidR="00AF0650" w:rsidRPr="002F133B" w:rsidRDefault="00AF0650" w:rsidP="00AF0650">
            <w:pPr>
              <w:cnfStyle w:val="000000100000" w:firstRow="0" w:lastRow="0" w:firstColumn="0" w:lastColumn="0" w:oddVBand="0" w:evenVBand="0" w:oddHBand="1" w:evenHBand="0" w:firstRowFirstColumn="0" w:firstRowLastColumn="0" w:lastRowFirstColumn="0" w:lastRowLastColumn="0"/>
            </w:pPr>
            <w:r w:rsidRPr="002F133B">
              <w:t>0.0</w:t>
            </w:r>
          </w:p>
        </w:tc>
        <w:tc>
          <w:tcPr>
            <w:tcW w:w="1000" w:type="dxa"/>
            <w:noWrap/>
            <w:hideMark/>
          </w:tcPr>
          <w:p w:rsidR="00AF0650" w:rsidRPr="002F133B" w:rsidRDefault="00AF0650" w:rsidP="00AF0650">
            <w:pPr>
              <w:cnfStyle w:val="000000100000" w:firstRow="0" w:lastRow="0" w:firstColumn="0" w:lastColumn="0" w:oddVBand="0" w:evenVBand="0" w:oddHBand="1" w:evenHBand="0" w:firstRowFirstColumn="0" w:firstRowLastColumn="0" w:lastRowFirstColumn="0" w:lastRowLastColumn="0"/>
            </w:pPr>
            <w:r w:rsidRPr="002F133B">
              <w:t>0.3</w:t>
            </w:r>
          </w:p>
        </w:tc>
        <w:tc>
          <w:tcPr>
            <w:tcW w:w="1120" w:type="dxa"/>
            <w:noWrap/>
            <w:hideMark/>
          </w:tcPr>
          <w:p w:rsidR="00AF0650" w:rsidRPr="002F133B" w:rsidRDefault="00AF0650" w:rsidP="00AF0650">
            <w:pPr>
              <w:cnfStyle w:val="000000100000" w:firstRow="0" w:lastRow="0" w:firstColumn="0" w:lastColumn="0" w:oddVBand="0" w:evenVBand="0" w:oddHBand="1" w:evenHBand="0" w:firstRowFirstColumn="0" w:firstRowLastColumn="0" w:lastRowFirstColumn="0" w:lastRowLastColumn="0"/>
            </w:pPr>
            <w:r w:rsidRPr="002F133B">
              <w:t>33.0</w:t>
            </w:r>
          </w:p>
        </w:tc>
        <w:tc>
          <w:tcPr>
            <w:tcW w:w="1120" w:type="dxa"/>
            <w:noWrap/>
            <w:hideMark/>
          </w:tcPr>
          <w:p w:rsidR="00AF0650" w:rsidRPr="002F133B" w:rsidRDefault="00AF0650" w:rsidP="00AF0650">
            <w:pPr>
              <w:cnfStyle w:val="000000100000" w:firstRow="0" w:lastRow="0" w:firstColumn="0" w:lastColumn="0" w:oddVBand="0" w:evenVBand="0" w:oddHBand="1" w:evenHBand="0" w:firstRowFirstColumn="0" w:firstRowLastColumn="0" w:lastRowFirstColumn="0" w:lastRowLastColumn="0"/>
            </w:pPr>
            <w:r w:rsidRPr="002F133B">
              <w:t>0.0</w:t>
            </w:r>
          </w:p>
        </w:tc>
        <w:tc>
          <w:tcPr>
            <w:tcW w:w="1000" w:type="dxa"/>
            <w:noWrap/>
            <w:hideMark/>
          </w:tcPr>
          <w:p w:rsidR="00AF0650" w:rsidRPr="002F133B" w:rsidRDefault="00AF0650" w:rsidP="00AF0650">
            <w:pPr>
              <w:cnfStyle w:val="000000100000" w:firstRow="0" w:lastRow="0" w:firstColumn="0" w:lastColumn="0" w:oddVBand="0" w:evenVBand="0" w:oddHBand="1" w:evenHBand="0" w:firstRowFirstColumn="0" w:firstRowLastColumn="0" w:lastRowFirstColumn="0" w:lastRowLastColumn="0"/>
            </w:pPr>
            <w:r w:rsidRPr="002F133B">
              <w:t>0.998</w:t>
            </w:r>
          </w:p>
        </w:tc>
      </w:tr>
      <w:tr w:rsidR="000B67A7" w:rsidRPr="000B67A7" w:rsidTr="000B67A7">
        <w:trPr>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690C57" w:rsidRDefault="000B67A7">
            <w:pPr>
              <w:rPr>
                <w:b w:val="0"/>
                <w:i/>
                <w:lang w:val="en-US"/>
              </w:rPr>
            </w:pPr>
            <w:r w:rsidRPr="00690C57">
              <w:rPr>
                <w:b w:val="0"/>
                <w:i/>
                <w:lang w:val="en-US"/>
              </w:rPr>
              <w:t>2. Proportion of “win” feedback</w:t>
            </w:r>
          </w:p>
        </w:tc>
        <w:tc>
          <w:tcPr>
            <w:tcW w:w="1120" w:type="dxa"/>
            <w:noWrap/>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p>
        </w:tc>
        <w:tc>
          <w:tcPr>
            <w:tcW w:w="1000" w:type="dxa"/>
            <w:noWrap/>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p>
        </w:tc>
        <w:tc>
          <w:tcPr>
            <w:tcW w:w="1120" w:type="dxa"/>
            <w:noWrap/>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p>
        </w:tc>
        <w:tc>
          <w:tcPr>
            <w:tcW w:w="1120" w:type="dxa"/>
            <w:noWrap/>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p>
        </w:tc>
        <w:tc>
          <w:tcPr>
            <w:tcW w:w="1000" w:type="dxa"/>
            <w:noWrap/>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p>
        </w:tc>
      </w:tr>
      <w:tr w:rsidR="000B67A7" w:rsidRPr="000B67A7" w:rsidTr="000B6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Sex</w:t>
            </w:r>
            <w:r>
              <w:rPr>
                <w:b w:val="0"/>
                <w:lang w:val="en-US"/>
              </w:rPr>
              <w:t xml:space="preserve"> = female</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-3.8</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2.4</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33.9</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-1.6</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0.116</w:t>
            </w:r>
          </w:p>
        </w:tc>
      </w:tr>
      <w:tr w:rsidR="000B67A7" w:rsidRPr="000B67A7" w:rsidTr="000B67A7">
        <w:trPr>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Session</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17.5</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2.1</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35.8</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8.5</w:t>
            </w:r>
          </w:p>
        </w:tc>
        <w:tc>
          <w:tcPr>
            <w:tcW w:w="1000" w:type="dxa"/>
            <w:noWrap/>
            <w:hideMark/>
          </w:tcPr>
          <w:p w:rsidR="00AF0650" w:rsidRPr="000B67A7" w:rsidRDefault="00EB6547" w:rsidP="00AF0650">
            <w:pPr>
              <w:cnfStyle w:val="000000000000" w:firstRow="0" w:lastRow="0" w:firstColumn="0" w:lastColumn="0" w:oddVBand="0" w:evenVBand="0" w:oddHBand="0" w:evenHBand="0" w:firstRowFirstColumn="0" w:firstRowLastColumn="0" w:lastRowFirstColumn="0" w:lastRowLastColumn="0"/>
              <w:rPr>
                <w:lang w:val="en-US"/>
              </w:rPr>
            </w:pPr>
            <w:r>
              <w:rPr>
                <w:lang w:val="en-US"/>
              </w:rPr>
              <w:t>&lt;.001</w:t>
            </w:r>
          </w:p>
        </w:tc>
      </w:tr>
      <w:tr w:rsidR="000B67A7" w:rsidRPr="000B67A7" w:rsidTr="000B6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Walk</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0.8</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2.1</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32.8</w:t>
            </w:r>
          </w:p>
        </w:tc>
        <w:tc>
          <w:tcPr>
            <w:tcW w:w="112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0.4</w:t>
            </w:r>
          </w:p>
        </w:tc>
        <w:tc>
          <w:tcPr>
            <w:tcW w:w="1000" w:type="dxa"/>
            <w:noWrap/>
            <w:hideMark/>
          </w:tcPr>
          <w:p w:rsidR="00AF0650" w:rsidRPr="000B67A7" w:rsidRDefault="00AF0650" w:rsidP="00AF0650">
            <w:pPr>
              <w:cnfStyle w:val="000000100000" w:firstRow="0" w:lastRow="0" w:firstColumn="0" w:lastColumn="0" w:oddVBand="0" w:evenVBand="0" w:oddHBand="1" w:evenHBand="0" w:firstRowFirstColumn="0" w:firstRowLastColumn="0" w:lastRowFirstColumn="0" w:lastRowLastColumn="0"/>
              <w:rPr>
                <w:lang w:val="en-US"/>
              </w:rPr>
            </w:pPr>
            <w:r w:rsidRPr="000B67A7">
              <w:rPr>
                <w:lang w:val="en-US"/>
              </w:rPr>
              <w:t>0.693</w:t>
            </w:r>
          </w:p>
        </w:tc>
      </w:tr>
      <w:tr w:rsidR="000B67A7" w:rsidRPr="00AF0650" w:rsidTr="000B67A7">
        <w:trPr>
          <w:trHeight w:val="300"/>
        </w:trPr>
        <w:tc>
          <w:tcPr>
            <w:cnfStyle w:val="001000000000" w:firstRow="0" w:lastRow="0" w:firstColumn="1" w:lastColumn="0" w:oddVBand="0" w:evenVBand="0" w:oddHBand="0" w:evenHBand="0" w:firstRowFirstColumn="0" w:firstRowLastColumn="0" w:lastRowFirstColumn="0" w:lastRowLastColumn="0"/>
            <w:tcW w:w="3061" w:type="dxa"/>
            <w:noWrap/>
            <w:hideMark/>
          </w:tcPr>
          <w:p w:rsidR="00AF0650" w:rsidRPr="000B67A7" w:rsidRDefault="000B67A7">
            <w:pPr>
              <w:rPr>
                <w:b w:val="0"/>
                <w:lang w:val="en-US"/>
              </w:rPr>
            </w:pPr>
            <w:r w:rsidRPr="000B67A7">
              <w:rPr>
                <w:b w:val="0"/>
                <w:lang w:val="en-US"/>
              </w:rPr>
              <w:t xml:space="preserve">  </w:t>
            </w:r>
            <w:r w:rsidR="00AF0650" w:rsidRPr="000B67A7">
              <w:rPr>
                <w:b w:val="0"/>
                <w:lang w:val="en-US"/>
              </w:rPr>
              <w:t>Brightness</w:t>
            </w:r>
            <w:r>
              <w:rPr>
                <w:b w:val="0"/>
                <w:lang w:val="en-US"/>
              </w:rPr>
              <w:t xml:space="preserve"> = bright</w:t>
            </w:r>
          </w:p>
        </w:tc>
        <w:tc>
          <w:tcPr>
            <w:tcW w:w="112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-0.6</w:t>
            </w:r>
          </w:p>
        </w:tc>
        <w:tc>
          <w:tcPr>
            <w:tcW w:w="1000" w:type="dxa"/>
            <w:noWrap/>
            <w:hideMark/>
          </w:tcPr>
          <w:p w:rsidR="00AF0650" w:rsidRPr="000B67A7" w:rsidRDefault="00AF0650" w:rsidP="00AF0650">
            <w:pPr>
              <w:cnfStyle w:val="000000000000" w:firstRow="0" w:lastRow="0" w:firstColumn="0" w:lastColumn="0" w:oddVBand="0" w:evenVBand="0" w:oddHBand="0" w:evenHBand="0" w:firstRowFirstColumn="0" w:firstRowLastColumn="0" w:lastRowFirstColumn="0" w:lastRowLastColumn="0"/>
              <w:rPr>
                <w:lang w:val="en-US"/>
              </w:rPr>
            </w:pPr>
            <w:r w:rsidRPr="000B67A7">
              <w:rPr>
                <w:lang w:val="en-US"/>
              </w:rPr>
              <w:t>2.1</w:t>
            </w:r>
          </w:p>
        </w:tc>
        <w:tc>
          <w:tcPr>
            <w:tcW w:w="1120" w:type="dxa"/>
            <w:noWrap/>
            <w:hideMark/>
          </w:tcPr>
          <w:p w:rsidR="00AF0650" w:rsidRPr="002F133B" w:rsidRDefault="00AF0650" w:rsidP="00AF0650">
            <w:pPr>
              <w:cnfStyle w:val="000000000000" w:firstRow="0" w:lastRow="0" w:firstColumn="0" w:lastColumn="0" w:oddVBand="0" w:evenVBand="0" w:oddHBand="0" w:evenHBand="0" w:firstRowFirstColumn="0" w:firstRowLastColumn="0" w:lastRowFirstColumn="0" w:lastRowLastColumn="0"/>
            </w:pPr>
            <w:r w:rsidRPr="002F133B">
              <w:t>32.8</w:t>
            </w:r>
          </w:p>
        </w:tc>
        <w:tc>
          <w:tcPr>
            <w:tcW w:w="1120" w:type="dxa"/>
            <w:noWrap/>
            <w:hideMark/>
          </w:tcPr>
          <w:p w:rsidR="00AF0650" w:rsidRPr="002F133B" w:rsidRDefault="00AF0650" w:rsidP="00AF0650">
            <w:pPr>
              <w:cnfStyle w:val="000000000000" w:firstRow="0" w:lastRow="0" w:firstColumn="0" w:lastColumn="0" w:oddVBand="0" w:evenVBand="0" w:oddHBand="0" w:evenHBand="0" w:firstRowFirstColumn="0" w:firstRowLastColumn="0" w:lastRowFirstColumn="0" w:lastRowLastColumn="0"/>
            </w:pPr>
            <w:r w:rsidRPr="002F133B">
              <w:t>-0.3</w:t>
            </w:r>
          </w:p>
        </w:tc>
        <w:tc>
          <w:tcPr>
            <w:tcW w:w="1000" w:type="dxa"/>
            <w:noWrap/>
            <w:hideMark/>
          </w:tcPr>
          <w:p w:rsidR="00AF0650" w:rsidRPr="002F133B" w:rsidRDefault="00AF0650" w:rsidP="00AF0650">
            <w:pPr>
              <w:cnfStyle w:val="000000000000" w:firstRow="0" w:lastRow="0" w:firstColumn="0" w:lastColumn="0" w:oddVBand="0" w:evenVBand="0" w:oddHBand="0" w:evenHBand="0" w:firstRowFirstColumn="0" w:firstRowLastColumn="0" w:lastRowFirstColumn="0" w:lastRowLastColumn="0"/>
            </w:pPr>
            <w:r w:rsidRPr="002F133B">
              <w:t>0.773</w:t>
            </w:r>
          </w:p>
        </w:tc>
      </w:tr>
    </w:tbl>
    <w:p w:rsidR="002333D1" w:rsidRDefault="002333D1" w:rsidP="002333D1">
      <w:pPr>
        <w:rPr>
          <w:lang w:val="en-US"/>
        </w:rPr>
      </w:pPr>
    </w:p>
    <w:p w:rsidR="00AF0650" w:rsidRDefault="00AF0650" w:rsidP="00AF0650">
      <w:pPr>
        <w:rPr>
          <w:lang w:val="en-US"/>
        </w:rPr>
      </w:pPr>
      <w:r w:rsidRPr="00955D2D">
        <w:rPr>
          <w:b/>
          <w:lang w:val="en-US"/>
        </w:rPr>
        <w:t>Supplementary Table S3.</w:t>
      </w:r>
      <w:r>
        <w:rPr>
          <w:lang w:val="en-US"/>
        </w:rPr>
        <w:t xml:space="preserve"> </w:t>
      </w:r>
      <w:r w:rsidR="00A9381F">
        <w:rPr>
          <w:lang w:val="en-US"/>
        </w:rPr>
        <w:t>Results from two general linear mixed models, examining two aspects of task behavior during the two-armed bandit task (2ABT).</w:t>
      </w:r>
      <w:r w:rsidR="00461D59">
        <w:rPr>
          <w:lang w:val="en-US"/>
        </w:rPr>
        <w:t xml:space="preserve"> We had no specific </w:t>
      </w:r>
      <w:r w:rsidR="00E308BA">
        <w:rPr>
          <w:lang w:val="en-US"/>
        </w:rPr>
        <w:t>predictions</w:t>
      </w:r>
      <w:r w:rsidR="00461D59">
        <w:rPr>
          <w:lang w:val="en-US"/>
        </w:rPr>
        <w:t xml:space="preserve"> </w:t>
      </w:r>
      <w:r w:rsidR="00E308BA">
        <w:rPr>
          <w:lang w:val="en-US"/>
        </w:rPr>
        <w:t xml:space="preserve">for </w:t>
      </w:r>
      <w:r w:rsidR="00461D59">
        <w:rPr>
          <w:lang w:val="en-US"/>
        </w:rPr>
        <w:t>these analyses.</w:t>
      </w:r>
    </w:p>
    <w:p w:rsidR="002333D1" w:rsidRDefault="002333D1" w:rsidP="002333D1">
      <w:pPr>
        <w:rPr>
          <w:lang w:val="en-US"/>
        </w:rPr>
      </w:pPr>
    </w:p>
    <w:p w:rsidR="00A1280C" w:rsidRDefault="00A1280C" w:rsidP="002333D1">
      <w:pPr>
        <w:rPr>
          <w:lang w:val="en-US"/>
        </w:rPr>
      </w:pPr>
    </w:p>
    <w:tbl>
      <w:tblPr>
        <w:tblStyle w:val="PlainTable1"/>
        <w:tblW w:w="0" w:type="auto"/>
        <w:tblLook w:val="04A0" w:firstRow="1" w:lastRow="0" w:firstColumn="1" w:lastColumn="0" w:noHBand="0" w:noVBand="1"/>
      </w:tblPr>
      <w:tblGrid>
        <w:gridCol w:w="3681"/>
        <w:gridCol w:w="995"/>
        <w:gridCol w:w="1120"/>
        <w:gridCol w:w="1180"/>
        <w:gridCol w:w="1120"/>
      </w:tblGrid>
      <w:tr w:rsidR="00CC3510" w:rsidRPr="00CC3510" w:rsidTr="00CC35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rsidP="00CC3510">
            <w:pPr>
              <w:rPr>
                <w:b w:val="0"/>
                <w:i/>
              </w:rPr>
            </w:pPr>
            <w:r w:rsidRPr="00CC3510">
              <w:rPr>
                <w:b w:val="0"/>
                <w:i/>
              </w:rPr>
              <w:t>Term</w:t>
            </w:r>
          </w:p>
        </w:tc>
        <w:tc>
          <w:tcPr>
            <w:tcW w:w="236" w:type="dxa"/>
            <w:noWrap/>
            <w:hideMark/>
          </w:tcPr>
          <w:p w:rsidR="00CC3510" w:rsidRPr="00CC3510" w:rsidRDefault="00CC3510">
            <w:pPr>
              <w:cnfStyle w:val="100000000000" w:firstRow="1" w:lastRow="0" w:firstColumn="0" w:lastColumn="0" w:oddVBand="0" w:evenVBand="0" w:oddHBand="0" w:evenHBand="0" w:firstRowFirstColumn="0" w:firstRowLastColumn="0" w:lastRowFirstColumn="0" w:lastRowLastColumn="0"/>
              <w:rPr>
                <w:b w:val="0"/>
                <w:i/>
              </w:rPr>
            </w:pPr>
            <w:r w:rsidRPr="00CC3510">
              <w:rPr>
                <w:b w:val="0"/>
                <w:i/>
              </w:rPr>
              <w:t>Estimate</w:t>
            </w:r>
          </w:p>
        </w:tc>
        <w:tc>
          <w:tcPr>
            <w:tcW w:w="1120" w:type="dxa"/>
            <w:noWrap/>
            <w:hideMark/>
          </w:tcPr>
          <w:p w:rsidR="00CC3510" w:rsidRPr="00CC3510" w:rsidRDefault="00CC3510">
            <w:pPr>
              <w:cnfStyle w:val="100000000000" w:firstRow="1" w:lastRow="0" w:firstColumn="0" w:lastColumn="0" w:oddVBand="0" w:evenVBand="0" w:oddHBand="0" w:evenHBand="0" w:firstRowFirstColumn="0" w:firstRowLastColumn="0" w:lastRowFirstColumn="0" w:lastRowLastColumn="0"/>
              <w:rPr>
                <w:b w:val="0"/>
                <w:i/>
              </w:rPr>
            </w:pPr>
            <w:r w:rsidRPr="00CC3510">
              <w:rPr>
                <w:b w:val="0"/>
                <w:i/>
              </w:rPr>
              <w:t>SE</w:t>
            </w:r>
          </w:p>
        </w:tc>
        <w:tc>
          <w:tcPr>
            <w:tcW w:w="1180" w:type="dxa"/>
            <w:noWrap/>
            <w:hideMark/>
          </w:tcPr>
          <w:p w:rsidR="00CC3510" w:rsidRPr="00CC3510" w:rsidRDefault="00CC3510">
            <w:pPr>
              <w:cnfStyle w:val="100000000000" w:firstRow="1" w:lastRow="0" w:firstColumn="0" w:lastColumn="0" w:oddVBand="0" w:evenVBand="0" w:oddHBand="0" w:evenHBand="0" w:firstRowFirstColumn="0" w:firstRowLastColumn="0" w:lastRowFirstColumn="0" w:lastRowLastColumn="0"/>
              <w:rPr>
                <w:b w:val="0"/>
                <w:i/>
              </w:rPr>
            </w:pPr>
            <w:r w:rsidRPr="00CC3510">
              <w:rPr>
                <w:b w:val="0"/>
                <w:i/>
              </w:rPr>
              <w:t>Z</w:t>
            </w:r>
          </w:p>
        </w:tc>
        <w:tc>
          <w:tcPr>
            <w:tcW w:w="1120" w:type="dxa"/>
            <w:noWrap/>
            <w:hideMark/>
          </w:tcPr>
          <w:p w:rsidR="00CC3510" w:rsidRPr="00CC3510" w:rsidRDefault="00CC3510">
            <w:pPr>
              <w:cnfStyle w:val="100000000000" w:firstRow="1" w:lastRow="0" w:firstColumn="0" w:lastColumn="0" w:oddVBand="0" w:evenVBand="0" w:oddHBand="0" w:evenHBand="0" w:firstRowFirstColumn="0" w:firstRowLastColumn="0" w:lastRowFirstColumn="0" w:lastRowLastColumn="0"/>
              <w:rPr>
                <w:b w:val="0"/>
                <w:i/>
              </w:rPr>
            </w:pPr>
            <w:r w:rsidRPr="00CC3510">
              <w:rPr>
                <w:b w:val="0"/>
                <w:i/>
              </w:rPr>
              <w:t>p</w:t>
            </w:r>
          </w:p>
        </w:tc>
      </w:tr>
      <w:tr w:rsidR="00CC3510" w:rsidRPr="00CC3510" w:rsidTr="00CC35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sidRPr="00CC3510">
              <w:rPr>
                <w:b w:val="0"/>
              </w:rPr>
              <w:t>Sex</w:t>
            </w:r>
            <w:r>
              <w:rPr>
                <w:b w:val="0"/>
              </w:rPr>
              <w:t xml:space="preserve"> = female</w:t>
            </w:r>
          </w:p>
        </w:tc>
        <w:tc>
          <w:tcPr>
            <w:tcW w:w="236"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0.4</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0.8</w:t>
            </w:r>
          </w:p>
        </w:tc>
        <w:tc>
          <w:tcPr>
            <w:tcW w:w="118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0.5</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0.637</w:t>
            </w:r>
          </w:p>
        </w:tc>
      </w:tr>
      <w:tr w:rsidR="00CC3510" w:rsidRPr="00CC3510" w:rsidTr="00CC3510">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Pr>
                <w:b w:val="0"/>
              </w:rPr>
              <w:t>Trial number</w:t>
            </w:r>
          </w:p>
        </w:tc>
        <w:tc>
          <w:tcPr>
            <w:tcW w:w="236"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-1.2</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0.6</w:t>
            </w:r>
          </w:p>
        </w:tc>
        <w:tc>
          <w:tcPr>
            <w:tcW w:w="118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-2.0</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0.040</w:t>
            </w:r>
          </w:p>
        </w:tc>
      </w:tr>
      <w:tr w:rsidR="00CC3510" w:rsidRPr="00CC3510" w:rsidTr="00CC35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sidRPr="00CC3510">
              <w:rPr>
                <w:b w:val="0"/>
              </w:rPr>
              <w:t>Session</w:t>
            </w:r>
            <w:r>
              <w:rPr>
                <w:b w:val="0"/>
              </w:rPr>
              <w:t xml:space="preserve"> number</w:t>
            </w:r>
          </w:p>
        </w:tc>
        <w:tc>
          <w:tcPr>
            <w:tcW w:w="236"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0.4</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0.3</w:t>
            </w:r>
          </w:p>
        </w:tc>
        <w:tc>
          <w:tcPr>
            <w:tcW w:w="118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1.3</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0.182</w:t>
            </w:r>
          </w:p>
        </w:tc>
      </w:tr>
      <w:tr w:rsidR="00CC3510" w:rsidRPr="00CC3510" w:rsidTr="00CC3510">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Pr>
                <w:b w:val="0"/>
              </w:rPr>
              <w:t>Reward probability</w:t>
            </w:r>
          </w:p>
        </w:tc>
        <w:tc>
          <w:tcPr>
            <w:tcW w:w="236"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-1.1</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0.9</w:t>
            </w:r>
          </w:p>
        </w:tc>
        <w:tc>
          <w:tcPr>
            <w:tcW w:w="118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-1.2</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0.244</w:t>
            </w:r>
          </w:p>
        </w:tc>
      </w:tr>
      <w:tr w:rsidR="00CC3510" w:rsidRPr="00CC3510" w:rsidTr="00CC35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Pr>
                <w:b w:val="0"/>
              </w:rPr>
              <w:t>Reward value</w:t>
            </w:r>
          </w:p>
        </w:tc>
        <w:tc>
          <w:tcPr>
            <w:tcW w:w="236"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1.1</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0.2</w:t>
            </w:r>
          </w:p>
        </w:tc>
        <w:tc>
          <w:tcPr>
            <w:tcW w:w="118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4.6</w:t>
            </w:r>
          </w:p>
        </w:tc>
        <w:tc>
          <w:tcPr>
            <w:tcW w:w="1120" w:type="dxa"/>
            <w:noWrap/>
            <w:hideMark/>
          </w:tcPr>
          <w:p w:rsidR="00CC3510" w:rsidRPr="00CC3510" w:rsidRDefault="00F90DD9" w:rsidP="00CC3510">
            <w:pPr>
              <w:cnfStyle w:val="000000100000" w:firstRow="0" w:lastRow="0" w:firstColumn="0" w:lastColumn="0" w:oddVBand="0" w:evenVBand="0" w:oddHBand="1" w:evenHBand="0" w:firstRowFirstColumn="0" w:firstRowLastColumn="0" w:lastRowFirstColumn="0" w:lastRowLastColumn="0"/>
            </w:pPr>
            <w:r>
              <w:t>&lt;</w:t>
            </w:r>
            <w:r w:rsidR="00CC3510" w:rsidRPr="00CC3510">
              <w:t>0.00</w:t>
            </w:r>
            <w:r>
              <w:t>1</w:t>
            </w:r>
          </w:p>
        </w:tc>
      </w:tr>
      <w:tr w:rsidR="00CC3510" w:rsidRPr="00CC3510" w:rsidTr="00CC3510">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sidRPr="00CC3510">
              <w:rPr>
                <w:b w:val="0"/>
              </w:rPr>
              <w:t>E</w:t>
            </w:r>
            <w:r>
              <w:rPr>
                <w:b w:val="0"/>
              </w:rPr>
              <w:t>xpected value</w:t>
            </w:r>
          </w:p>
        </w:tc>
        <w:tc>
          <w:tcPr>
            <w:tcW w:w="236"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3.6</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0.5</w:t>
            </w:r>
          </w:p>
        </w:tc>
        <w:tc>
          <w:tcPr>
            <w:tcW w:w="118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7.8</w:t>
            </w:r>
          </w:p>
        </w:tc>
        <w:tc>
          <w:tcPr>
            <w:tcW w:w="1120" w:type="dxa"/>
            <w:noWrap/>
            <w:hideMark/>
          </w:tcPr>
          <w:p w:rsidR="00CC3510" w:rsidRPr="00CC3510" w:rsidRDefault="00F90DD9" w:rsidP="00CC3510">
            <w:pPr>
              <w:cnfStyle w:val="000000000000" w:firstRow="0" w:lastRow="0" w:firstColumn="0" w:lastColumn="0" w:oddVBand="0" w:evenVBand="0" w:oddHBand="0" w:evenHBand="0" w:firstRowFirstColumn="0" w:firstRowLastColumn="0" w:lastRowFirstColumn="0" w:lastRowLastColumn="0"/>
            </w:pPr>
            <w:r>
              <w:t>&lt;</w:t>
            </w:r>
            <w:r w:rsidR="00CC3510" w:rsidRPr="00CC3510">
              <w:t>0.00</w:t>
            </w:r>
            <w:r>
              <w:t>1</w:t>
            </w:r>
          </w:p>
        </w:tc>
      </w:tr>
      <w:tr w:rsidR="00CC3510" w:rsidRPr="00CC3510" w:rsidTr="00CC35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rPr>
            </w:pPr>
            <w:r>
              <w:rPr>
                <w:b w:val="0"/>
              </w:rPr>
              <w:t>Change in sadness</w:t>
            </w:r>
          </w:p>
        </w:tc>
        <w:tc>
          <w:tcPr>
            <w:tcW w:w="236"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0.3</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0.4</w:t>
            </w:r>
          </w:p>
        </w:tc>
        <w:tc>
          <w:tcPr>
            <w:tcW w:w="118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0.7</w:t>
            </w:r>
          </w:p>
        </w:tc>
        <w:tc>
          <w:tcPr>
            <w:tcW w:w="1120" w:type="dxa"/>
            <w:noWrap/>
            <w:hideMark/>
          </w:tcPr>
          <w:p w:rsidR="00CC3510" w:rsidRPr="00CC3510" w:rsidRDefault="00CC3510" w:rsidP="00CC3510">
            <w:pPr>
              <w:cnfStyle w:val="000000100000" w:firstRow="0" w:lastRow="0" w:firstColumn="0" w:lastColumn="0" w:oddVBand="0" w:evenVBand="0" w:oddHBand="1" w:evenHBand="0" w:firstRowFirstColumn="0" w:firstRowLastColumn="0" w:lastRowFirstColumn="0" w:lastRowLastColumn="0"/>
            </w:pPr>
            <w:r w:rsidRPr="00CC3510">
              <w:t>0.502</w:t>
            </w:r>
          </w:p>
        </w:tc>
      </w:tr>
      <w:tr w:rsidR="00CC3510" w:rsidRPr="00CC3510" w:rsidTr="00CC3510">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C3510" w:rsidRPr="00CC3510" w:rsidRDefault="00CC3510">
            <w:pPr>
              <w:rPr>
                <w:b w:val="0"/>
                <w:lang w:val="en-US"/>
              </w:rPr>
            </w:pPr>
            <w:r w:rsidRPr="00CC3510">
              <w:rPr>
                <w:b w:val="0"/>
                <w:lang w:val="en-US"/>
              </w:rPr>
              <w:t xml:space="preserve">Reward value x </w:t>
            </w:r>
            <w:r>
              <w:rPr>
                <w:b w:val="0"/>
                <w:lang w:val="en-US"/>
              </w:rPr>
              <w:t xml:space="preserve">Change in </w:t>
            </w:r>
            <w:r w:rsidRPr="00CC3510">
              <w:rPr>
                <w:b w:val="0"/>
                <w:lang w:val="en-US"/>
              </w:rPr>
              <w:t>s</w:t>
            </w:r>
            <w:r>
              <w:rPr>
                <w:b w:val="0"/>
                <w:lang w:val="en-US"/>
              </w:rPr>
              <w:t>adness</w:t>
            </w:r>
          </w:p>
        </w:tc>
        <w:tc>
          <w:tcPr>
            <w:tcW w:w="236"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-0.2</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0.2</w:t>
            </w:r>
          </w:p>
        </w:tc>
        <w:tc>
          <w:tcPr>
            <w:tcW w:w="118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-1.2</w:t>
            </w:r>
          </w:p>
        </w:tc>
        <w:tc>
          <w:tcPr>
            <w:tcW w:w="1120" w:type="dxa"/>
            <w:noWrap/>
            <w:hideMark/>
          </w:tcPr>
          <w:p w:rsidR="00CC3510" w:rsidRPr="00CC3510" w:rsidRDefault="00CC3510" w:rsidP="00CC3510">
            <w:pPr>
              <w:cnfStyle w:val="000000000000" w:firstRow="0" w:lastRow="0" w:firstColumn="0" w:lastColumn="0" w:oddVBand="0" w:evenVBand="0" w:oddHBand="0" w:evenHBand="0" w:firstRowFirstColumn="0" w:firstRowLastColumn="0" w:lastRowFirstColumn="0" w:lastRowLastColumn="0"/>
            </w:pPr>
            <w:r w:rsidRPr="00CC3510">
              <w:t>0.242</w:t>
            </w:r>
          </w:p>
        </w:tc>
      </w:tr>
    </w:tbl>
    <w:p w:rsidR="00A1280C" w:rsidRDefault="00A1280C" w:rsidP="002333D1">
      <w:pPr>
        <w:rPr>
          <w:lang w:val="en-US"/>
        </w:rPr>
      </w:pPr>
    </w:p>
    <w:p w:rsidR="00307E17" w:rsidRDefault="00AC530B">
      <w:pPr>
        <w:rPr>
          <w:lang w:val="en-US"/>
        </w:rPr>
      </w:pPr>
      <w:r w:rsidRPr="00955D2D">
        <w:rPr>
          <w:b/>
          <w:lang w:val="en-US"/>
        </w:rPr>
        <w:t>Supplementary Table S</w:t>
      </w:r>
      <w:r w:rsidR="001D14A0">
        <w:rPr>
          <w:b/>
          <w:lang w:val="en-US"/>
        </w:rPr>
        <w:t>4</w:t>
      </w:r>
      <w:r w:rsidRPr="00955D2D">
        <w:rPr>
          <w:b/>
          <w:lang w:val="en-US"/>
        </w:rPr>
        <w:t>.</w:t>
      </w:r>
      <w:r>
        <w:rPr>
          <w:lang w:val="en-US"/>
        </w:rPr>
        <w:t xml:space="preserve"> Results from a generalized linear mixed model, </w:t>
      </w:r>
      <w:r w:rsidRPr="00AC530B">
        <w:rPr>
          <w:lang w:val="en-US"/>
        </w:rPr>
        <w:t>which we used to examine choices (to do the difficult task) during the Effort Expenditure for Rewards Task (</w:t>
      </w:r>
      <w:proofErr w:type="spellStart"/>
      <w:r w:rsidRPr="00AC530B">
        <w:rPr>
          <w:lang w:val="en-US"/>
        </w:rPr>
        <w:t>EEfRT</w:t>
      </w:r>
      <w:proofErr w:type="spellEnd"/>
      <w:r w:rsidRPr="00AC530B">
        <w:rPr>
          <w:lang w:val="en-US"/>
        </w:rPr>
        <w:t>).</w:t>
      </w:r>
      <w:r>
        <w:rPr>
          <w:lang w:val="en-US"/>
        </w:rPr>
        <w:t xml:space="preserve"> We ran this model to explore whether bright light (vs. dim light) may have exerted its influence on choice via changes in sadness.</w:t>
      </w:r>
    </w:p>
    <w:p w:rsidR="00703A1C" w:rsidRDefault="00703A1C">
      <w:pPr>
        <w:rPr>
          <w:b/>
          <w:lang w:val="en-US"/>
        </w:rPr>
      </w:pPr>
    </w:p>
    <w:p w:rsidR="00703A1C" w:rsidRDefault="00703A1C">
      <w:pPr>
        <w:rPr>
          <w:b/>
          <w:lang w:val="en-US"/>
        </w:rPr>
      </w:pPr>
    </w:p>
    <w:p w:rsidR="00703A1C" w:rsidRDefault="00703A1C">
      <w:pPr>
        <w:spacing w:line="259" w:lineRule="auto"/>
        <w:rPr>
          <w:b/>
          <w:lang w:val="en-US"/>
        </w:rPr>
      </w:pPr>
      <w:r>
        <w:rPr>
          <w:b/>
          <w:lang w:val="en-US"/>
        </w:rPr>
        <w:br w:type="page"/>
      </w:r>
    </w:p>
    <w:p w:rsidR="00703A1C" w:rsidRDefault="00703A1C">
      <w:pPr>
        <w:rPr>
          <w:b/>
          <w:lang w:val="en-US"/>
        </w:rPr>
      </w:pPr>
      <w:r>
        <w:rPr>
          <w:b/>
          <w:lang w:val="en-US"/>
        </w:rPr>
        <w:lastRenderedPageBreak/>
        <w:t xml:space="preserve">Supplementary Text: Session order effects. </w:t>
      </w:r>
    </w:p>
    <w:p w:rsidR="00C43D4B" w:rsidRDefault="00703A1C" w:rsidP="00C27C70">
      <w:pPr>
        <w:ind w:firstLine="708"/>
        <w:rPr>
          <w:lang w:val="en-US"/>
        </w:rPr>
      </w:pPr>
      <w:r>
        <w:rPr>
          <w:lang w:val="en-US"/>
        </w:rPr>
        <w:t xml:space="preserve">As we found that session number (1 vs. 2) predicted task behavior in the </w:t>
      </w:r>
      <w:proofErr w:type="spellStart"/>
      <w:r>
        <w:rPr>
          <w:lang w:val="en-US"/>
        </w:rPr>
        <w:t>EEfRT</w:t>
      </w:r>
      <w:proofErr w:type="spellEnd"/>
      <w:r>
        <w:rPr>
          <w:lang w:val="en-US"/>
        </w:rPr>
        <w:t xml:space="preserve"> and the BART, we explored whether the effect</w:t>
      </w:r>
      <w:r w:rsidR="00C27C70">
        <w:rPr>
          <w:lang w:val="en-US"/>
        </w:rPr>
        <w:t>s</w:t>
      </w:r>
      <w:r>
        <w:rPr>
          <w:lang w:val="en-US"/>
        </w:rPr>
        <w:t xml:space="preserve"> of brightness </w:t>
      </w:r>
      <w:r w:rsidR="00C27C70">
        <w:rPr>
          <w:lang w:val="en-US"/>
        </w:rPr>
        <w:t>were</w:t>
      </w:r>
      <w:r>
        <w:rPr>
          <w:lang w:val="en-US"/>
        </w:rPr>
        <w:t xml:space="preserve"> moderated by session number. </w:t>
      </w:r>
      <w:r w:rsidR="00C27C70">
        <w:rPr>
          <w:lang w:val="en-US"/>
        </w:rPr>
        <w:t xml:space="preserve">In other words, we </w:t>
      </w:r>
      <w:r>
        <w:rPr>
          <w:lang w:val="en-US"/>
        </w:rPr>
        <w:t>examined the possibility that the effect of brightness was different during the first vs. the second session.</w:t>
      </w:r>
    </w:p>
    <w:p w:rsidR="009F79FB" w:rsidRDefault="00703A1C" w:rsidP="009F79FB">
      <w:pPr>
        <w:ind w:firstLine="708"/>
        <w:rPr>
          <w:rFonts w:cs="Arial"/>
          <w:lang w:val="en-US"/>
        </w:rPr>
      </w:pPr>
      <w:r>
        <w:rPr>
          <w:lang w:val="en-US"/>
        </w:rPr>
        <w:t xml:space="preserve">For the </w:t>
      </w:r>
      <w:proofErr w:type="spellStart"/>
      <w:r w:rsidRPr="00413DED">
        <w:rPr>
          <w:u w:val="single"/>
          <w:lang w:val="en-US"/>
        </w:rPr>
        <w:t>EEfRT</w:t>
      </w:r>
      <w:proofErr w:type="spellEnd"/>
      <w:r>
        <w:rPr>
          <w:lang w:val="en-US"/>
        </w:rPr>
        <w:t>, we re-ran the</w:t>
      </w:r>
      <w:r w:rsidR="00D933DF">
        <w:rPr>
          <w:lang w:val="en-US"/>
        </w:rPr>
        <w:t xml:space="preserve"> </w:t>
      </w:r>
      <w:r>
        <w:rPr>
          <w:lang w:val="en-US"/>
        </w:rPr>
        <w:t xml:space="preserve">model </w:t>
      </w:r>
      <w:r w:rsidR="00FB6380">
        <w:rPr>
          <w:lang w:val="en-US"/>
        </w:rPr>
        <w:t xml:space="preserve">than included all main effects </w:t>
      </w:r>
      <w:r w:rsidR="00D933DF">
        <w:rPr>
          <w:lang w:val="en-US"/>
        </w:rPr>
        <w:t xml:space="preserve">(i.e., Model 1; see </w:t>
      </w:r>
      <w:r w:rsidR="00FB6380">
        <w:rPr>
          <w:lang w:val="en-US"/>
        </w:rPr>
        <w:t>Table 2</w:t>
      </w:r>
      <w:r w:rsidR="00D933DF">
        <w:rPr>
          <w:lang w:val="en-US"/>
        </w:rPr>
        <w:t>)</w:t>
      </w:r>
      <w:r>
        <w:rPr>
          <w:lang w:val="en-US"/>
        </w:rPr>
        <w:t xml:space="preserve">. This time, however, we </w:t>
      </w:r>
      <w:r w:rsidR="00D933DF">
        <w:rPr>
          <w:lang w:val="en-US"/>
        </w:rPr>
        <w:t xml:space="preserve">added the </w:t>
      </w:r>
      <w:r>
        <w:rPr>
          <w:lang w:val="en-US"/>
        </w:rPr>
        <w:t xml:space="preserve">brightness </w:t>
      </w:r>
      <w:r>
        <w:rPr>
          <w:rFonts w:cs="Arial"/>
          <w:lang w:val="en-US"/>
        </w:rPr>
        <w:t>×</w:t>
      </w:r>
      <w:r>
        <w:rPr>
          <w:lang w:val="en-US"/>
        </w:rPr>
        <w:t xml:space="preserve"> session interaction</w:t>
      </w:r>
      <w:r w:rsidR="00D933DF">
        <w:rPr>
          <w:lang w:val="en-US"/>
        </w:rPr>
        <w:t xml:space="preserve"> to the model.</w:t>
      </w:r>
      <w:r w:rsidR="003B757F">
        <w:rPr>
          <w:lang w:val="en-US"/>
        </w:rPr>
        <w:t xml:space="preserve"> This interaction was not significant, Est = 0.08, </w:t>
      </w:r>
      <w:r w:rsidR="003B757F" w:rsidRPr="000022BF">
        <w:rPr>
          <w:i/>
          <w:lang w:val="en-US"/>
        </w:rPr>
        <w:t>z</w:t>
      </w:r>
      <w:r w:rsidR="003B757F">
        <w:rPr>
          <w:lang w:val="en-US"/>
        </w:rPr>
        <w:t xml:space="preserve"> = 0.1, </w:t>
      </w:r>
      <w:r w:rsidR="003B757F" w:rsidRPr="000022BF">
        <w:rPr>
          <w:i/>
          <w:lang w:val="en-US"/>
        </w:rPr>
        <w:t>p</w:t>
      </w:r>
      <w:r w:rsidR="003B757F">
        <w:rPr>
          <w:lang w:val="en-US"/>
        </w:rPr>
        <w:t xml:space="preserve"> = .953, </w:t>
      </w:r>
      <w:r w:rsidR="0091582E">
        <w:rPr>
          <w:lang w:val="en-US"/>
        </w:rPr>
        <w:t xml:space="preserve">suggesting that the </w:t>
      </w:r>
      <w:r w:rsidR="00324271">
        <w:rPr>
          <w:lang w:val="en-US"/>
        </w:rPr>
        <w:t xml:space="preserve">(null) </w:t>
      </w:r>
      <w:r w:rsidR="0091582E">
        <w:rPr>
          <w:lang w:val="en-US"/>
        </w:rPr>
        <w:t xml:space="preserve">effect of brightness </w:t>
      </w:r>
      <w:r w:rsidR="00FB6380">
        <w:rPr>
          <w:lang w:val="en-US"/>
        </w:rPr>
        <w:t>on people’s tendency to choo</w:t>
      </w:r>
      <w:r w:rsidR="00324271">
        <w:rPr>
          <w:lang w:val="en-US"/>
        </w:rPr>
        <w:t xml:space="preserve">se the difficult task, </w:t>
      </w:r>
      <w:r w:rsidR="0091582E">
        <w:rPr>
          <w:lang w:val="en-US"/>
        </w:rPr>
        <w:t xml:space="preserve">was not substantially </w:t>
      </w:r>
      <w:r w:rsidR="003331EE">
        <w:rPr>
          <w:lang w:val="en-US"/>
        </w:rPr>
        <w:t>dependent on session order</w:t>
      </w:r>
      <w:r w:rsidR="0091582E">
        <w:rPr>
          <w:lang w:val="en-US"/>
        </w:rPr>
        <w:t xml:space="preserve">. Next, we attempted to </w:t>
      </w:r>
      <w:r w:rsidR="00FB6380">
        <w:rPr>
          <w:lang w:val="en-US"/>
        </w:rPr>
        <w:t xml:space="preserve">re-run the model in which we found the </w:t>
      </w:r>
      <w:r w:rsidR="00FB6380">
        <w:rPr>
          <w:lang w:val="en-US"/>
        </w:rPr>
        <w:t xml:space="preserve">reward value </w:t>
      </w:r>
      <w:r w:rsidR="00FB6380">
        <w:rPr>
          <w:rFonts w:cs="Arial"/>
          <w:lang w:val="en-US"/>
        </w:rPr>
        <w:t>× brightness</w:t>
      </w:r>
      <w:r w:rsidR="00FB6380">
        <w:rPr>
          <w:rFonts w:cs="Arial"/>
          <w:lang w:val="en-US"/>
        </w:rPr>
        <w:t xml:space="preserve"> interaction (i.e., Model 3; see Table 2), while adding </w:t>
      </w:r>
      <w:r w:rsidR="0091582E">
        <w:rPr>
          <w:rFonts w:cs="Arial"/>
          <w:lang w:val="en-US"/>
        </w:rPr>
        <w:t xml:space="preserve">the </w:t>
      </w:r>
      <w:r w:rsidR="0091582E">
        <w:rPr>
          <w:lang w:val="en-US"/>
        </w:rPr>
        <w:t xml:space="preserve">reward value </w:t>
      </w:r>
      <w:r w:rsidR="0091582E">
        <w:rPr>
          <w:rFonts w:cs="Arial"/>
          <w:lang w:val="en-US"/>
        </w:rPr>
        <w:t>× brightness</w:t>
      </w:r>
      <w:r w:rsidR="0091582E">
        <w:rPr>
          <w:rFonts w:cs="Arial"/>
          <w:lang w:val="en-US"/>
        </w:rPr>
        <w:t xml:space="preserve"> </w:t>
      </w:r>
      <w:r w:rsidR="0091582E">
        <w:rPr>
          <w:rFonts w:cs="Arial"/>
          <w:lang w:val="en-US"/>
        </w:rPr>
        <w:t>×</w:t>
      </w:r>
      <w:r w:rsidR="0091582E">
        <w:rPr>
          <w:rFonts w:cs="Arial"/>
          <w:lang w:val="en-US"/>
        </w:rPr>
        <w:t xml:space="preserve"> session three-way interaction. </w:t>
      </w:r>
      <w:r w:rsidR="009F79FB">
        <w:rPr>
          <w:rFonts w:cs="Arial"/>
          <w:lang w:val="en-US"/>
        </w:rPr>
        <w:t>We ran into convergence problems when trying to run this model; we thus proceeded by simplifying the random-effects structure, as suggested by Barr et al. (2013</w:t>
      </w:r>
      <w:r w:rsidR="00413DED">
        <w:rPr>
          <w:rFonts w:cs="Arial"/>
          <w:lang w:val="en-US"/>
        </w:rPr>
        <w:t xml:space="preserve">; R syntax is provided at </w:t>
      </w:r>
      <w:hyperlink r:id="rId8" w:history="1">
        <w:r w:rsidR="00413DED" w:rsidRPr="00E75A42">
          <w:rPr>
            <w:rStyle w:val="Hyperlink"/>
            <w:rFonts w:cs="Arial"/>
            <w:lang w:val="en-US"/>
          </w:rPr>
          <w:t>https://osf.io/nqdhf/</w:t>
        </w:r>
      </w:hyperlink>
      <w:r w:rsidR="009F79FB">
        <w:rPr>
          <w:rFonts w:cs="Arial"/>
          <w:lang w:val="en-US"/>
        </w:rPr>
        <w:t>).</w:t>
      </w:r>
      <w:r w:rsidR="00413DED">
        <w:rPr>
          <w:rFonts w:cs="Arial"/>
          <w:lang w:val="en-US"/>
        </w:rPr>
        <w:t xml:space="preserve"> The </w:t>
      </w:r>
      <w:r w:rsidR="00413DED">
        <w:rPr>
          <w:lang w:val="en-US"/>
        </w:rPr>
        <w:t xml:space="preserve">reward value </w:t>
      </w:r>
      <w:r w:rsidR="00413DED">
        <w:rPr>
          <w:rFonts w:cs="Arial"/>
          <w:lang w:val="en-US"/>
        </w:rPr>
        <w:t>× brightness × session three-way interaction</w:t>
      </w:r>
      <w:r w:rsidR="00413DED">
        <w:rPr>
          <w:rFonts w:cs="Arial"/>
          <w:lang w:val="en-US"/>
        </w:rPr>
        <w:t xml:space="preserve"> was not significant, Est = -0.37, </w:t>
      </w:r>
      <w:r w:rsidR="00413DED" w:rsidRPr="000022BF">
        <w:rPr>
          <w:rFonts w:cs="Arial"/>
          <w:i/>
          <w:lang w:val="en-US"/>
        </w:rPr>
        <w:t>z</w:t>
      </w:r>
      <w:r w:rsidR="00413DED">
        <w:rPr>
          <w:rFonts w:cs="Arial"/>
          <w:lang w:val="en-US"/>
        </w:rPr>
        <w:t xml:space="preserve"> = -0.5, </w:t>
      </w:r>
      <w:r w:rsidR="00413DED" w:rsidRPr="000022BF">
        <w:rPr>
          <w:rFonts w:cs="Arial"/>
          <w:i/>
          <w:lang w:val="en-US"/>
        </w:rPr>
        <w:t>p</w:t>
      </w:r>
      <w:r w:rsidR="00413DED">
        <w:rPr>
          <w:rFonts w:cs="Arial"/>
          <w:lang w:val="en-US"/>
        </w:rPr>
        <w:t xml:space="preserve"> = .609, suggesting that the effect of brightness on people’s sensitivity of reward was not substantially dependent on session order. We note, though, that the latter result should be interpreted with some caution due to the convergence issues that we encountered.</w:t>
      </w:r>
    </w:p>
    <w:p w:rsidR="00FB6380" w:rsidRDefault="00FB6380" w:rsidP="00413DED">
      <w:pPr>
        <w:ind w:firstLine="708"/>
        <w:rPr>
          <w:rFonts w:cs="Arial"/>
          <w:lang w:val="en-US"/>
        </w:rPr>
      </w:pPr>
      <w:r>
        <w:rPr>
          <w:rFonts w:cs="Arial"/>
          <w:lang w:val="en-US"/>
        </w:rPr>
        <w:t xml:space="preserve">For the </w:t>
      </w:r>
      <w:r w:rsidRPr="00F864FF">
        <w:rPr>
          <w:rFonts w:cs="Arial"/>
          <w:u w:val="single"/>
          <w:lang w:val="en-US"/>
        </w:rPr>
        <w:t>2ABT</w:t>
      </w:r>
      <w:r>
        <w:rPr>
          <w:rFonts w:cs="Arial"/>
          <w:lang w:val="en-US"/>
        </w:rPr>
        <w:t xml:space="preserve">, </w:t>
      </w:r>
      <w:r w:rsidR="00324271">
        <w:rPr>
          <w:rFonts w:cs="Arial"/>
          <w:lang w:val="en-US"/>
        </w:rPr>
        <w:t>we re-ran the model that was described in the main text</w:t>
      </w:r>
      <w:r w:rsidR="00F864FF">
        <w:rPr>
          <w:rFonts w:cs="Arial"/>
          <w:lang w:val="en-US"/>
        </w:rPr>
        <w:t xml:space="preserve">. This time, however, we added </w:t>
      </w:r>
      <w:r w:rsidR="00324271">
        <w:rPr>
          <w:rFonts w:cs="Arial"/>
          <w:lang w:val="en-US"/>
        </w:rPr>
        <w:t xml:space="preserve">the </w:t>
      </w:r>
      <w:r w:rsidR="00324271">
        <w:rPr>
          <w:lang w:val="en-US"/>
        </w:rPr>
        <w:t xml:space="preserve">brightness </w:t>
      </w:r>
      <w:r w:rsidR="00324271">
        <w:rPr>
          <w:rFonts w:cs="Arial"/>
          <w:lang w:val="en-US"/>
        </w:rPr>
        <w:t>×</w:t>
      </w:r>
      <w:r w:rsidR="00324271">
        <w:rPr>
          <w:lang w:val="en-US"/>
        </w:rPr>
        <w:t xml:space="preserve"> session interaction. This interaction was not significant, Est = 0.32, </w:t>
      </w:r>
      <w:r w:rsidR="00324271" w:rsidRPr="000022BF">
        <w:rPr>
          <w:i/>
          <w:lang w:val="en-US"/>
        </w:rPr>
        <w:t>t</w:t>
      </w:r>
      <w:r w:rsidR="00324271">
        <w:rPr>
          <w:lang w:val="en-US"/>
        </w:rPr>
        <w:t xml:space="preserve">(33.0) = 1.8, </w:t>
      </w:r>
      <w:r w:rsidR="00324271" w:rsidRPr="000022BF">
        <w:rPr>
          <w:i/>
          <w:lang w:val="en-US"/>
        </w:rPr>
        <w:t>p</w:t>
      </w:r>
      <w:r w:rsidR="00324271">
        <w:rPr>
          <w:lang w:val="en-US"/>
        </w:rPr>
        <w:t xml:space="preserve"> = .083,</w:t>
      </w:r>
      <w:r w:rsidR="00324271">
        <w:rPr>
          <w:lang w:val="en-US"/>
        </w:rPr>
        <w:t xml:space="preserve"> </w:t>
      </w:r>
      <w:r w:rsidR="00324271">
        <w:rPr>
          <w:lang w:val="en-US"/>
        </w:rPr>
        <w:t xml:space="preserve">suggesting that the (null) effect of brightness on </w:t>
      </w:r>
      <w:r w:rsidR="00324271">
        <w:rPr>
          <w:lang w:val="en-US"/>
        </w:rPr>
        <w:t xml:space="preserve">learning rate </w:t>
      </w:r>
      <w:r w:rsidR="00324271">
        <w:rPr>
          <w:rFonts w:ascii="Times New Roman" w:hAnsi="Times New Roman" w:cs="Times New Roman"/>
          <w:lang w:val="en-US"/>
        </w:rPr>
        <w:t>α</w:t>
      </w:r>
      <w:r w:rsidR="00324271">
        <w:rPr>
          <w:lang w:val="en-US"/>
        </w:rPr>
        <w:t xml:space="preserve"> </w:t>
      </w:r>
      <w:r w:rsidR="00324271">
        <w:rPr>
          <w:rFonts w:cs="Arial"/>
          <w:lang w:val="en-US"/>
        </w:rPr>
        <w:t>was not</w:t>
      </w:r>
      <w:r w:rsidR="006B23D3">
        <w:rPr>
          <w:rFonts w:cs="Arial"/>
          <w:lang w:val="en-US"/>
        </w:rPr>
        <w:t xml:space="preserve"> substantially</w:t>
      </w:r>
      <w:r w:rsidR="00324271">
        <w:rPr>
          <w:rFonts w:cs="Arial"/>
          <w:lang w:val="en-US"/>
        </w:rPr>
        <w:t xml:space="preserve"> dependent on session order</w:t>
      </w:r>
      <w:r w:rsidR="006B23D3">
        <w:rPr>
          <w:rFonts w:cs="Arial"/>
          <w:lang w:val="en-US"/>
        </w:rPr>
        <w:t xml:space="preserve">. </w:t>
      </w:r>
    </w:p>
    <w:p w:rsidR="009F79FB" w:rsidRPr="00324271" w:rsidRDefault="00413DED" w:rsidP="00413DED">
      <w:pPr>
        <w:ind w:firstLine="708"/>
        <w:rPr>
          <w:lang w:val="en-US"/>
        </w:rPr>
      </w:pPr>
      <w:r>
        <w:rPr>
          <w:rFonts w:cs="Arial"/>
          <w:lang w:val="en-US"/>
        </w:rPr>
        <w:t xml:space="preserve">For the </w:t>
      </w:r>
      <w:r w:rsidRPr="00FB6380">
        <w:rPr>
          <w:rFonts w:cs="Arial"/>
          <w:u w:val="single"/>
          <w:lang w:val="en-US"/>
        </w:rPr>
        <w:t>BART</w:t>
      </w:r>
      <w:r>
        <w:rPr>
          <w:rFonts w:cs="Arial"/>
          <w:lang w:val="en-US"/>
        </w:rPr>
        <w:t xml:space="preserve">, </w:t>
      </w:r>
      <w:r w:rsidR="00FB6380">
        <w:rPr>
          <w:rFonts w:cs="Arial"/>
          <w:lang w:val="en-US"/>
        </w:rPr>
        <w:t xml:space="preserve">we re-ran the model that was </w:t>
      </w:r>
      <w:r w:rsidR="00FB6380">
        <w:rPr>
          <w:rFonts w:cs="Arial"/>
          <w:lang w:val="en-US"/>
        </w:rPr>
        <w:t>described</w:t>
      </w:r>
      <w:r w:rsidR="00F864FF">
        <w:rPr>
          <w:rFonts w:cs="Arial"/>
          <w:lang w:val="en-US"/>
        </w:rPr>
        <w:t xml:space="preserve"> in the main text. Also here, we added </w:t>
      </w:r>
      <w:r w:rsidR="00FB6380">
        <w:rPr>
          <w:lang w:val="en-US"/>
        </w:rPr>
        <w:t xml:space="preserve">brightness </w:t>
      </w:r>
      <w:r w:rsidR="00FB6380">
        <w:rPr>
          <w:rFonts w:cs="Arial"/>
          <w:lang w:val="en-US"/>
        </w:rPr>
        <w:t>×</w:t>
      </w:r>
      <w:r w:rsidR="00FB6380">
        <w:rPr>
          <w:lang w:val="en-US"/>
        </w:rPr>
        <w:t xml:space="preserve"> session interaction.</w:t>
      </w:r>
      <w:r w:rsidR="00FB6380">
        <w:rPr>
          <w:lang w:val="en-US"/>
        </w:rPr>
        <w:t xml:space="preserve"> This interaction was not significant,</w:t>
      </w:r>
      <w:r w:rsidR="00324271" w:rsidRPr="00324271">
        <w:rPr>
          <w:lang w:val="en-US"/>
        </w:rPr>
        <w:t xml:space="preserve"> </w:t>
      </w:r>
      <w:r w:rsidR="00324271">
        <w:rPr>
          <w:lang w:val="en-US"/>
        </w:rPr>
        <w:t xml:space="preserve">Est = -10.6, </w:t>
      </w:r>
      <w:r w:rsidR="00324271" w:rsidRPr="000022BF">
        <w:rPr>
          <w:i/>
          <w:lang w:val="en-US"/>
        </w:rPr>
        <w:t>t</w:t>
      </w:r>
      <w:r w:rsidR="00324271">
        <w:rPr>
          <w:lang w:val="en-US"/>
        </w:rPr>
        <w:t xml:space="preserve">(33.0) = -1.0, </w:t>
      </w:r>
      <w:r w:rsidR="00324271" w:rsidRPr="000022BF">
        <w:rPr>
          <w:i/>
          <w:lang w:val="en-US"/>
        </w:rPr>
        <w:t>p</w:t>
      </w:r>
      <w:r w:rsidR="00324271">
        <w:rPr>
          <w:lang w:val="en-US"/>
        </w:rPr>
        <w:t xml:space="preserve"> = .316, </w:t>
      </w:r>
      <w:r w:rsidR="00FB6380">
        <w:rPr>
          <w:lang w:val="en-US"/>
        </w:rPr>
        <w:t>suggesting that the (null) effect of brightness on BART</w:t>
      </w:r>
      <w:r w:rsidR="00324271">
        <w:rPr>
          <w:lang w:val="en-US"/>
        </w:rPr>
        <w:t xml:space="preserve"> score</w:t>
      </w:r>
      <w:r w:rsidR="00324271" w:rsidRPr="00324271">
        <w:rPr>
          <w:rFonts w:cs="Arial"/>
          <w:lang w:val="en-US"/>
        </w:rPr>
        <w:t xml:space="preserve"> </w:t>
      </w:r>
      <w:r w:rsidR="00324271">
        <w:rPr>
          <w:rFonts w:cs="Arial"/>
          <w:lang w:val="en-US"/>
        </w:rPr>
        <w:t>was not substantially dependent on session order</w:t>
      </w:r>
    </w:p>
    <w:p w:rsidR="009F79FB" w:rsidRDefault="009F79FB" w:rsidP="009F79FB">
      <w:pPr>
        <w:ind w:firstLine="708"/>
        <w:rPr>
          <w:rFonts w:cs="Arial"/>
          <w:lang w:val="en-US"/>
        </w:rPr>
      </w:pPr>
    </w:p>
    <w:p w:rsidR="00412851" w:rsidRPr="006D5ACE" w:rsidRDefault="00412851">
      <w:pPr>
        <w:rPr>
          <w:lang w:val="en-US"/>
        </w:rPr>
      </w:pPr>
      <w:bookmarkStart w:id="0" w:name="_GoBack"/>
      <w:bookmarkEnd w:id="0"/>
    </w:p>
    <w:sectPr w:rsidR="00412851" w:rsidRPr="006D5AC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EA" w:rsidRDefault="000D22EA">
      <w:pPr>
        <w:spacing w:after="0" w:line="240" w:lineRule="auto"/>
      </w:pPr>
      <w:r>
        <w:separator/>
      </w:r>
    </w:p>
  </w:endnote>
  <w:endnote w:type="continuationSeparator" w:id="0">
    <w:p w:rsidR="000D22EA" w:rsidRDefault="000D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38467"/>
      <w:docPartObj>
        <w:docPartGallery w:val="Page Numbers (Bottom of Page)"/>
        <w:docPartUnique/>
      </w:docPartObj>
    </w:sdtPr>
    <w:sdtEndPr>
      <w:rPr>
        <w:noProof/>
      </w:rPr>
    </w:sdtEndPr>
    <w:sdtContent>
      <w:p w:rsidR="00412851" w:rsidRDefault="00412851">
        <w:pPr>
          <w:pStyle w:val="Footer"/>
          <w:jc w:val="right"/>
        </w:pPr>
        <w:r>
          <w:fldChar w:fldCharType="begin"/>
        </w:r>
        <w:r>
          <w:instrText xml:space="preserve"> PAGE   \* MERGEFORMAT </w:instrText>
        </w:r>
        <w:r>
          <w:fldChar w:fldCharType="separate"/>
        </w:r>
        <w:r w:rsidR="0070510F">
          <w:rPr>
            <w:noProof/>
          </w:rPr>
          <w:t>3</w:t>
        </w:r>
        <w:r>
          <w:rPr>
            <w:noProof/>
          </w:rPr>
          <w:fldChar w:fldCharType="end"/>
        </w:r>
      </w:p>
    </w:sdtContent>
  </w:sdt>
  <w:p w:rsidR="00412851" w:rsidRDefault="0041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EA" w:rsidRDefault="000D22EA">
      <w:pPr>
        <w:spacing w:after="0" w:line="240" w:lineRule="auto"/>
      </w:pPr>
      <w:r>
        <w:separator/>
      </w:r>
    </w:p>
  </w:footnote>
  <w:footnote w:type="continuationSeparator" w:id="0">
    <w:p w:rsidR="000D22EA" w:rsidRDefault="000D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51" w:rsidRDefault="00412851" w:rsidP="006D5ACE">
    <w:pPr>
      <w:pStyle w:val="Header"/>
      <w:jc w:val="center"/>
    </w:pPr>
  </w:p>
  <w:p w:rsidR="00412851" w:rsidRDefault="0041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745"/>
    <w:multiLevelType w:val="hybridMultilevel"/>
    <w:tmpl w:val="26145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D1"/>
    <w:rsid w:val="000022BF"/>
    <w:rsid w:val="000A3A38"/>
    <w:rsid w:val="000B31ED"/>
    <w:rsid w:val="000B67A7"/>
    <w:rsid w:val="000C6B2B"/>
    <w:rsid w:val="000D22EA"/>
    <w:rsid w:val="00135651"/>
    <w:rsid w:val="001D14A0"/>
    <w:rsid w:val="001E0A60"/>
    <w:rsid w:val="002333D1"/>
    <w:rsid w:val="0025062A"/>
    <w:rsid w:val="0025252C"/>
    <w:rsid w:val="002E7875"/>
    <w:rsid w:val="002F0977"/>
    <w:rsid w:val="002F133B"/>
    <w:rsid w:val="00307E17"/>
    <w:rsid w:val="00324271"/>
    <w:rsid w:val="003331EE"/>
    <w:rsid w:val="003656AB"/>
    <w:rsid w:val="00374B67"/>
    <w:rsid w:val="00397A3E"/>
    <w:rsid w:val="003B2681"/>
    <w:rsid w:val="003B757F"/>
    <w:rsid w:val="003F3CA2"/>
    <w:rsid w:val="00412851"/>
    <w:rsid w:val="00413DED"/>
    <w:rsid w:val="00461D59"/>
    <w:rsid w:val="00481564"/>
    <w:rsid w:val="004C6D6A"/>
    <w:rsid w:val="00552E75"/>
    <w:rsid w:val="005D314A"/>
    <w:rsid w:val="0064553F"/>
    <w:rsid w:val="00690C57"/>
    <w:rsid w:val="006943F5"/>
    <w:rsid w:val="006B23D3"/>
    <w:rsid w:val="006B7B6C"/>
    <w:rsid w:val="006D5ACE"/>
    <w:rsid w:val="00703A1C"/>
    <w:rsid w:val="0070510F"/>
    <w:rsid w:val="0072723D"/>
    <w:rsid w:val="007E5BE7"/>
    <w:rsid w:val="00806D0F"/>
    <w:rsid w:val="00877C05"/>
    <w:rsid w:val="008A7631"/>
    <w:rsid w:val="0091582E"/>
    <w:rsid w:val="009428E5"/>
    <w:rsid w:val="00955D2D"/>
    <w:rsid w:val="009F79FB"/>
    <w:rsid w:val="00A109E7"/>
    <w:rsid w:val="00A116BB"/>
    <w:rsid w:val="00A1280C"/>
    <w:rsid w:val="00A9381F"/>
    <w:rsid w:val="00AC530B"/>
    <w:rsid w:val="00AC6855"/>
    <w:rsid w:val="00AF0650"/>
    <w:rsid w:val="00B86ED3"/>
    <w:rsid w:val="00BB00CE"/>
    <w:rsid w:val="00BC3CF0"/>
    <w:rsid w:val="00C01283"/>
    <w:rsid w:val="00C213FE"/>
    <w:rsid w:val="00C27C70"/>
    <w:rsid w:val="00C43D4B"/>
    <w:rsid w:val="00C95916"/>
    <w:rsid w:val="00C97586"/>
    <w:rsid w:val="00CC3510"/>
    <w:rsid w:val="00D6050A"/>
    <w:rsid w:val="00D811A6"/>
    <w:rsid w:val="00D9064E"/>
    <w:rsid w:val="00D933DF"/>
    <w:rsid w:val="00DE1DB8"/>
    <w:rsid w:val="00E308BA"/>
    <w:rsid w:val="00E30A00"/>
    <w:rsid w:val="00E4119F"/>
    <w:rsid w:val="00E81D69"/>
    <w:rsid w:val="00EB6547"/>
    <w:rsid w:val="00EF3FEC"/>
    <w:rsid w:val="00F251BF"/>
    <w:rsid w:val="00F864FF"/>
    <w:rsid w:val="00F90DD9"/>
    <w:rsid w:val="00FB6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2551"/>
  <w15:chartTrackingRefBased/>
  <w15:docId w15:val="{ABAD0BF6-2AA9-4E46-8451-34D1D16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D1"/>
    <w:pPr>
      <w:spacing w:line="360" w:lineRule="auto"/>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3D1"/>
    <w:rPr>
      <w:rFonts w:ascii="Arial" w:hAnsi="Arial"/>
      <w:sz w:val="20"/>
    </w:rPr>
  </w:style>
  <w:style w:type="paragraph" w:styleId="Footer">
    <w:name w:val="footer"/>
    <w:basedOn w:val="Normal"/>
    <w:link w:val="FooterChar"/>
    <w:uiPriority w:val="99"/>
    <w:unhideWhenUsed/>
    <w:rsid w:val="00233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3D1"/>
    <w:rPr>
      <w:rFonts w:ascii="Arial" w:hAnsi="Arial"/>
      <w:sz w:val="20"/>
    </w:rPr>
  </w:style>
  <w:style w:type="table" w:styleId="TableGrid">
    <w:name w:val="Table Grid"/>
    <w:basedOn w:val="TableNormal"/>
    <w:uiPriority w:val="39"/>
    <w:rsid w:val="0023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13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F13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12851"/>
    <w:pPr>
      <w:ind w:left="720"/>
      <w:contextualSpacing/>
    </w:pPr>
  </w:style>
  <w:style w:type="character" w:styleId="Hyperlink">
    <w:name w:val="Hyperlink"/>
    <w:basedOn w:val="DefaultParagraphFont"/>
    <w:uiPriority w:val="99"/>
    <w:unhideWhenUsed/>
    <w:rsid w:val="00413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12">
      <w:bodyDiv w:val="1"/>
      <w:marLeft w:val="0"/>
      <w:marRight w:val="0"/>
      <w:marTop w:val="0"/>
      <w:marBottom w:val="0"/>
      <w:divBdr>
        <w:top w:val="none" w:sz="0" w:space="0" w:color="auto"/>
        <w:left w:val="none" w:sz="0" w:space="0" w:color="auto"/>
        <w:bottom w:val="none" w:sz="0" w:space="0" w:color="auto"/>
        <w:right w:val="none" w:sz="0" w:space="0" w:color="auto"/>
      </w:divBdr>
    </w:div>
    <w:div w:id="568537517">
      <w:bodyDiv w:val="1"/>
      <w:marLeft w:val="0"/>
      <w:marRight w:val="0"/>
      <w:marTop w:val="0"/>
      <w:marBottom w:val="0"/>
      <w:divBdr>
        <w:top w:val="none" w:sz="0" w:space="0" w:color="auto"/>
        <w:left w:val="none" w:sz="0" w:space="0" w:color="auto"/>
        <w:bottom w:val="none" w:sz="0" w:space="0" w:color="auto"/>
        <w:right w:val="none" w:sz="0" w:space="0" w:color="auto"/>
      </w:divBdr>
    </w:div>
    <w:div w:id="683899063">
      <w:bodyDiv w:val="1"/>
      <w:marLeft w:val="0"/>
      <w:marRight w:val="0"/>
      <w:marTop w:val="0"/>
      <w:marBottom w:val="0"/>
      <w:divBdr>
        <w:top w:val="none" w:sz="0" w:space="0" w:color="auto"/>
        <w:left w:val="none" w:sz="0" w:space="0" w:color="auto"/>
        <w:bottom w:val="none" w:sz="0" w:space="0" w:color="auto"/>
        <w:right w:val="none" w:sz="0" w:space="0" w:color="auto"/>
      </w:divBdr>
    </w:div>
    <w:div w:id="876157341">
      <w:bodyDiv w:val="1"/>
      <w:marLeft w:val="0"/>
      <w:marRight w:val="0"/>
      <w:marTop w:val="0"/>
      <w:marBottom w:val="0"/>
      <w:divBdr>
        <w:top w:val="none" w:sz="0" w:space="0" w:color="auto"/>
        <w:left w:val="none" w:sz="0" w:space="0" w:color="auto"/>
        <w:bottom w:val="none" w:sz="0" w:space="0" w:color="auto"/>
        <w:right w:val="none" w:sz="0" w:space="0" w:color="auto"/>
      </w:divBdr>
    </w:div>
    <w:div w:id="1345788032">
      <w:bodyDiv w:val="1"/>
      <w:marLeft w:val="0"/>
      <w:marRight w:val="0"/>
      <w:marTop w:val="0"/>
      <w:marBottom w:val="0"/>
      <w:divBdr>
        <w:top w:val="none" w:sz="0" w:space="0" w:color="auto"/>
        <w:left w:val="none" w:sz="0" w:space="0" w:color="auto"/>
        <w:bottom w:val="none" w:sz="0" w:space="0" w:color="auto"/>
        <w:right w:val="none" w:sz="0" w:space="0" w:color="auto"/>
      </w:divBdr>
    </w:div>
    <w:div w:id="1526360318">
      <w:bodyDiv w:val="1"/>
      <w:marLeft w:val="0"/>
      <w:marRight w:val="0"/>
      <w:marTop w:val="0"/>
      <w:marBottom w:val="0"/>
      <w:divBdr>
        <w:top w:val="none" w:sz="0" w:space="0" w:color="auto"/>
        <w:left w:val="none" w:sz="0" w:space="0" w:color="auto"/>
        <w:bottom w:val="none" w:sz="0" w:space="0" w:color="auto"/>
        <w:right w:val="none" w:sz="0" w:space="0" w:color="auto"/>
      </w:divBdr>
    </w:div>
    <w:div w:id="1630162715">
      <w:bodyDiv w:val="1"/>
      <w:marLeft w:val="0"/>
      <w:marRight w:val="0"/>
      <w:marTop w:val="0"/>
      <w:marBottom w:val="0"/>
      <w:divBdr>
        <w:top w:val="none" w:sz="0" w:space="0" w:color="auto"/>
        <w:left w:val="none" w:sz="0" w:space="0" w:color="auto"/>
        <w:bottom w:val="none" w:sz="0" w:space="0" w:color="auto"/>
        <w:right w:val="none" w:sz="0" w:space="0" w:color="auto"/>
      </w:divBdr>
    </w:div>
    <w:div w:id="1657491437">
      <w:bodyDiv w:val="1"/>
      <w:marLeft w:val="0"/>
      <w:marRight w:val="0"/>
      <w:marTop w:val="0"/>
      <w:marBottom w:val="0"/>
      <w:divBdr>
        <w:top w:val="none" w:sz="0" w:space="0" w:color="auto"/>
        <w:left w:val="none" w:sz="0" w:space="0" w:color="auto"/>
        <w:bottom w:val="none" w:sz="0" w:space="0" w:color="auto"/>
        <w:right w:val="none" w:sz="0" w:space="0" w:color="auto"/>
      </w:divBdr>
    </w:div>
    <w:div w:id="1978296212">
      <w:bodyDiv w:val="1"/>
      <w:marLeft w:val="0"/>
      <w:marRight w:val="0"/>
      <w:marTop w:val="0"/>
      <w:marBottom w:val="0"/>
      <w:divBdr>
        <w:top w:val="none" w:sz="0" w:space="0" w:color="auto"/>
        <w:left w:val="none" w:sz="0" w:space="0" w:color="auto"/>
        <w:bottom w:val="none" w:sz="0" w:space="0" w:color="auto"/>
        <w:right w:val="none" w:sz="0" w:space="0" w:color="auto"/>
      </w:divBdr>
    </w:div>
    <w:div w:id="20056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nqdh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819</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55</cp:revision>
  <dcterms:created xsi:type="dcterms:W3CDTF">2017-09-14T16:08:00Z</dcterms:created>
  <dcterms:modified xsi:type="dcterms:W3CDTF">2018-03-15T14:46:00Z</dcterms:modified>
</cp:coreProperties>
</file>