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1A096" w14:textId="7115A157" w:rsidR="00E57CCF" w:rsidRPr="00B71203" w:rsidRDefault="00B71203" w:rsidP="00B71203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Supplemental Material</w:t>
      </w:r>
    </w:p>
    <w:p w14:paraId="52CADF75" w14:textId="77777777" w:rsidR="00E57CCF" w:rsidRDefault="00E57CCF" w:rsidP="00E512D8">
      <w:pPr>
        <w:rPr>
          <w:rFonts w:ascii="Times New Roman" w:hAnsi="Times New Roman" w:cs="Times New Roman"/>
          <w:sz w:val="22"/>
          <w:szCs w:val="20"/>
        </w:rPr>
      </w:pPr>
    </w:p>
    <w:p w14:paraId="284D7F2F" w14:textId="77777777" w:rsidR="003B4894" w:rsidRPr="006002BD" w:rsidRDefault="003B4894" w:rsidP="003B4894">
      <w:pPr>
        <w:spacing w:line="48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002BD">
        <w:rPr>
          <w:rFonts w:ascii="Times New Roman" w:hAnsi="Times New Roman" w:cs="Times New Roman"/>
          <w:b/>
          <w:sz w:val="22"/>
          <w:szCs w:val="22"/>
        </w:rPr>
        <w:t xml:space="preserve">Path Analysis Model </w:t>
      </w:r>
    </w:p>
    <w:p w14:paraId="4014F7CE" w14:textId="298C9EF1" w:rsidR="003B4894" w:rsidRPr="006002BD" w:rsidRDefault="003B4894" w:rsidP="003B4894">
      <w:pPr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002BD">
        <w:rPr>
          <w:rFonts w:ascii="Times New Roman" w:hAnsi="Times New Roman" w:cs="Times New Roman"/>
          <w:b/>
          <w:sz w:val="22"/>
          <w:szCs w:val="22"/>
        </w:rPr>
        <w:tab/>
        <w:t>Model 1</w:t>
      </w:r>
      <w:r>
        <w:rPr>
          <w:rFonts w:ascii="Times New Roman" w:hAnsi="Times New Roman" w:cs="Times New Roman"/>
          <w:b/>
          <w:sz w:val="22"/>
          <w:szCs w:val="22"/>
        </w:rPr>
        <w:t xml:space="preserve"> with the Deprivation Items Coded Absent only if </w:t>
      </w:r>
      <w:r w:rsidR="001B0EDD" w:rsidRPr="001B0EDD">
        <w:rPr>
          <w:rFonts w:ascii="Times New Roman" w:hAnsi="Times New Roman" w:cs="Times New Roman"/>
          <w:b/>
          <w:sz w:val="22"/>
          <w:szCs w:val="22"/>
          <w:u w:val="single"/>
        </w:rPr>
        <w:t>both</w:t>
      </w:r>
      <w:r w:rsidR="008A42C7">
        <w:rPr>
          <w:rFonts w:ascii="Times New Roman" w:hAnsi="Times New Roman" w:cs="Times New Roman"/>
          <w:b/>
          <w:sz w:val="22"/>
          <w:szCs w:val="22"/>
        </w:rPr>
        <w:t xml:space="preserve"> Raters Noted It As Missing</w:t>
      </w:r>
      <w:r w:rsidRPr="006002B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B0EDD">
        <w:rPr>
          <w:rFonts w:ascii="Times New Roman" w:hAnsi="Times New Roman" w:cs="Times New Roman"/>
          <w:sz w:val="22"/>
          <w:szCs w:val="22"/>
        </w:rPr>
        <w:t xml:space="preserve">This model is identical to Model 1 in the primary manuscript. The only difference in this model is the alternative calculation of the deprivation variable. As noted in the manuscript, this alternative composition includes a score on each of the indicators only if </w:t>
      </w:r>
      <w:r w:rsidR="001B0EDD" w:rsidRPr="001B0EDD">
        <w:rPr>
          <w:rFonts w:ascii="Times New Roman" w:hAnsi="Times New Roman" w:cs="Times New Roman"/>
          <w:sz w:val="22"/>
          <w:szCs w:val="22"/>
          <w:u w:val="single"/>
        </w:rPr>
        <w:t>both</w:t>
      </w:r>
      <w:r w:rsidR="001B0EDD">
        <w:rPr>
          <w:rFonts w:ascii="Times New Roman" w:hAnsi="Times New Roman" w:cs="Times New Roman"/>
          <w:sz w:val="22"/>
          <w:szCs w:val="22"/>
        </w:rPr>
        <w:t xml:space="preserve"> coders noted the item as absent from the child’s environment. </w:t>
      </w:r>
      <w:r w:rsidRPr="006002BD">
        <w:rPr>
          <w:rFonts w:ascii="Times New Roman" w:hAnsi="Times New Roman" w:cs="Times New Roman"/>
          <w:sz w:val="22"/>
          <w:szCs w:val="22"/>
        </w:rPr>
        <w:t xml:space="preserve">In this model, we estimated the effects of deprivation and threat among participants prior to age 6 on internalizing and externalizing problems at age 17 through verbal abilities at age 14. Deprivation and threat as well as internalizing and externalizing problems were allowed to </w:t>
      </w:r>
      <w:proofErr w:type="spellStart"/>
      <w:r w:rsidRPr="006002BD">
        <w:rPr>
          <w:rFonts w:ascii="Times New Roman" w:hAnsi="Times New Roman" w:cs="Times New Roman"/>
          <w:sz w:val="22"/>
          <w:szCs w:val="22"/>
        </w:rPr>
        <w:t>covary</w:t>
      </w:r>
      <w:proofErr w:type="spellEnd"/>
      <w:r w:rsidRPr="006002BD">
        <w:rPr>
          <w:rFonts w:ascii="Times New Roman" w:hAnsi="Times New Roman" w:cs="Times New Roman"/>
          <w:sz w:val="22"/>
          <w:szCs w:val="22"/>
        </w:rPr>
        <w:t>. Additionally, this model includes</w:t>
      </w:r>
      <w:r w:rsidR="00683D22">
        <w:rPr>
          <w:rFonts w:ascii="Times New Roman" w:hAnsi="Times New Roman" w:cs="Times New Roman"/>
          <w:sz w:val="22"/>
          <w:szCs w:val="22"/>
        </w:rPr>
        <w:t xml:space="preserve"> SES as a predictor of internalizing and externalizing problems and</w:t>
      </w:r>
      <w:r w:rsidRPr="006002BD">
        <w:rPr>
          <w:rFonts w:ascii="Times New Roman" w:hAnsi="Times New Roman" w:cs="Times New Roman"/>
          <w:sz w:val="22"/>
          <w:szCs w:val="22"/>
        </w:rPr>
        <w:t xml:space="preserve"> biological sex as a predictor of each variable in the model. The overall model fit was excellent, </w:t>
      </w:r>
      <w:r w:rsidRPr="006002BD">
        <w:rPr>
          <w:rFonts w:ascii="Times New Roman" w:hAnsi="Times New Roman" w:cs="Times New Roman"/>
          <w:i/>
          <w:sz w:val="22"/>
          <w:szCs w:val="22"/>
        </w:rPr>
        <w:t>χ</w:t>
      </w:r>
      <w:r w:rsidRPr="006002BD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6002BD">
        <w:rPr>
          <w:rFonts w:ascii="Times New Roman" w:hAnsi="Times New Roman" w:cs="Times New Roman"/>
          <w:sz w:val="22"/>
          <w:szCs w:val="22"/>
        </w:rPr>
        <w:t>(</w:t>
      </w:r>
      <w:r w:rsidR="001A7E82">
        <w:rPr>
          <w:rFonts w:ascii="Times New Roman" w:hAnsi="Times New Roman" w:cs="Times New Roman"/>
          <w:sz w:val="22"/>
          <w:szCs w:val="22"/>
        </w:rPr>
        <w:t>4</w:t>
      </w:r>
      <w:r w:rsidRPr="006002BD">
        <w:rPr>
          <w:rFonts w:ascii="Times New Roman" w:hAnsi="Times New Roman" w:cs="Times New Roman"/>
          <w:sz w:val="22"/>
          <w:szCs w:val="22"/>
        </w:rPr>
        <w:t xml:space="preserve">) = </w:t>
      </w:r>
      <w:r w:rsidR="001A7E82">
        <w:rPr>
          <w:rFonts w:ascii="Times New Roman" w:hAnsi="Times New Roman" w:cs="Times New Roman"/>
          <w:sz w:val="22"/>
          <w:szCs w:val="22"/>
        </w:rPr>
        <w:t>3</w:t>
      </w:r>
      <w:r w:rsidR="006E3555">
        <w:rPr>
          <w:rFonts w:ascii="Times New Roman" w:hAnsi="Times New Roman" w:cs="Times New Roman"/>
          <w:sz w:val="22"/>
          <w:szCs w:val="22"/>
        </w:rPr>
        <w:t>.</w:t>
      </w:r>
      <w:r w:rsidR="001A7E82">
        <w:rPr>
          <w:rFonts w:ascii="Times New Roman" w:hAnsi="Times New Roman" w:cs="Times New Roman"/>
          <w:sz w:val="22"/>
          <w:szCs w:val="22"/>
        </w:rPr>
        <w:t>33</w:t>
      </w:r>
      <w:r w:rsidRPr="006002BD">
        <w:rPr>
          <w:rFonts w:ascii="Times New Roman" w:hAnsi="Times New Roman" w:cs="Times New Roman"/>
          <w:sz w:val="22"/>
          <w:szCs w:val="22"/>
        </w:rPr>
        <w:t xml:space="preserve">, </w:t>
      </w:r>
      <w:r w:rsidRPr="006002BD">
        <w:rPr>
          <w:rFonts w:ascii="Times New Roman" w:hAnsi="Times New Roman" w:cs="Times New Roman"/>
          <w:i/>
          <w:sz w:val="22"/>
          <w:szCs w:val="22"/>
        </w:rPr>
        <w:t>p</w:t>
      </w:r>
      <w:r w:rsidRPr="006002BD">
        <w:rPr>
          <w:rFonts w:ascii="Times New Roman" w:hAnsi="Times New Roman" w:cs="Times New Roman"/>
          <w:sz w:val="22"/>
          <w:szCs w:val="22"/>
        </w:rPr>
        <w:t xml:space="preserve"> = .</w:t>
      </w:r>
      <w:r w:rsidR="001A7E82">
        <w:rPr>
          <w:rFonts w:ascii="Times New Roman" w:hAnsi="Times New Roman" w:cs="Times New Roman"/>
          <w:sz w:val="22"/>
          <w:szCs w:val="22"/>
        </w:rPr>
        <w:t>50</w:t>
      </w:r>
      <w:r w:rsidRPr="006002BD">
        <w:rPr>
          <w:rFonts w:ascii="Times New Roman" w:hAnsi="Times New Roman" w:cs="Times New Roman"/>
          <w:sz w:val="22"/>
          <w:szCs w:val="22"/>
        </w:rPr>
        <w:t>; CFI</w:t>
      </w:r>
      <w:r w:rsidRPr="006002B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002BD">
        <w:rPr>
          <w:rFonts w:ascii="Times New Roman" w:hAnsi="Times New Roman" w:cs="Times New Roman"/>
          <w:sz w:val="22"/>
          <w:szCs w:val="22"/>
        </w:rPr>
        <w:t xml:space="preserve">= </w:t>
      </w:r>
      <w:r w:rsidR="006E3555">
        <w:rPr>
          <w:rFonts w:ascii="Times New Roman" w:hAnsi="Times New Roman" w:cs="Times New Roman"/>
          <w:sz w:val="22"/>
          <w:szCs w:val="22"/>
        </w:rPr>
        <w:t>1</w:t>
      </w:r>
      <w:r w:rsidRPr="006002BD">
        <w:rPr>
          <w:rFonts w:ascii="Times New Roman" w:hAnsi="Times New Roman" w:cs="Times New Roman"/>
          <w:sz w:val="22"/>
          <w:szCs w:val="22"/>
        </w:rPr>
        <w:t>; RMSEA</w:t>
      </w:r>
      <w:r w:rsidRPr="006002B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002BD">
        <w:rPr>
          <w:rFonts w:ascii="Times New Roman" w:hAnsi="Times New Roman" w:cs="Times New Roman"/>
          <w:sz w:val="22"/>
          <w:szCs w:val="22"/>
        </w:rPr>
        <w:t xml:space="preserve">= </w:t>
      </w:r>
      <w:r w:rsidR="006E3555">
        <w:rPr>
          <w:rFonts w:ascii="Times New Roman" w:hAnsi="Times New Roman" w:cs="Times New Roman"/>
          <w:sz w:val="22"/>
          <w:szCs w:val="22"/>
        </w:rPr>
        <w:t>&lt;</w:t>
      </w:r>
      <w:r w:rsidRPr="006002BD">
        <w:rPr>
          <w:rFonts w:ascii="Times New Roman" w:hAnsi="Times New Roman" w:cs="Times New Roman"/>
          <w:sz w:val="22"/>
          <w:szCs w:val="22"/>
        </w:rPr>
        <w:t>.0</w:t>
      </w:r>
      <w:r w:rsidR="006E3555">
        <w:rPr>
          <w:rFonts w:ascii="Times New Roman" w:hAnsi="Times New Roman" w:cs="Times New Roman"/>
          <w:sz w:val="22"/>
          <w:szCs w:val="22"/>
        </w:rPr>
        <w:t>01</w:t>
      </w:r>
      <w:r w:rsidRPr="006002BD">
        <w:rPr>
          <w:rFonts w:ascii="Times New Roman" w:hAnsi="Times New Roman" w:cs="Times New Roman"/>
          <w:sz w:val="22"/>
          <w:szCs w:val="22"/>
        </w:rPr>
        <w:t>, 90%CI [.00, .0</w:t>
      </w:r>
      <w:r w:rsidR="001A7E82">
        <w:rPr>
          <w:rFonts w:ascii="Times New Roman" w:hAnsi="Times New Roman" w:cs="Times New Roman"/>
          <w:sz w:val="22"/>
          <w:szCs w:val="22"/>
        </w:rPr>
        <w:t>6</w:t>
      </w:r>
      <w:r w:rsidRPr="006002BD">
        <w:rPr>
          <w:rFonts w:ascii="Times New Roman" w:hAnsi="Times New Roman" w:cs="Times New Roman"/>
          <w:sz w:val="22"/>
          <w:szCs w:val="22"/>
        </w:rPr>
        <w:t>]; SRMR = .02.</w:t>
      </w:r>
    </w:p>
    <w:p w14:paraId="7F73697B" w14:textId="743845AA" w:rsidR="003B4894" w:rsidRPr="006002BD" w:rsidRDefault="006E3555" w:rsidP="003B4894">
      <w:pPr>
        <w:spacing w:line="480" w:lineRule="auto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this model, g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reater experiences of deprivation </w:t>
      </w:r>
      <w:r w:rsidR="003B4894">
        <w:rPr>
          <w:rFonts w:ascii="Times New Roman" w:hAnsi="Times New Roman" w:cs="Times New Roman"/>
          <w:sz w:val="22"/>
          <w:szCs w:val="22"/>
        </w:rPr>
        <w:t>were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associated with significantly lower verbal abilities at age 14,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>ß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= -.2</w:t>
      </w:r>
      <w:r w:rsidR="001A7E82">
        <w:rPr>
          <w:rFonts w:ascii="Times New Roman" w:hAnsi="Times New Roman" w:cs="Times New Roman"/>
          <w:sz w:val="22"/>
          <w:szCs w:val="22"/>
        </w:rPr>
        <w:t>6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p 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&lt; .001. Scores on the threat index were not associated with verbal abilities at age 14,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>ß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= -.05,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p </w:t>
      </w:r>
      <w:r w:rsidR="003B4894" w:rsidRPr="006002BD">
        <w:rPr>
          <w:rFonts w:ascii="Times New Roman" w:hAnsi="Times New Roman" w:cs="Times New Roman"/>
          <w:sz w:val="22"/>
          <w:szCs w:val="22"/>
        </w:rPr>
        <w:t>= .3</w:t>
      </w:r>
      <w:r w:rsidR="001A7E82">
        <w:rPr>
          <w:rFonts w:ascii="Times New Roman" w:hAnsi="Times New Roman" w:cs="Times New Roman"/>
          <w:sz w:val="22"/>
          <w:szCs w:val="22"/>
        </w:rPr>
        <w:t>4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. Lower verbal abilities were significantly associated with greater externalizing problems,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>ß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= -.</w:t>
      </w:r>
      <w:r w:rsidR="005A7D36">
        <w:rPr>
          <w:rFonts w:ascii="Times New Roman" w:hAnsi="Times New Roman" w:cs="Times New Roman"/>
          <w:sz w:val="22"/>
          <w:szCs w:val="22"/>
        </w:rPr>
        <w:t>16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p </w:t>
      </w:r>
      <w:r w:rsidR="00E51616">
        <w:rPr>
          <w:rFonts w:ascii="Times New Roman" w:hAnsi="Times New Roman" w:cs="Times New Roman"/>
          <w:sz w:val="22"/>
          <w:szCs w:val="22"/>
        </w:rPr>
        <w:t>&lt; .0</w:t>
      </w:r>
      <w:r w:rsidR="00D514FB">
        <w:rPr>
          <w:rFonts w:ascii="Times New Roman" w:hAnsi="Times New Roman" w:cs="Times New Roman"/>
          <w:sz w:val="22"/>
          <w:szCs w:val="22"/>
        </w:rPr>
        <w:t>1</w:t>
      </w:r>
      <w:r w:rsidR="00E51616">
        <w:rPr>
          <w:rFonts w:ascii="Times New Roman" w:hAnsi="Times New Roman" w:cs="Times New Roman"/>
          <w:sz w:val="22"/>
          <w:szCs w:val="22"/>
        </w:rPr>
        <w:t xml:space="preserve">, 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but not internalizing problems,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>ß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=-.01,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p </w:t>
      </w:r>
      <w:r w:rsidR="003B4894" w:rsidRPr="006002BD">
        <w:rPr>
          <w:rFonts w:ascii="Times New Roman" w:hAnsi="Times New Roman" w:cs="Times New Roman"/>
          <w:sz w:val="22"/>
          <w:szCs w:val="22"/>
        </w:rPr>
        <w:t>= .9</w:t>
      </w:r>
      <w:r w:rsidR="005A7D36">
        <w:rPr>
          <w:rFonts w:ascii="Times New Roman" w:hAnsi="Times New Roman" w:cs="Times New Roman"/>
          <w:sz w:val="22"/>
          <w:szCs w:val="22"/>
        </w:rPr>
        <w:t>0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9A2971D" w14:textId="2BEF46A4" w:rsidR="003B4894" w:rsidRPr="006002BD" w:rsidRDefault="005A7D36" w:rsidP="003B4894">
      <w:pPr>
        <w:spacing w:line="480" w:lineRule="auto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3B4894" w:rsidRPr="006002BD">
        <w:rPr>
          <w:rFonts w:ascii="Times New Roman" w:hAnsi="Times New Roman" w:cs="Times New Roman"/>
          <w:sz w:val="22"/>
          <w:szCs w:val="22"/>
        </w:rPr>
        <w:t>reater experiences of deprivation before age 6 were not directly associated with increased externalizing</w:t>
      </w:r>
      <w:r w:rsidR="00202750">
        <w:rPr>
          <w:rFonts w:ascii="Times New Roman" w:hAnsi="Times New Roman" w:cs="Times New Roman"/>
          <w:sz w:val="22"/>
          <w:szCs w:val="22"/>
        </w:rPr>
        <w:t xml:space="preserve">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>ß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= .0</w:t>
      </w:r>
      <w:r>
        <w:rPr>
          <w:rFonts w:ascii="Times New Roman" w:hAnsi="Times New Roman" w:cs="Times New Roman"/>
          <w:sz w:val="22"/>
          <w:szCs w:val="22"/>
        </w:rPr>
        <w:t>1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p </w:t>
      </w:r>
      <w:r w:rsidR="003B4894" w:rsidRPr="006002BD">
        <w:rPr>
          <w:rFonts w:ascii="Times New Roman" w:hAnsi="Times New Roman" w:cs="Times New Roman"/>
          <w:sz w:val="22"/>
          <w:szCs w:val="22"/>
        </w:rPr>
        <w:t>= .</w:t>
      </w:r>
      <w:r>
        <w:rPr>
          <w:rFonts w:ascii="Times New Roman" w:hAnsi="Times New Roman" w:cs="Times New Roman"/>
          <w:sz w:val="22"/>
          <w:szCs w:val="22"/>
        </w:rPr>
        <w:t>91</w:t>
      </w:r>
      <w:r w:rsidR="00202750">
        <w:rPr>
          <w:rFonts w:ascii="Times New Roman" w:hAnsi="Times New Roman" w:cs="Times New Roman"/>
          <w:sz w:val="22"/>
          <w:szCs w:val="22"/>
        </w:rPr>
        <w:t xml:space="preserve">, </w:t>
      </w:r>
      <w:r w:rsidR="003B4894" w:rsidRPr="006002BD">
        <w:rPr>
          <w:rFonts w:ascii="Times New Roman" w:hAnsi="Times New Roman" w:cs="Times New Roman"/>
          <w:sz w:val="22"/>
          <w:szCs w:val="22"/>
        </w:rPr>
        <w:t>or internalizing</w:t>
      </w:r>
      <w:r w:rsidR="00202750">
        <w:rPr>
          <w:rFonts w:ascii="Times New Roman" w:hAnsi="Times New Roman" w:cs="Times New Roman"/>
          <w:sz w:val="22"/>
          <w:szCs w:val="22"/>
        </w:rPr>
        <w:t xml:space="preserve">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>ß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= .</w:t>
      </w:r>
      <w:r w:rsidR="00CD0735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1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p </w:t>
      </w:r>
      <w:r w:rsidR="003B4894" w:rsidRPr="006002BD">
        <w:rPr>
          <w:rFonts w:ascii="Times New Roman" w:hAnsi="Times New Roman" w:cs="Times New Roman"/>
          <w:sz w:val="22"/>
          <w:szCs w:val="22"/>
        </w:rPr>
        <w:t>= .</w:t>
      </w:r>
      <w:r>
        <w:rPr>
          <w:rFonts w:ascii="Times New Roman" w:hAnsi="Times New Roman" w:cs="Times New Roman"/>
          <w:sz w:val="22"/>
          <w:szCs w:val="22"/>
        </w:rPr>
        <w:t>91</w:t>
      </w:r>
      <w:r w:rsidR="00202750">
        <w:rPr>
          <w:rFonts w:ascii="Times New Roman" w:hAnsi="Times New Roman" w:cs="Times New Roman"/>
          <w:sz w:val="22"/>
          <w:szCs w:val="22"/>
        </w:rPr>
        <w:t>,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problems at age 17. However, consistent with the main study hypothesis, the indirect effect of greater deprivation </w:t>
      </w:r>
      <w:r w:rsidR="00532D20">
        <w:rPr>
          <w:rFonts w:ascii="Times New Roman" w:hAnsi="Times New Roman" w:cs="Times New Roman"/>
          <w:sz w:val="22"/>
          <w:szCs w:val="22"/>
        </w:rPr>
        <w:t>on</w:t>
      </w:r>
      <w:r w:rsidR="00532D20" w:rsidRPr="006002BD">
        <w:rPr>
          <w:rFonts w:ascii="Times New Roman" w:hAnsi="Times New Roman" w:cs="Times New Roman"/>
          <w:sz w:val="22"/>
          <w:szCs w:val="22"/>
        </w:rPr>
        <w:t xml:space="preserve"> 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higher externalizing problems via lower verbal abilities at age 14 was significant,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sym w:font="Symbol" w:char="F062"/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4894" w:rsidRPr="006002BD">
        <w:rPr>
          <w:rFonts w:ascii="Times New Roman" w:hAnsi="Times New Roman" w:cs="Times New Roman"/>
          <w:sz w:val="22"/>
          <w:szCs w:val="22"/>
        </w:rPr>
        <w:t>= 0.</w:t>
      </w:r>
      <w:r>
        <w:rPr>
          <w:rFonts w:ascii="Times New Roman" w:hAnsi="Times New Roman" w:cs="Times New Roman"/>
          <w:sz w:val="22"/>
          <w:szCs w:val="22"/>
        </w:rPr>
        <w:t>18</w:t>
      </w:r>
      <w:r w:rsidR="003B4894" w:rsidRPr="006002BD">
        <w:rPr>
          <w:rFonts w:ascii="Times New Roman" w:hAnsi="Times New Roman" w:cs="Times New Roman"/>
          <w:sz w:val="22"/>
          <w:szCs w:val="22"/>
        </w:rPr>
        <w:t>, 95% CI [</w:t>
      </w:r>
      <w:r w:rsidR="00E44686">
        <w:rPr>
          <w:rFonts w:ascii="Times New Roman" w:hAnsi="Times New Roman" w:cs="Times New Roman"/>
          <w:sz w:val="22"/>
          <w:szCs w:val="22"/>
        </w:rPr>
        <w:t>0.</w:t>
      </w:r>
      <w:r>
        <w:rPr>
          <w:rFonts w:ascii="Times New Roman" w:hAnsi="Times New Roman" w:cs="Times New Roman"/>
          <w:sz w:val="22"/>
          <w:szCs w:val="22"/>
        </w:rPr>
        <w:t>05</w:t>
      </w:r>
      <w:r w:rsidR="00E44686">
        <w:rPr>
          <w:rFonts w:ascii="Times New Roman" w:hAnsi="Times New Roman" w:cs="Times New Roman"/>
          <w:sz w:val="22"/>
          <w:szCs w:val="22"/>
        </w:rPr>
        <w:t>, .</w:t>
      </w:r>
      <w:r>
        <w:rPr>
          <w:rFonts w:ascii="Times New Roman" w:hAnsi="Times New Roman" w:cs="Times New Roman"/>
          <w:sz w:val="22"/>
          <w:szCs w:val="22"/>
        </w:rPr>
        <w:t>36</w:t>
      </w:r>
      <w:r w:rsidR="003B4894" w:rsidRPr="006002BD">
        <w:rPr>
          <w:rFonts w:ascii="Times New Roman" w:hAnsi="Times New Roman" w:cs="Times New Roman"/>
          <w:sz w:val="22"/>
          <w:szCs w:val="22"/>
        </w:rPr>
        <w:t>]. In contrast, greater experiences of threat before age 6 were directly associated with significantly higher externalizing</w:t>
      </w:r>
      <w:r w:rsidR="00202750">
        <w:rPr>
          <w:rFonts w:ascii="Times New Roman" w:hAnsi="Times New Roman" w:cs="Times New Roman"/>
          <w:sz w:val="22"/>
          <w:szCs w:val="22"/>
        </w:rPr>
        <w:t xml:space="preserve">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>ß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= .20,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p </w:t>
      </w:r>
      <w:r w:rsidR="00202750">
        <w:rPr>
          <w:rFonts w:ascii="Times New Roman" w:hAnsi="Times New Roman" w:cs="Times New Roman"/>
          <w:sz w:val="22"/>
          <w:szCs w:val="22"/>
        </w:rPr>
        <w:t xml:space="preserve">&lt; .01, and internalizing,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>ß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= .19,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p </w:t>
      </w:r>
      <w:r w:rsidR="00202750">
        <w:rPr>
          <w:rFonts w:ascii="Times New Roman" w:hAnsi="Times New Roman" w:cs="Times New Roman"/>
          <w:sz w:val="22"/>
          <w:szCs w:val="22"/>
        </w:rPr>
        <w:t>&lt; .01,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problems at age 17 and the indirect effect from greater threat to higher externalizing problems via lower verbal abilities was non-significant, </w:t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sym w:font="Symbol" w:char="F062"/>
      </w:r>
      <w:r w:rsidR="003B4894" w:rsidRPr="006002B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4894" w:rsidRPr="006002BD">
        <w:rPr>
          <w:rFonts w:ascii="Times New Roman" w:hAnsi="Times New Roman" w:cs="Times New Roman"/>
          <w:sz w:val="22"/>
          <w:szCs w:val="22"/>
        </w:rPr>
        <w:t>=</w:t>
      </w:r>
      <w:r w:rsidR="00E44686">
        <w:rPr>
          <w:rFonts w:ascii="Times New Roman" w:hAnsi="Times New Roman" w:cs="Times New Roman"/>
          <w:sz w:val="22"/>
          <w:szCs w:val="22"/>
        </w:rPr>
        <w:t>0.0</w:t>
      </w:r>
      <w:r w:rsidR="00A328B5">
        <w:rPr>
          <w:rFonts w:ascii="Times New Roman" w:hAnsi="Times New Roman" w:cs="Times New Roman"/>
          <w:sz w:val="22"/>
          <w:szCs w:val="22"/>
        </w:rPr>
        <w:t>7</w:t>
      </w:r>
      <w:r w:rsidR="00E44686">
        <w:rPr>
          <w:rFonts w:ascii="Times New Roman" w:hAnsi="Times New Roman" w:cs="Times New Roman"/>
          <w:sz w:val="22"/>
          <w:szCs w:val="22"/>
        </w:rPr>
        <w:t>, 95% CI [-.0</w:t>
      </w:r>
      <w:r w:rsidR="00A328B5">
        <w:rPr>
          <w:rFonts w:ascii="Times New Roman" w:hAnsi="Times New Roman" w:cs="Times New Roman"/>
          <w:sz w:val="22"/>
          <w:szCs w:val="22"/>
        </w:rPr>
        <w:t>5</w:t>
      </w:r>
      <w:r w:rsidR="00E44686">
        <w:rPr>
          <w:rFonts w:ascii="Times New Roman" w:hAnsi="Times New Roman" w:cs="Times New Roman"/>
          <w:sz w:val="22"/>
          <w:szCs w:val="22"/>
        </w:rPr>
        <w:t>, 0.2</w:t>
      </w:r>
      <w:r w:rsidR="00A328B5">
        <w:rPr>
          <w:rFonts w:ascii="Times New Roman" w:hAnsi="Times New Roman" w:cs="Times New Roman"/>
          <w:sz w:val="22"/>
          <w:szCs w:val="22"/>
        </w:rPr>
        <w:t>8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]. </w:t>
      </w:r>
      <w:r w:rsidR="003B4894" w:rsidRPr="00E44686">
        <w:rPr>
          <w:rFonts w:ascii="Times New Roman" w:hAnsi="Times New Roman" w:cs="Times New Roman"/>
          <w:sz w:val="22"/>
          <w:szCs w:val="22"/>
        </w:rPr>
        <w:t xml:space="preserve">There were no significant indirect effects </w:t>
      </w:r>
      <w:r w:rsidR="00532D20" w:rsidRPr="00E44686">
        <w:rPr>
          <w:rFonts w:ascii="Times New Roman" w:hAnsi="Times New Roman" w:cs="Times New Roman"/>
          <w:sz w:val="22"/>
          <w:szCs w:val="22"/>
        </w:rPr>
        <w:t xml:space="preserve">of </w:t>
      </w:r>
      <w:r w:rsidR="003B4894" w:rsidRPr="00E44686">
        <w:rPr>
          <w:rFonts w:ascii="Times New Roman" w:hAnsi="Times New Roman" w:cs="Times New Roman"/>
          <w:sz w:val="22"/>
          <w:szCs w:val="22"/>
        </w:rPr>
        <w:t xml:space="preserve">deprivation or threat on internalizing problems via verbal abilities, </w:t>
      </w:r>
      <w:r w:rsidR="003B4894" w:rsidRPr="00E44686">
        <w:rPr>
          <w:rFonts w:ascii="Times New Roman" w:hAnsi="Times New Roman" w:cs="Times New Roman"/>
          <w:i/>
          <w:sz w:val="22"/>
          <w:szCs w:val="22"/>
        </w:rPr>
        <w:sym w:font="Symbol" w:char="F062"/>
      </w:r>
      <w:r w:rsidR="003B4894" w:rsidRPr="00E4468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44686" w:rsidRPr="00E44686">
        <w:rPr>
          <w:rFonts w:ascii="Times New Roman" w:hAnsi="Times New Roman" w:cs="Times New Roman"/>
          <w:sz w:val="22"/>
          <w:szCs w:val="22"/>
        </w:rPr>
        <w:t>=</w:t>
      </w:r>
      <w:r w:rsidR="00A328B5">
        <w:rPr>
          <w:rFonts w:ascii="Times New Roman" w:hAnsi="Times New Roman" w:cs="Times New Roman"/>
          <w:sz w:val="22"/>
          <w:szCs w:val="22"/>
        </w:rPr>
        <w:t>0</w:t>
      </w:r>
      <w:r w:rsidR="00E44686" w:rsidRPr="00E44686">
        <w:rPr>
          <w:rFonts w:ascii="Times New Roman" w:hAnsi="Times New Roman" w:cs="Times New Roman"/>
          <w:sz w:val="22"/>
          <w:szCs w:val="22"/>
        </w:rPr>
        <w:t>.0</w:t>
      </w:r>
      <w:r w:rsidR="00A328B5">
        <w:rPr>
          <w:rFonts w:ascii="Times New Roman" w:hAnsi="Times New Roman" w:cs="Times New Roman"/>
          <w:sz w:val="22"/>
          <w:szCs w:val="22"/>
        </w:rPr>
        <w:t>07</w:t>
      </w:r>
      <w:r w:rsidR="003B4894" w:rsidRPr="00E44686">
        <w:rPr>
          <w:rFonts w:ascii="Times New Roman" w:hAnsi="Times New Roman" w:cs="Times New Roman"/>
          <w:sz w:val="22"/>
          <w:szCs w:val="22"/>
        </w:rPr>
        <w:t>, 95% CI [-</w:t>
      </w:r>
      <w:r w:rsidR="00E44686" w:rsidRPr="00E44686">
        <w:rPr>
          <w:rFonts w:ascii="Times New Roman" w:hAnsi="Times New Roman" w:cs="Times New Roman"/>
          <w:sz w:val="22"/>
          <w:szCs w:val="22"/>
        </w:rPr>
        <w:t>0.</w:t>
      </w:r>
      <w:r w:rsidR="00A328B5">
        <w:rPr>
          <w:rFonts w:ascii="Times New Roman" w:hAnsi="Times New Roman" w:cs="Times New Roman"/>
          <w:sz w:val="22"/>
          <w:szCs w:val="22"/>
        </w:rPr>
        <w:t>10, .12</w:t>
      </w:r>
      <w:r w:rsidR="003B4894" w:rsidRPr="00E44686">
        <w:rPr>
          <w:rFonts w:ascii="Times New Roman" w:hAnsi="Times New Roman" w:cs="Times New Roman"/>
          <w:sz w:val="22"/>
          <w:szCs w:val="22"/>
        </w:rPr>
        <w:t xml:space="preserve">] and </w:t>
      </w:r>
      <w:r w:rsidR="003B4894" w:rsidRPr="00E44686">
        <w:rPr>
          <w:rFonts w:ascii="Times New Roman" w:hAnsi="Times New Roman" w:cs="Times New Roman"/>
          <w:i/>
          <w:sz w:val="22"/>
          <w:szCs w:val="22"/>
        </w:rPr>
        <w:sym w:font="Symbol" w:char="F062"/>
      </w:r>
      <w:r w:rsidR="003B4894" w:rsidRPr="00E4468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B4894" w:rsidRPr="00E44686">
        <w:rPr>
          <w:rFonts w:ascii="Times New Roman" w:hAnsi="Times New Roman" w:cs="Times New Roman"/>
          <w:sz w:val="22"/>
          <w:szCs w:val="22"/>
        </w:rPr>
        <w:t>=</w:t>
      </w:r>
      <w:r w:rsidR="00E44686" w:rsidRPr="00E44686">
        <w:rPr>
          <w:rFonts w:ascii="Times New Roman" w:hAnsi="Times New Roman" w:cs="Times New Roman"/>
          <w:sz w:val="22"/>
          <w:szCs w:val="22"/>
        </w:rPr>
        <w:t xml:space="preserve"> 0</w:t>
      </w:r>
      <w:r w:rsidR="003B4894" w:rsidRPr="00E44686">
        <w:rPr>
          <w:rFonts w:ascii="Times New Roman" w:hAnsi="Times New Roman" w:cs="Times New Roman"/>
          <w:sz w:val="22"/>
          <w:szCs w:val="22"/>
        </w:rPr>
        <w:t>.00</w:t>
      </w:r>
      <w:r w:rsidR="00A328B5">
        <w:rPr>
          <w:rFonts w:ascii="Times New Roman" w:hAnsi="Times New Roman" w:cs="Times New Roman"/>
          <w:sz w:val="22"/>
          <w:szCs w:val="22"/>
        </w:rPr>
        <w:t>3</w:t>
      </w:r>
      <w:r w:rsidR="003B4894" w:rsidRPr="00E44686">
        <w:rPr>
          <w:rFonts w:ascii="Times New Roman" w:hAnsi="Times New Roman" w:cs="Times New Roman"/>
          <w:sz w:val="22"/>
          <w:szCs w:val="22"/>
        </w:rPr>
        <w:t>, 95% CI [-</w:t>
      </w:r>
      <w:r w:rsidR="00E44686" w:rsidRPr="00E44686">
        <w:rPr>
          <w:rFonts w:ascii="Times New Roman" w:hAnsi="Times New Roman" w:cs="Times New Roman"/>
          <w:sz w:val="22"/>
          <w:szCs w:val="22"/>
        </w:rPr>
        <w:t>0.0</w:t>
      </w:r>
      <w:r w:rsidR="00A328B5">
        <w:rPr>
          <w:rFonts w:ascii="Times New Roman" w:hAnsi="Times New Roman" w:cs="Times New Roman"/>
          <w:sz w:val="22"/>
          <w:szCs w:val="22"/>
        </w:rPr>
        <w:t>5</w:t>
      </w:r>
      <w:r w:rsidR="00E44686" w:rsidRPr="00E44686">
        <w:rPr>
          <w:rFonts w:ascii="Times New Roman" w:hAnsi="Times New Roman" w:cs="Times New Roman"/>
          <w:sz w:val="22"/>
          <w:szCs w:val="22"/>
        </w:rPr>
        <w:t>, .0</w:t>
      </w:r>
      <w:r w:rsidR="00A328B5">
        <w:rPr>
          <w:rFonts w:ascii="Times New Roman" w:hAnsi="Times New Roman" w:cs="Times New Roman"/>
          <w:sz w:val="22"/>
          <w:szCs w:val="22"/>
        </w:rPr>
        <w:t>9</w:t>
      </w:r>
      <w:r w:rsidR="003B4894" w:rsidRPr="00E44686">
        <w:rPr>
          <w:rFonts w:ascii="Times New Roman" w:hAnsi="Times New Roman" w:cs="Times New Roman"/>
          <w:sz w:val="22"/>
          <w:szCs w:val="22"/>
        </w:rPr>
        <w:t>], respectively.</w:t>
      </w:r>
      <w:r w:rsidR="003B4894" w:rsidRPr="006002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13B5DF" w14:textId="05F76DDB" w:rsidR="003B4894" w:rsidRDefault="007169D5" w:rsidP="00E512D8">
      <w:pPr>
        <w:rPr>
          <w:rFonts w:ascii="Times New Roman" w:hAnsi="Times New Roman" w:cs="Times New Roman"/>
          <w:i/>
          <w:iCs/>
          <w:sz w:val="22"/>
          <w:szCs w:val="20"/>
        </w:rPr>
        <w:sectPr w:rsidR="003B4894" w:rsidSect="003B4894">
          <w:pgSz w:w="12240" w:h="20160"/>
          <w:pgMar w:top="1134" w:right="1134" w:bottom="1134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Times New Roman"/>
          <w:i/>
          <w:iCs/>
          <w:sz w:val="22"/>
          <w:szCs w:val="20"/>
        </w:rPr>
        <w:t xml:space="preserve">. </w:t>
      </w:r>
    </w:p>
    <w:p w14:paraId="6BFF71EC" w14:textId="388512E1" w:rsidR="00E512D8" w:rsidRPr="00483314" w:rsidRDefault="003B4894" w:rsidP="00E512D8">
      <w:pPr>
        <w:rPr>
          <w:rFonts w:ascii="Times New Roman" w:hAnsi="Times New Roman" w:cs="Times New Roman"/>
          <w:i/>
          <w:iCs/>
          <w:sz w:val="22"/>
          <w:szCs w:val="20"/>
        </w:rPr>
      </w:pPr>
      <w:r w:rsidRPr="00483314">
        <w:rPr>
          <w:rFonts w:ascii="Times New Roman" w:hAnsi="Times New Roman" w:cs="Times New Roman"/>
          <w:sz w:val="22"/>
          <w:szCs w:val="20"/>
        </w:rPr>
        <w:lastRenderedPageBreak/>
        <w:t xml:space="preserve">Table 1. </w:t>
      </w:r>
      <w:r w:rsidRPr="00483314">
        <w:rPr>
          <w:rFonts w:ascii="Times New Roman" w:hAnsi="Times New Roman" w:cs="Times New Roman"/>
          <w:i/>
          <w:iCs/>
          <w:sz w:val="22"/>
          <w:szCs w:val="20"/>
        </w:rPr>
        <w:t xml:space="preserve">Bivariate correlations </w:t>
      </w:r>
      <w:r>
        <w:rPr>
          <w:rFonts w:ascii="Times New Roman" w:hAnsi="Times New Roman" w:cs="Times New Roman"/>
          <w:i/>
          <w:iCs/>
          <w:sz w:val="22"/>
          <w:szCs w:val="20"/>
        </w:rPr>
        <w:t xml:space="preserve">among items </w:t>
      </w:r>
      <w:r w:rsidR="008A42C7">
        <w:rPr>
          <w:rFonts w:ascii="Times New Roman" w:hAnsi="Times New Roman" w:cs="Times New Roman"/>
          <w:i/>
          <w:iCs/>
          <w:sz w:val="22"/>
          <w:szCs w:val="20"/>
        </w:rPr>
        <w:t>comprising</w:t>
      </w:r>
      <w:r>
        <w:rPr>
          <w:rFonts w:ascii="Times New Roman" w:hAnsi="Times New Roman" w:cs="Times New Roman"/>
          <w:i/>
          <w:iCs/>
          <w:sz w:val="22"/>
          <w:szCs w:val="20"/>
        </w:rPr>
        <w:t xml:space="preserve"> the deprivation and threat composites</w:t>
      </w:r>
    </w:p>
    <w:tbl>
      <w:tblPr>
        <w:tblpPr w:leftFromText="180" w:rightFromText="180" w:horzAnchor="page" w:tblpX="1217" w:tblpY="304"/>
        <w:tblW w:w="0" w:type="auto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7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22"/>
        <w:gridCol w:w="1022"/>
        <w:gridCol w:w="1022"/>
        <w:gridCol w:w="1022"/>
      </w:tblGrid>
      <w:tr w:rsidR="007169D5" w:rsidRPr="00483314" w14:paraId="36BEDC02" w14:textId="77777777" w:rsidTr="00B87398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6AD100" w14:textId="77777777" w:rsidR="007169D5" w:rsidRPr="00483314" w:rsidRDefault="007169D5" w:rsidP="00881C2D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7A38" w14:textId="785EB02D" w:rsidR="007169D5" w:rsidRDefault="007169D5" w:rsidP="00881C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Deprivation</w:t>
            </w:r>
          </w:p>
        </w:tc>
        <w:tc>
          <w:tcPr>
            <w:tcW w:w="6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99D94" w14:textId="5B4A794D" w:rsidR="007169D5" w:rsidRDefault="007169D5" w:rsidP="00881C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Threat</w:t>
            </w:r>
          </w:p>
        </w:tc>
      </w:tr>
      <w:tr w:rsidR="007169D5" w:rsidRPr="00483314" w14:paraId="4FE2CD06" w14:textId="02EC8EF4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C24B8B" w14:textId="77777777" w:rsidR="000A20D2" w:rsidRPr="00483314" w:rsidRDefault="000A20D2" w:rsidP="00881C2D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5D8E10C" w14:textId="26F69EAB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Y1 Toys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C3E631F" w14:textId="21E8A118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Y1 Play Area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06D8D55" w14:textId="38BB6AFB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Y1 Books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5D3AD1B" w14:textId="78D9C852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Y1 Children’s Books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4A49344" w14:textId="192EBFD1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Y2 Toys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8B26E5A" w14:textId="7478E6DD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Y2 Play Area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0405AA8" w14:textId="0D411936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Y2 Books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4C51E48B" w14:textId="1570DC20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Y2 Children’s Books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3B98BAF0" w14:textId="25B9713F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Y1 Overt Hostility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2B07F5D8" w14:textId="5DA723E8" w:rsidR="000A20D2" w:rsidRPr="00483314" w:rsidRDefault="00202750" w:rsidP="002027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Y1 Negative Physical Action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7467B470" w14:textId="60E57B9B" w:rsidR="000A20D2" w:rsidRPr="00483314" w:rsidRDefault="00202750" w:rsidP="002027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Y2 Overt Hostility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2E06D6E9" w14:textId="7B5853BB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Y2 Negative Physical Action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58306EC5" w14:textId="06913130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Harsh Physical Discipline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4834CA88" w14:textId="0B18A27B" w:rsidR="000A20D2" w:rsidRPr="00483314" w:rsidRDefault="000A20D2" w:rsidP="00881C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Physical Abuse</w:t>
            </w:r>
          </w:p>
        </w:tc>
      </w:tr>
      <w:tr w:rsidR="003C0639" w:rsidRPr="00483314" w14:paraId="3EAE2DA7" w14:textId="2C4A9D79" w:rsidTr="00B87398">
        <w:trPr>
          <w:trHeight w:val="144"/>
        </w:trPr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E051E5" w14:textId="0719CABD" w:rsidR="001D1E41" w:rsidRPr="00483314" w:rsidRDefault="00174999" w:rsidP="00881C2D">
            <w:pPr>
              <w:tabs>
                <w:tab w:val="left" w:pos="17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Y1 Toys</w:t>
            </w: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9B8E" w14:textId="7B6ECE81" w:rsidR="001D1E41" w:rsidRPr="00483314" w:rsidRDefault="00C1504E" w:rsidP="00C1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065680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314403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0B2D4A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D52FA6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91BCE2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08122D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5313EBF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98DA64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4AE809B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6873EC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78C9327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6E270EA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588022C" w14:textId="77777777" w:rsidR="001D1E41" w:rsidRPr="00483314" w:rsidRDefault="001D1E41" w:rsidP="008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39" w:rsidRPr="00483314" w14:paraId="0FF0B3B9" w14:textId="0DC83C50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2953" w14:textId="03835B2D" w:rsidR="001D1E41" w:rsidRPr="00483314" w:rsidRDefault="00174999" w:rsidP="00881C2D">
            <w:pPr>
              <w:tabs>
                <w:tab w:val="left" w:pos="17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Y1 Outside Play Area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01DD4" w14:textId="0D7DFC4D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55591" w14:textId="64F5218C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03F6B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DB7FF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8ABF5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9B10A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9C113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80092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DA5D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1CF1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ED3F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78F1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2B8A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72DF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39" w:rsidRPr="00483314" w14:paraId="1899DAA6" w14:textId="0649BC7E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6E11" w14:textId="614D8EC2" w:rsidR="001D1E41" w:rsidRPr="00483314" w:rsidRDefault="00174999" w:rsidP="00881C2D">
            <w:pPr>
              <w:tabs>
                <w:tab w:val="left" w:pos="17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Y1 Books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A3BF2" w14:textId="3544C7F3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.31*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8E7B" w14:textId="3A0B6E1F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.30*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B6CF" w14:textId="2B14ED46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A10E5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6F808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638C1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0287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90BE4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F2B4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CEC1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13416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E45E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F741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0DB54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39" w:rsidRPr="00483314" w14:paraId="3D9DC373" w14:textId="487B1023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5D178" w14:textId="776A9844" w:rsidR="001D1E41" w:rsidRPr="00483314" w:rsidRDefault="00174999" w:rsidP="00881C2D">
            <w:pPr>
              <w:tabs>
                <w:tab w:val="left" w:pos="177"/>
              </w:tabs>
              <w:rPr>
                <w:rFonts w:ascii="Times New Roman" w:eastAsiaTheme="majorEastAsia" w:hAnsi="Times New Roman" w:cs="Times New Roman"/>
                <w:b/>
                <w:bCs/>
                <w:color w:val="243F60" w:themeColor="accent1" w:themeShade="7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Y1 Children’s Books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C728" w14:textId="2AB7950A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.49*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205DA" w14:textId="638C5DB9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1BD">
              <w:rPr>
                <w:rFonts w:ascii="Times New Roman" w:hAnsi="Times New Roman" w:cs="Times New Roman"/>
                <w:sz w:val="20"/>
                <w:szCs w:val="20"/>
              </w:rPr>
              <w:t>45*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971B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73824" w14:textId="10E767BF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17C8A" w14:textId="5CDF621B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3B491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F107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53E8E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4254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F60C3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40BC2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4980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FF55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3704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FAC3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39" w:rsidRPr="00483314" w14:paraId="5A92DDEB" w14:textId="566EE1D5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ED5D" w14:textId="56BB0A6D" w:rsidR="00174999" w:rsidRPr="00483314" w:rsidRDefault="00174999" w:rsidP="00881C2D">
            <w:pPr>
              <w:tabs>
                <w:tab w:val="left" w:pos="17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Y2 Toys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F9C7" w14:textId="5FDD595A" w:rsidR="00174999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81DD7" w14:textId="1AF46078" w:rsidR="00174999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74999" w:rsidRPr="004833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D6CB6" w14:textId="1883CE46" w:rsidR="00174999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07761" w14:textId="6A4028E3" w:rsidR="00174999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74999" w:rsidRPr="0048331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0A858" w14:textId="00C3912F" w:rsidR="00174999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70538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0199A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9014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20CC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9870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746EA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5163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9106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7DCB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39" w:rsidRPr="00483314" w14:paraId="2BCA78D0" w14:textId="3718D7A6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6A52" w14:textId="6F5BC271" w:rsidR="00174999" w:rsidRPr="00483314" w:rsidRDefault="00174999" w:rsidP="00881C2D">
            <w:pPr>
              <w:tabs>
                <w:tab w:val="left" w:pos="17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Y2 Outside Play Area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39F7D" w14:textId="49B9BECA" w:rsidR="00174999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A2DC4" w14:textId="2C25A267" w:rsidR="00174999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="00174999" w:rsidRPr="004833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74999" w:rsidRPr="004833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A8A41" w14:textId="138D1CA3" w:rsidR="00174999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.23*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68F1D" w14:textId="7A4F7F0D" w:rsidR="00174999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D51E3" w14:textId="4E451E45" w:rsidR="00174999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.34**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B18CD" w14:textId="69A576B6" w:rsidR="00174999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3582C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FFA2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5AFF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9F313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A49A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C499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85E46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5BB5E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C2D" w:rsidRPr="00483314" w14:paraId="4380FD87" w14:textId="0FC1EA9B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7B89" w14:textId="512BBA91" w:rsidR="00174999" w:rsidRPr="00483314" w:rsidRDefault="00174999" w:rsidP="00881C2D">
            <w:pPr>
              <w:tabs>
                <w:tab w:val="left" w:pos="17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Y2 Books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5048B" w14:textId="058003A8" w:rsidR="00174999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C372A" w14:textId="75A4BB97" w:rsidR="00174999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D2AF5" w14:textId="27905E73" w:rsidR="00174999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.23*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5FE01" w14:textId="56CA134D" w:rsidR="00174999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="00174999" w:rsidRPr="0048331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E2FB9" w14:textId="4CA727B0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75A">
              <w:rPr>
                <w:rFonts w:ascii="Times New Roman" w:hAnsi="Times New Roman" w:cs="Times New Roman"/>
                <w:sz w:val="20"/>
                <w:szCs w:val="20"/>
              </w:rPr>
              <w:t>30**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9B15C" w14:textId="6370FE80" w:rsidR="00174999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.29**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5F8A7" w14:textId="0BC81EA1" w:rsidR="00174999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05AA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EC06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2A7C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0189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9CC4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55AE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ED8A" w14:textId="77777777" w:rsidR="00174999" w:rsidRPr="00483314" w:rsidRDefault="0017499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39" w:rsidRPr="00483314" w14:paraId="1B443FE1" w14:textId="6B128792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FC3C" w14:textId="28433296" w:rsidR="00174999" w:rsidRPr="00174999" w:rsidRDefault="00174999" w:rsidP="00881C2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49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Children’s Books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B5B9E" w14:textId="75D93734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6A3BA" w14:textId="3AD415D8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3DC8D" w14:textId="68843552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.23*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10016" w14:textId="21535B4C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D3749" w14:textId="43AA76FC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.36**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EEFEA" w14:textId="00E06D83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6E2B6" w14:textId="3CD5FB7A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D00D5" w14:textId="174BC4C2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5D129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EDA4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3F95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E2B8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91F3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CDF8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7BE" w:rsidRPr="00483314" w14:paraId="0FA057F7" w14:textId="77777777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99CB" w14:textId="456145AD" w:rsidR="00174999" w:rsidRPr="00174999" w:rsidRDefault="00174999" w:rsidP="00881C2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Y1 Overt Hostility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9C3CE" w14:textId="2927AE58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.29*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A57B" w14:textId="7556E3CB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.21*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E2C09" w14:textId="36F6865C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C32A2" w14:textId="15E242C9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30C5" w14:textId="69D63179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A6B9" w14:textId="07DD209E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EC0AD" w14:textId="4BD89483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92E6" w14:textId="7C6F0A83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6A87" w14:textId="50C7F7C7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5A93E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6E16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3587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7FD8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486D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7BE" w:rsidRPr="00483314" w14:paraId="50743D81" w14:textId="77777777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BDB2" w14:textId="3FBAE686" w:rsidR="001D1E41" w:rsidRPr="00174999" w:rsidRDefault="00174999" w:rsidP="00881C2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Y1 Negative Physical Action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20F83" w14:textId="72582189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9D0C2" w14:textId="216DEB45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A76D8" w14:textId="2A8D4DAA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2A8B" w14:textId="2428DA22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C374" w14:textId="5934D947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11261" w14:textId="2CE5B51F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AF9E5" w14:textId="4EC636E3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173D3" w14:textId="4AF341C5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30E1" w14:textId="31E97B37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.38*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0FAA" w14:textId="22797B11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2C421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D185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C99C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4DE5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7BE" w:rsidRPr="00483314" w14:paraId="1659E2C4" w14:textId="77777777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1A9A" w14:textId="5BB30FA6" w:rsidR="001D1E41" w:rsidRPr="00174999" w:rsidRDefault="00174999" w:rsidP="00881C2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Y2 </w:t>
            </w:r>
            <w:r w:rsidR="004971B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Overt Hostility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86781" w14:textId="35375D16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7865F" w14:textId="7F6C3A07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AC16D" w14:textId="09E94F39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B6769" w14:textId="3E9DF73E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B07E0" w14:textId="7DA37889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0953" w14:textId="036226EE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46CAC" w14:textId="781D5CB2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F32E" w14:textId="2496009E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2E661" w14:textId="69A93C3E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F9B2" w14:textId="6AF4000D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EF10" w14:textId="2972F2A0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72B02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99850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4EB76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7BE" w:rsidRPr="00483314" w14:paraId="2893BF68" w14:textId="77777777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E3992" w14:textId="4C2F148C" w:rsidR="001D1E41" w:rsidRPr="00174999" w:rsidRDefault="00174999" w:rsidP="00881C2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Y2 Negative Physical Action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387B6" w14:textId="27FADA74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9F35D" w14:textId="3E027545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9EAA3" w14:textId="5690F6BA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3D5D" w14:textId="26BAA462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6D07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E03EF" w14:textId="693BD0FD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9B814" w14:textId="677C2292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778FB" w14:textId="67C4EBDF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92B59" w14:textId="29A26AB1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B9F7" w14:textId="6C6B40FE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2141" w14:textId="2DB2F121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A370" w14:textId="6528B13D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DE06" w14:textId="39D2A77C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59F4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D450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7BE" w:rsidRPr="00483314" w14:paraId="1E2328DC" w14:textId="77777777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81E1E" w14:textId="45342CEE" w:rsidR="001D1E41" w:rsidRPr="00174999" w:rsidRDefault="00174999" w:rsidP="00881C2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Harsh Physical Discipline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83645" w14:textId="6C842939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6D8F2" w14:textId="7362EA9C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D9AA0" w14:textId="1256202E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B661" w14:textId="67BBDD7D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71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E814D" w14:textId="36CD7432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34D8D" w14:textId="20471807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2E754" w14:textId="26EA4864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3178" w14:textId="56E3D21B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AC06" w14:textId="632DBAFC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.10*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B3D72" w14:textId="44D942F3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0FB08" w14:textId="65245D34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39BA" w14:textId="57429097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2438D" w14:textId="61702533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4DCA" w14:textId="77777777" w:rsidR="001D1E41" w:rsidRPr="00483314" w:rsidRDefault="001D1E41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7BE" w:rsidRPr="00483314" w14:paraId="7A26BF43" w14:textId="77777777" w:rsidTr="00B87398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40452" w14:textId="7DAC79C7" w:rsidR="001D1E41" w:rsidRPr="00174999" w:rsidRDefault="00174999" w:rsidP="00881C2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Physical Abuse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66C65" w14:textId="18F42BC7" w:rsidR="001D1E41" w:rsidRPr="00483314" w:rsidRDefault="00E73A2E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937C8" w14:textId="34CF5A1C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DCC5F" w14:textId="0D1D39B0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634BF" w14:textId="2EBE2240" w:rsidR="001D1E41" w:rsidRPr="00483314" w:rsidRDefault="004971BD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2743C" w14:textId="4CB1CCC2" w:rsidR="001D1E41" w:rsidRPr="00483314" w:rsidRDefault="006D075A" w:rsidP="00052ABB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1C431" w14:textId="5C0914D4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04D97" w14:textId="197A1B1E" w:rsidR="001D1E41" w:rsidRPr="00483314" w:rsidRDefault="006D075A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.20**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D5FC4" w14:textId="712EF7E8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FA7BC" w14:textId="0AB52A8B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2C6B8" w14:textId="5DEA3473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E3837" w14:textId="3F18913F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F78BE" w14:textId="2FB1C7D9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7C493" w14:textId="2C88F34E" w:rsidR="001D1E41" w:rsidRPr="00483314" w:rsidRDefault="003C0639" w:rsidP="00881C2D">
            <w:pPr>
              <w:tabs>
                <w:tab w:val="decimal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.26*</w:t>
            </w:r>
            <w:r w:rsidR="00052A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D140B" w14:textId="264FF79C" w:rsidR="001D1E41" w:rsidRPr="00483314" w:rsidRDefault="00C1504E" w:rsidP="00C1504E">
            <w:pPr>
              <w:tabs>
                <w:tab w:val="decimal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9D5" w:rsidRPr="00483314" w14:paraId="126B486F" w14:textId="77777777" w:rsidTr="007169D5">
        <w:trPr>
          <w:trHeight w:val="254"/>
        </w:trPr>
        <w:tc>
          <w:tcPr>
            <w:tcW w:w="174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0B6A3" w14:textId="11AC815D" w:rsidR="007169D5" w:rsidRPr="00483314" w:rsidRDefault="007169D5" w:rsidP="001A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Note. </w:t>
            </w:r>
            <w:r w:rsidR="001A550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A5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="001A5500">
              <w:rPr>
                <w:rFonts w:ascii="Times New Roman" w:hAnsi="Times New Roman" w:cs="Times New Roman"/>
                <w:sz w:val="20"/>
                <w:szCs w:val="20"/>
              </w:rPr>
              <w:t>&lt; .05</w:t>
            </w:r>
            <w:r w:rsidR="001A5500">
              <w:rPr>
                <w:rFonts w:ascii="Times New Roman" w:hAnsi="Times New Roman" w:cs="Times New Roman"/>
                <w:sz w:val="20"/>
                <w:szCs w:val="20"/>
              </w:rPr>
              <w:t>, **</w:t>
            </w:r>
            <w:r w:rsidR="001A5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="001A5500">
              <w:rPr>
                <w:rFonts w:ascii="Times New Roman" w:hAnsi="Times New Roman" w:cs="Times New Roman"/>
                <w:sz w:val="20"/>
                <w:szCs w:val="20"/>
              </w:rPr>
              <w:t xml:space="preserve">&lt; .01, </w:t>
            </w:r>
            <w:r w:rsidR="001A5500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  <w:r w:rsidR="00364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500">
              <w:rPr>
                <w:rFonts w:ascii="Times New Roman" w:hAnsi="Times New Roman" w:cs="Times New Roman"/>
                <w:sz w:val="20"/>
                <w:szCs w:val="20"/>
              </w:rPr>
              <w:t>Y1 = Year 1, Y2 = Year 2</w:t>
            </w:r>
          </w:p>
        </w:tc>
      </w:tr>
    </w:tbl>
    <w:p w14:paraId="1A17037E" w14:textId="77777777" w:rsidR="00FC78AB" w:rsidRDefault="00FC78AB">
      <w:pPr>
        <w:rPr>
          <w:rFonts w:ascii="Times New Roman" w:hAnsi="Times New Roman"/>
          <w:sz w:val="20"/>
          <w:szCs w:val="20"/>
        </w:rPr>
        <w:sectPr w:rsidR="00FC78AB" w:rsidSect="00E73A2E">
          <w:pgSz w:w="20160" w:h="12240" w:orient="landscape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3EB77AA0" w14:textId="22AC644C" w:rsidR="00697C21" w:rsidRDefault="00697C21">
      <w:pPr>
        <w:rPr>
          <w:rFonts w:ascii="Times New Roman" w:hAnsi="Times New Roman"/>
          <w:sz w:val="20"/>
          <w:szCs w:val="20"/>
        </w:rPr>
      </w:pPr>
    </w:p>
    <w:p w14:paraId="02362026" w14:textId="77777777" w:rsidR="00F10E68" w:rsidRDefault="00F10E68">
      <w:pPr>
        <w:rPr>
          <w:rFonts w:ascii="Times New Roman" w:hAnsi="Times New Roman"/>
          <w:sz w:val="20"/>
          <w:szCs w:val="20"/>
        </w:rPr>
      </w:pPr>
    </w:p>
    <w:p w14:paraId="2EA2EAE0" w14:textId="77777777" w:rsidR="00FC78AB" w:rsidRDefault="00FC78AB">
      <w:pPr>
        <w:rPr>
          <w:rFonts w:ascii="Times New Roman" w:hAnsi="Times New Roman"/>
          <w:sz w:val="20"/>
          <w:szCs w:val="20"/>
        </w:rPr>
      </w:pPr>
    </w:p>
    <w:p w14:paraId="3B196EA3" w14:textId="0A792EC7" w:rsidR="00FC78AB" w:rsidRDefault="006856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 w:bidi="ar-SA"/>
        </w:rPr>
        <w:drawing>
          <wp:inline distT="0" distB="0" distL="0" distR="0" wp14:anchorId="1A861D62" wp14:editId="23AA41C3">
            <wp:extent cx="6321425" cy="5375275"/>
            <wp:effectExtent l="0" t="0" r="3175" b="9525"/>
            <wp:docPr id="1" name="Picture 1" descr="DepThreat_Sup_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hreat_Sup_Figur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en-US" w:bidi="ar-SA"/>
        </w:rPr>
        <w:drawing>
          <wp:inline distT="0" distB="0" distL="0" distR="0" wp14:anchorId="794057C0" wp14:editId="58BB730C">
            <wp:extent cx="6321425" cy="5510530"/>
            <wp:effectExtent l="0" t="0" r="3175" b="1270"/>
            <wp:docPr id="2" name="Picture 2" descr="DepThreat_Sup_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Threat_Sup_Figur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en-US" w:bidi="ar-SA"/>
        </w:rPr>
        <w:lastRenderedPageBreak/>
        <w:drawing>
          <wp:inline distT="0" distB="0" distL="0" distR="0" wp14:anchorId="46F676BE" wp14:editId="56B834CB">
            <wp:extent cx="6321425" cy="5375275"/>
            <wp:effectExtent l="0" t="0" r="3175" b="9525"/>
            <wp:docPr id="3" name="Picture 3" descr="DepThreat_Sup_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Threat_Sup_Figur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en-US" w:bidi="ar-SA"/>
        </w:rPr>
        <w:lastRenderedPageBreak/>
        <w:drawing>
          <wp:inline distT="0" distB="0" distL="0" distR="0" wp14:anchorId="7A1DA2AB" wp14:editId="15737C6D">
            <wp:extent cx="6329045" cy="6186170"/>
            <wp:effectExtent l="0" t="0" r="0" b="11430"/>
            <wp:docPr id="4" name="Picture 4" descr="DepThreat_Sup_Fig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pThreat_Sup_Figur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61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32EA2B" w14:textId="1B17ADD5" w:rsidR="00FC78AB" w:rsidRDefault="00FC78AB">
      <w:pPr>
        <w:rPr>
          <w:rFonts w:ascii="Times New Roman" w:hAnsi="Times New Roman"/>
          <w:sz w:val="20"/>
          <w:szCs w:val="20"/>
        </w:rPr>
      </w:pPr>
    </w:p>
    <w:p w14:paraId="7A88BEA0" w14:textId="23721A34" w:rsidR="00F10E68" w:rsidRDefault="00F10E68">
      <w:pPr>
        <w:rPr>
          <w:rFonts w:ascii="Times New Roman" w:hAnsi="Times New Roman"/>
          <w:sz w:val="20"/>
          <w:szCs w:val="20"/>
        </w:rPr>
      </w:pPr>
    </w:p>
    <w:sectPr w:rsidR="00F10E68" w:rsidSect="00FC78AB">
      <w:pgSz w:w="12240" w:h="20160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3078"/>
    <w:multiLevelType w:val="multilevel"/>
    <w:tmpl w:val="732613B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090D7E"/>
    <w:multiLevelType w:val="multilevel"/>
    <w:tmpl w:val="9274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21"/>
    <w:rsid w:val="0002403A"/>
    <w:rsid w:val="00052ABB"/>
    <w:rsid w:val="00053473"/>
    <w:rsid w:val="000A20D2"/>
    <w:rsid w:val="000E5258"/>
    <w:rsid w:val="00142D87"/>
    <w:rsid w:val="00157B33"/>
    <w:rsid w:val="00174999"/>
    <w:rsid w:val="001A5500"/>
    <w:rsid w:val="001A7E82"/>
    <w:rsid w:val="001B0EDD"/>
    <w:rsid w:val="001B0F48"/>
    <w:rsid w:val="001D1E41"/>
    <w:rsid w:val="001E301C"/>
    <w:rsid w:val="00202750"/>
    <w:rsid w:val="0021099D"/>
    <w:rsid w:val="00294E9A"/>
    <w:rsid w:val="002E2322"/>
    <w:rsid w:val="00351015"/>
    <w:rsid w:val="00351333"/>
    <w:rsid w:val="0036441F"/>
    <w:rsid w:val="00374C9F"/>
    <w:rsid w:val="003B4894"/>
    <w:rsid w:val="003C0639"/>
    <w:rsid w:val="004470A8"/>
    <w:rsid w:val="004557BE"/>
    <w:rsid w:val="004647E8"/>
    <w:rsid w:val="00475F81"/>
    <w:rsid w:val="004971BD"/>
    <w:rsid w:val="004D6A1E"/>
    <w:rsid w:val="00532D20"/>
    <w:rsid w:val="005359A7"/>
    <w:rsid w:val="00540C3C"/>
    <w:rsid w:val="005851F1"/>
    <w:rsid w:val="005A7D36"/>
    <w:rsid w:val="005D6EFD"/>
    <w:rsid w:val="00674AE0"/>
    <w:rsid w:val="00680A97"/>
    <w:rsid w:val="00683D22"/>
    <w:rsid w:val="0068563C"/>
    <w:rsid w:val="00697C21"/>
    <w:rsid w:val="006D075A"/>
    <w:rsid w:val="006E3555"/>
    <w:rsid w:val="00704649"/>
    <w:rsid w:val="007169D5"/>
    <w:rsid w:val="007B561B"/>
    <w:rsid w:val="00826144"/>
    <w:rsid w:val="00881C2D"/>
    <w:rsid w:val="00883FCF"/>
    <w:rsid w:val="00884FD2"/>
    <w:rsid w:val="008A42C7"/>
    <w:rsid w:val="008E3608"/>
    <w:rsid w:val="00A328B5"/>
    <w:rsid w:val="00A728ED"/>
    <w:rsid w:val="00B01F00"/>
    <w:rsid w:val="00B13F8E"/>
    <w:rsid w:val="00B5542E"/>
    <w:rsid w:val="00B570D9"/>
    <w:rsid w:val="00B71203"/>
    <w:rsid w:val="00B87398"/>
    <w:rsid w:val="00C1504E"/>
    <w:rsid w:val="00CB2631"/>
    <w:rsid w:val="00CD0735"/>
    <w:rsid w:val="00D514FB"/>
    <w:rsid w:val="00D531E3"/>
    <w:rsid w:val="00D6047A"/>
    <w:rsid w:val="00E44686"/>
    <w:rsid w:val="00E512D8"/>
    <w:rsid w:val="00E51616"/>
    <w:rsid w:val="00E57198"/>
    <w:rsid w:val="00E57CCF"/>
    <w:rsid w:val="00E73A2E"/>
    <w:rsid w:val="00E93A09"/>
    <w:rsid w:val="00EA2BD4"/>
    <w:rsid w:val="00EC3C7E"/>
    <w:rsid w:val="00EC4943"/>
    <w:rsid w:val="00EE70DB"/>
    <w:rsid w:val="00F10E68"/>
    <w:rsid w:val="00F2492E"/>
    <w:rsid w:val="00F56FE3"/>
    <w:rsid w:val="00F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C19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C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57B33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174999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5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61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61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61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0AB587-8B70-A348-A915-7C776A08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553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Lansford, Ph.D.</dc:creator>
  <cp:lastModifiedBy>Adam Bryant Miller</cp:lastModifiedBy>
  <cp:revision>18</cp:revision>
  <cp:lastPrinted>2014-04-18T16:38:00Z</cp:lastPrinted>
  <dcterms:created xsi:type="dcterms:W3CDTF">2017-09-21T22:10:00Z</dcterms:created>
  <dcterms:modified xsi:type="dcterms:W3CDTF">2017-11-03T14:25:00Z</dcterms:modified>
  <dc:language>en-US</dc:language>
</cp:coreProperties>
</file>