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0" w:rsidRPr="00B804C9" w:rsidRDefault="00934527" w:rsidP="00933C10">
      <w:pPr>
        <w:adjustRightInd/>
        <w:jc w:val="center"/>
      </w:pPr>
      <w:r>
        <w:rPr>
          <w:b/>
        </w:rPr>
        <w:t xml:space="preserve">Analyses on the Video Game </w:t>
      </w:r>
      <w:r w:rsidR="00307CC2">
        <w:rPr>
          <w:b/>
        </w:rPr>
        <w:t>Evaluations</w:t>
      </w:r>
    </w:p>
    <w:p w:rsidR="00933C10" w:rsidRDefault="00934527" w:rsidP="00934527">
      <w:pPr>
        <w:adjustRightInd/>
      </w:pPr>
      <w:r>
        <w:t>Factor Analysis:</w:t>
      </w:r>
      <w:bookmarkStart w:id="0" w:name="_GoBack"/>
      <w:bookmarkEnd w:id="0"/>
    </w:p>
    <w:p w:rsidR="00934527" w:rsidRDefault="00934527" w:rsidP="00934527">
      <w:pPr>
        <w:adjustRightInd/>
        <w:ind w:firstLine="720"/>
      </w:pPr>
      <w:r>
        <w:t>To assess whether the games differed on any theoretically relevant variables, a</w:t>
      </w:r>
      <w:r>
        <w:rPr>
          <w:b/>
        </w:rPr>
        <w:t xml:space="preserve"> </w:t>
      </w:r>
      <w:r w:rsidRPr="00740D7D">
        <w:t xml:space="preserve">16-item questionnaire assessed participant’s evaluations of the game they had </w:t>
      </w:r>
      <w:r>
        <w:t>just played</w:t>
      </w:r>
      <w:r w:rsidRPr="00740D7D">
        <w:t xml:space="preserve"> (e.g., “The game was difficult to play”, “The game was exciting”, “The game was boring”, “The game was frustrating”). Participants used a 1 (</w:t>
      </w:r>
      <w:r w:rsidRPr="00740D7D">
        <w:rPr>
          <w:i/>
        </w:rPr>
        <w:t>strongly agree</w:t>
      </w:r>
      <w:r w:rsidRPr="00740D7D">
        <w:t>) to 10 (</w:t>
      </w:r>
      <w:r w:rsidRPr="00740D7D">
        <w:rPr>
          <w:i/>
        </w:rPr>
        <w:t>strongly disagree</w:t>
      </w:r>
      <w:r w:rsidRPr="00740D7D">
        <w:t>) scale (cf. Anderson &amp; Dill, 2000).</w:t>
      </w:r>
      <w:r>
        <w:t xml:space="preserve"> </w:t>
      </w:r>
      <w:r w:rsidRPr="00740D7D">
        <w:t xml:space="preserve">Exploratory factor analyses were conducted on 15 video game evaluation dimensions </w:t>
      </w:r>
      <w:r w:rsidRPr="008B31FC">
        <w:t>(</w:t>
      </w:r>
      <w:r w:rsidRPr="0059375E">
        <w:t>excluding the violence item</w:t>
      </w:r>
      <w:r w:rsidRPr="008B31FC">
        <w:t>)</w:t>
      </w:r>
      <w:r w:rsidRPr="00740D7D">
        <w:t xml:space="preserve"> to observe whether there is an underlying pattern for all of these video game dimensions. </w:t>
      </w:r>
      <w:proofErr w:type="spellStart"/>
      <w:r w:rsidRPr="00740D7D">
        <w:t>Varimax</w:t>
      </w:r>
      <w:proofErr w:type="spellEnd"/>
      <w:r w:rsidRPr="00740D7D">
        <w:t xml:space="preserve"> (orthogonal) and Harris-Kaiser (oblique) exploratory factor analyses were </w:t>
      </w:r>
      <w:proofErr w:type="gramStart"/>
      <w:r w:rsidRPr="00740D7D">
        <w:t>conducted</w:t>
      </w:r>
      <w:proofErr w:type="gramEnd"/>
      <w:r w:rsidRPr="00740D7D">
        <w:t>. Both factor analyses generated the same two factor pattern</w:t>
      </w:r>
      <w:r>
        <w:t>, the same as in our prior studies with these items</w:t>
      </w:r>
      <w:r w:rsidRPr="00740D7D">
        <w:t xml:space="preserve">. The rotated factor pattern suggested one factor based on 11 items and another factor based on </w:t>
      </w:r>
      <w:r>
        <w:t>4</w:t>
      </w:r>
      <w:r w:rsidRPr="00740D7D">
        <w:t xml:space="preserve"> items. Factor 1 related to how fun, exciting, involving, and enjoyable the game was (the “fun” factor). Factor 2 related to how difficult or frustrating the game was (the “difficulty” factor). The mean for the eleven-item fun composite was </w:t>
      </w:r>
      <w:r w:rsidRPr="00740D7D">
        <w:rPr>
          <w:i/>
        </w:rPr>
        <w:t>M</w:t>
      </w:r>
      <w:r w:rsidRPr="00740D7D">
        <w:t xml:space="preserve"> =4.82, alpha = .92. The mean for the four-item difficulty composite was </w:t>
      </w:r>
      <w:r w:rsidRPr="00740D7D">
        <w:rPr>
          <w:i/>
        </w:rPr>
        <w:t>M</w:t>
      </w:r>
      <w:r w:rsidRPr="00740D7D">
        <w:t xml:space="preserve"> =6.98, alpha = 0.70. These two scales were not significantly correlated with each other (</w:t>
      </w:r>
      <w:r w:rsidRPr="00740D7D">
        <w:rPr>
          <w:i/>
        </w:rPr>
        <w:t>r</w:t>
      </w:r>
      <w:r w:rsidRPr="00740D7D">
        <w:t xml:space="preserve"> = 0.06). This pattern replicates several prior studies (e.g., Anderson &amp; Dill, 2000).</w:t>
      </w:r>
    </w:p>
    <w:p w:rsidR="00934527" w:rsidRDefault="00934527" w:rsidP="00934527">
      <w:pPr>
        <w:adjustRightInd/>
      </w:pPr>
      <w:r>
        <w:t>Video Game Effect on Video Game Evaluations:</w:t>
      </w:r>
    </w:p>
    <w:p w:rsidR="00934527" w:rsidRDefault="00934527" w:rsidP="0049607C">
      <w:pPr>
        <w:adjustRightInd/>
        <w:ind w:firstLine="720"/>
      </w:pPr>
      <w:r w:rsidRPr="00934527">
        <w:t>A one-way ANOVA was conducted on</w:t>
      </w:r>
      <w:r>
        <w:t xml:space="preserve"> each of these two composites. </w:t>
      </w:r>
      <w:r w:rsidR="0049607C">
        <w:t xml:space="preserve">In </w:t>
      </w:r>
      <w:r w:rsidR="002B6A70">
        <w:t>Experiment</w:t>
      </w:r>
      <w:r w:rsidR="0049607C">
        <w:t xml:space="preserve"> 1, n</w:t>
      </w:r>
      <w:r>
        <w:t>either</w:t>
      </w:r>
      <w:r w:rsidRPr="00934527">
        <w:t xml:space="preserve"> the game type main effect nor any of the game contrasts yielded a significant effect on either dimension, </w:t>
      </w:r>
      <w:proofErr w:type="spellStart"/>
      <w:r w:rsidRPr="00987B80">
        <w:rPr>
          <w:i/>
        </w:rPr>
        <w:t>F</w:t>
      </w:r>
      <w:r w:rsidRPr="00934527">
        <w:t>s</w:t>
      </w:r>
      <w:proofErr w:type="spellEnd"/>
      <w:r w:rsidRPr="00934527">
        <w:t xml:space="preserve"> (2,</w:t>
      </w:r>
      <w:r w:rsidR="00C91F4C">
        <w:t>201</w:t>
      </w:r>
      <w:r w:rsidRPr="00934527">
        <w:t>) &lt; 1, p &gt; .20</w:t>
      </w:r>
      <w:r w:rsidR="0049607C">
        <w:t xml:space="preserve"> (see Table 1)</w:t>
      </w:r>
      <w:r w:rsidRPr="00934527">
        <w:t xml:space="preserve">. Similarly, in </w:t>
      </w:r>
      <w:r w:rsidR="002B6A70">
        <w:t>Experiment</w:t>
      </w:r>
      <w:r w:rsidRPr="00934527">
        <w:t xml:space="preserve"> 2, neither the game type main effect nor any of the contrasts yielded a significant effect on either video game evaluation dimension, </w:t>
      </w:r>
      <w:proofErr w:type="spellStart"/>
      <w:r w:rsidRPr="00987B80">
        <w:rPr>
          <w:i/>
        </w:rPr>
        <w:t>F</w:t>
      </w:r>
      <w:r w:rsidRPr="00934527">
        <w:t>s</w:t>
      </w:r>
      <w:proofErr w:type="spellEnd"/>
      <w:r w:rsidRPr="00934527">
        <w:t xml:space="preserve"> (2,</w:t>
      </w:r>
      <w:r w:rsidR="00987B80">
        <w:t>250</w:t>
      </w:r>
      <w:r w:rsidRPr="00934527">
        <w:t>) &lt; 1, p &gt; .20</w:t>
      </w:r>
      <w:r w:rsidR="000D5883">
        <w:t xml:space="preserve"> see Table 2</w:t>
      </w:r>
      <w:r w:rsidR="0049607C">
        <w:t>)</w:t>
      </w:r>
      <w:r w:rsidRPr="00934527">
        <w:t>.</w:t>
      </w:r>
    </w:p>
    <w:p w:rsidR="0049607C" w:rsidRDefault="0049607C" w:rsidP="0049607C">
      <w:pPr>
        <w:adjustRightInd/>
      </w:pPr>
    </w:p>
    <w:p w:rsidR="000D5883" w:rsidRDefault="000D5883" w:rsidP="000D5883">
      <w:pPr>
        <w:tabs>
          <w:tab w:val="left" w:pos="718"/>
        </w:tabs>
      </w:pPr>
      <w:proofErr w:type="gramStart"/>
      <w:r>
        <w:lastRenderedPageBreak/>
        <w:t>Table 1.</w:t>
      </w:r>
      <w:proofErr w:type="gramEnd"/>
      <w:r>
        <w:t xml:space="preserve"> </w:t>
      </w:r>
      <w:proofErr w:type="gramStart"/>
      <w:r>
        <w:t xml:space="preserve">Means and standard deviations for the video game evaluations for each of the games in </w:t>
      </w:r>
      <w:r w:rsidR="002B6A70">
        <w:t>Experiment</w:t>
      </w:r>
      <w:r>
        <w:t xml:space="preserve"> 1.</w:t>
      </w:r>
      <w:proofErr w:type="gramEnd"/>
      <w:r w:rsidRPr="00740D7D">
        <w:t xml:space="preserve">  </w:t>
      </w:r>
    </w:p>
    <w:p w:rsidR="000D5883" w:rsidRDefault="000D5883" w:rsidP="0049607C">
      <w:pPr>
        <w:adjustRightInd/>
      </w:pPr>
    </w:p>
    <w:tbl>
      <w:tblPr>
        <w:tblW w:w="0" w:type="auto"/>
        <w:tblInd w:w="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40"/>
        <w:gridCol w:w="2790"/>
        <w:gridCol w:w="3168"/>
      </w:tblGrid>
      <w:tr w:rsidR="00987B80" w:rsidTr="00987B80">
        <w:trPr>
          <w:trHeight w:val="294"/>
        </w:trPr>
        <w:tc>
          <w:tcPr>
            <w:tcW w:w="2040" w:type="dxa"/>
          </w:tcPr>
          <w:p w:rsidR="00987B80" w:rsidRPr="0049607C" w:rsidRDefault="00987B80" w:rsidP="002064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987B80" w:rsidRDefault="00987B80" w:rsidP="0020648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58" w:type="dxa"/>
            <w:gridSpan w:val="2"/>
          </w:tcPr>
          <w:p w:rsidR="00987B80" w:rsidRPr="0049607C" w:rsidRDefault="00987B80" w:rsidP="0020648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  <w:r w:rsidRPr="0049607C">
              <w:rPr>
                <w:color w:val="000000"/>
              </w:rPr>
              <w:t xml:space="preserve"> 1</w:t>
            </w:r>
          </w:p>
        </w:tc>
      </w:tr>
      <w:tr w:rsidR="009E2B18" w:rsidTr="00987B80">
        <w:trPr>
          <w:trHeight w:val="294"/>
        </w:trPr>
        <w:tc>
          <w:tcPr>
            <w:tcW w:w="2040" w:type="dxa"/>
          </w:tcPr>
          <w:p w:rsidR="009E2B18" w:rsidRPr="0049607C" w:rsidRDefault="009E2B18" w:rsidP="005939A7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Game Type</w:t>
            </w:r>
          </w:p>
        </w:tc>
        <w:tc>
          <w:tcPr>
            <w:tcW w:w="540" w:type="dxa"/>
          </w:tcPr>
          <w:p w:rsidR="009E2B18" w:rsidRDefault="009E2B18" w:rsidP="005939A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279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Fun Factor 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. </w:t>
            </w:r>
            <w:r w:rsidRPr="0049607C">
              <w:rPr>
                <w:color w:val="000000"/>
              </w:rPr>
              <w:t>Means</w:t>
            </w:r>
            <w:r>
              <w:rPr>
                <w:color w:val="000000"/>
              </w:rPr>
              <w:t xml:space="preserve">   &amp; SD</w:t>
            </w:r>
          </w:p>
        </w:tc>
        <w:tc>
          <w:tcPr>
            <w:tcW w:w="3168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Difficulty Factor 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. </w:t>
            </w:r>
            <w:r w:rsidRPr="0049607C">
              <w:rPr>
                <w:color w:val="000000"/>
              </w:rPr>
              <w:t>Means</w:t>
            </w:r>
            <w:r>
              <w:rPr>
                <w:color w:val="000000"/>
              </w:rPr>
              <w:t xml:space="preserve"> &amp; SD</w:t>
            </w:r>
          </w:p>
        </w:tc>
      </w:tr>
      <w:tr w:rsidR="009E2B18" w:rsidTr="00987B80">
        <w:trPr>
          <w:trHeight w:val="282"/>
        </w:trPr>
        <w:tc>
          <w:tcPr>
            <w:tcW w:w="204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Arab-Terrorists</w:t>
            </w:r>
          </w:p>
        </w:tc>
        <w:tc>
          <w:tcPr>
            <w:tcW w:w="540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790" w:type="dxa"/>
          </w:tcPr>
          <w:p w:rsidR="009E2B18" w:rsidRPr="0049607C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4.90</w:t>
            </w:r>
            <w:r>
              <w:rPr>
                <w:color w:val="000000"/>
                <w:vertAlign w:val="superscript"/>
              </w:rPr>
              <w:t xml:space="preserve"> </w:t>
            </w:r>
            <w:r w:rsidRPr="000D5883">
              <w:rPr>
                <w:color w:val="000000"/>
              </w:rPr>
              <w:t>(2.27)</w:t>
            </w:r>
          </w:p>
        </w:tc>
        <w:tc>
          <w:tcPr>
            <w:tcW w:w="3168" w:type="dxa"/>
          </w:tcPr>
          <w:p w:rsidR="009E2B18" w:rsidRPr="0049607C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6.96 (1.80)</w:t>
            </w:r>
          </w:p>
        </w:tc>
      </w:tr>
      <w:tr w:rsidR="009E2B18" w:rsidTr="00987B80">
        <w:trPr>
          <w:trHeight w:val="294"/>
        </w:trPr>
        <w:tc>
          <w:tcPr>
            <w:tcW w:w="204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Russian-Terrorists</w:t>
            </w:r>
          </w:p>
        </w:tc>
        <w:tc>
          <w:tcPr>
            <w:tcW w:w="540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790" w:type="dxa"/>
          </w:tcPr>
          <w:p w:rsidR="009E2B18" w:rsidRPr="000D5883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4.80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(1.98)</w:t>
            </w:r>
          </w:p>
        </w:tc>
        <w:tc>
          <w:tcPr>
            <w:tcW w:w="3168" w:type="dxa"/>
          </w:tcPr>
          <w:p w:rsidR="009E2B18" w:rsidRPr="0049607C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7.16 (1.69)</w:t>
            </w:r>
          </w:p>
        </w:tc>
      </w:tr>
      <w:tr w:rsidR="009E2B18" w:rsidTr="00987B80">
        <w:trPr>
          <w:trHeight w:val="306"/>
        </w:trPr>
        <w:tc>
          <w:tcPr>
            <w:tcW w:w="204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Neutral Golf</w:t>
            </w:r>
          </w:p>
        </w:tc>
        <w:tc>
          <w:tcPr>
            <w:tcW w:w="540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790" w:type="dxa"/>
          </w:tcPr>
          <w:p w:rsidR="009E2B18" w:rsidRPr="000D5883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4.75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(2.13)</w:t>
            </w:r>
          </w:p>
        </w:tc>
        <w:tc>
          <w:tcPr>
            <w:tcW w:w="3168" w:type="dxa"/>
          </w:tcPr>
          <w:p w:rsidR="009E2B18" w:rsidRPr="0049607C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6.67 (1.71)</w:t>
            </w:r>
          </w:p>
        </w:tc>
      </w:tr>
    </w:tbl>
    <w:p w:rsidR="00307CC2" w:rsidRDefault="00307CC2" w:rsidP="00307CC2">
      <w:pPr>
        <w:tabs>
          <w:tab w:val="left" w:pos="718"/>
        </w:tabs>
      </w:pPr>
      <w:proofErr w:type="gramStart"/>
      <w:r>
        <w:t>Table 2.</w:t>
      </w:r>
      <w:proofErr w:type="gramEnd"/>
      <w:r>
        <w:t xml:space="preserve"> </w:t>
      </w:r>
      <w:proofErr w:type="gramStart"/>
      <w:r>
        <w:t xml:space="preserve">Means and standard deviations for the video game evaluations for each of the games in </w:t>
      </w:r>
      <w:r w:rsidR="002B6A70">
        <w:t>Experiment</w:t>
      </w:r>
      <w:r>
        <w:t xml:space="preserve"> 2.</w:t>
      </w:r>
      <w:proofErr w:type="gramEnd"/>
      <w:r w:rsidRPr="00740D7D">
        <w:t xml:space="preserve">  </w:t>
      </w:r>
    </w:p>
    <w:p w:rsidR="000D5883" w:rsidRDefault="000D5883" w:rsidP="0049607C">
      <w:pPr>
        <w:adjustRightInd/>
      </w:pPr>
    </w:p>
    <w:tbl>
      <w:tblPr>
        <w:tblW w:w="0" w:type="auto"/>
        <w:tblInd w:w="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30"/>
        <w:gridCol w:w="483"/>
        <w:gridCol w:w="2757"/>
        <w:gridCol w:w="3168"/>
      </w:tblGrid>
      <w:tr w:rsidR="00987B80" w:rsidTr="00987B80">
        <w:trPr>
          <w:trHeight w:val="294"/>
        </w:trPr>
        <w:tc>
          <w:tcPr>
            <w:tcW w:w="2130" w:type="dxa"/>
          </w:tcPr>
          <w:p w:rsidR="00987B80" w:rsidRPr="0049607C" w:rsidRDefault="00987B80" w:rsidP="002064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83" w:type="dxa"/>
          </w:tcPr>
          <w:p w:rsidR="00987B80" w:rsidRDefault="00987B80" w:rsidP="0020648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5" w:type="dxa"/>
            <w:gridSpan w:val="2"/>
          </w:tcPr>
          <w:p w:rsidR="00987B80" w:rsidRPr="0049607C" w:rsidRDefault="00987B80" w:rsidP="0020648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 2</w:t>
            </w:r>
          </w:p>
        </w:tc>
      </w:tr>
      <w:tr w:rsidR="009E2B18" w:rsidTr="00987B80">
        <w:trPr>
          <w:trHeight w:val="294"/>
        </w:trPr>
        <w:tc>
          <w:tcPr>
            <w:tcW w:w="2130" w:type="dxa"/>
          </w:tcPr>
          <w:p w:rsidR="009E2B18" w:rsidRPr="0049607C" w:rsidRDefault="009E2B18" w:rsidP="005939A7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Game Type</w:t>
            </w:r>
          </w:p>
        </w:tc>
        <w:tc>
          <w:tcPr>
            <w:tcW w:w="483" w:type="dxa"/>
          </w:tcPr>
          <w:p w:rsidR="009E2B18" w:rsidRDefault="009E2B18" w:rsidP="005939A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2757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Fun Factor 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. </w:t>
            </w:r>
            <w:r w:rsidRPr="0049607C">
              <w:rPr>
                <w:color w:val="000000"/>
              </w:rPr>
              <w:t>Means</w:t>
            </w:r>
            <w:r>
              <w:rPr>
                <w:color w:val="000000"/>
              </w:rPr>
              <w:t xml:space="preserve">   &amp; SD</w:t>
            </w:r>
          </w:p>
        </w:tc>
        <w:tc>
          <w:tcPr>
            <w:tcW w:w="3168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Difficulty Factor 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. </w:t>
            </w:r>
            <w:r w:rsidRPr="0049607C">
              <w:rPr>
                <w:color w:val="000000"/>
              </w:rPr>
              <w:t>Means</w:t>
            </w:r>
            <w:r>
              <w:rPr>
                <w:color w:val="000000"/>
              </w:rPr>
              <w:t xml:space="preserve"> &amp; SD</w:t>
            </w:r>
          </w:p>
        </w:tc>
      </w:tr>
      <w:tr w:rsidR="009E2B18" w:rsidTr="00987B80">
        <w:trPr>
          <w:trHeight w:val="282"/>
        </w:trPr>
        <w:tc>
          <w:tcPr>
            <w:tcW w:w="213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Arab-Terrorists</w:t>
            </w:r>
          </w:p>
        </w:tc>
        <w:tc>
          <w:tcPr>
            <w:tcW w:w="483" w:type="dxa"/>
          </w:tcPr>
          <w:p w:rsidR="009E2B18" w:rsidRPr="00307CC2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757" w:type="dxa"/>
          </w:tcPr>
          <w:p w:rsidR="009E2B18" w:rsidRPr="0049607C" w:rsidRDefault="009E2B18" w:rsidP="00BA1A88">
            <w:pPr>
              <w:spacing w:line="240" w:lineRule="auto"/>
              <w:rPr>
                <w:color w:val="000000"/>
              </w:rPr>
            </w:pPr>
            <w:r w:rsidRPr="00307CC2">
              <w:rPr>
                <w:color w:val="000000"/>
              </w:rPr>
              <w:t>5.</w:t>
            </w:r>
            <w:r>
              <w:rPr>
                <w:color w:val="000000"/>
              </w:rPr>
              <w:t>73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(2.59</w:t>
            </w:r>
            <w:r w:rsidRPr="000D5883">
              <w:rPr>
                <w:color w:val="000000"/>
              </w:rPr>
              <w:t>)</w:t>
            </w:r>
          </w:p>
        </w:tc>
        <w:tc>
          <w:tcPr>
            <w:tcW w:w="3168" w:type="dxa"/>
          </w:tcPr>
          <w:p w:rsidR="009E2B18" w:rsidRPr="0049607C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6.40 (2.14)</w:t>
            </w:r>
          </w:p>
        </w:tc>
      </w:tr>
      <w:tr w:rsidR="009E2B18" w:rsidTr="00987B80">
        <w:trPr>
          <w:trHeight w:val="294"/>
        </w:trPr>
        <w:tc>
          <w:tcPr>
            <w:tcW w:w="213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Russian-Terrorists</w:t>
            </w:r>
          </w:p>
        </w:tc>
        <w:tc>
          <w:tcPr>
            <w:tcW w:w="483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757" w:type="dxa"/>
          </w:tcPr>
          <w:p w:rsidR="009E2B18" w:rsidRPr="000D5883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5.13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(2.04)</w:t>
            </w:r>
          </w:p>
        </w:tc>
        <w:tc>
          <w:tcPr>
            <w:tcW w:w="3168" w:type="dxa"/>
          </w:tcPr>
          <w:p w:rsidR="009E2B18" w:rsidRPr="0049607C" w:rsidRDefault="009E2B18" w:rsidP="00427C1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6.67 (1.51)</w:t>
            </w:r>
          </w:p>
        </w:tc>
      </w:tr>
      <w:tr w:rsidR="009E2B18" w:rsidTr="00987B80">
        <w:trPr>
          <w:trHeight w:val="306"/>
        </w:trPr>
        <w:tc>
          <w:tcPr>
            <w:tcW w:w="213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Neutral Golf</w:t>
            </w:r>
          </w:p>
        </w:tc>
        <w:tc>
          <w:tcPr>
            <w:tcW w:w="483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757" w:type="dxa"/>
          </w:tcPr>
          <w:p w:rsidR="009E2B18" w:rsidRPr="000D5883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5.42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(2.41)</w:t>
            </w:r>
          </w:p>
        </w:tc>
        <w:tc>
          <w:tcPr>
            <w:tcW w:w="3168" w:type="dxa"/>
          </w:tcPr>
          <w:p w:rsidR="009E2B18" w:rsidRPr="0049607C" w:rsidRDefault="009E2B18" w:rsidP="00427C1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6.32 (1.75)</w:t>
            </w:r>
          </w:p>
        </w:tc>
      </w:tr>
      <w:tr w:rsidR="009E2B18" w:rsidTr="00987B80">
        <w:trPr>
          <w:trHeight w:val="306"/>
        </w:trPr>
        <w:tc>
          <w:tcPr>
            <w:tcW w:w="213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Arabian Lord</w:t>
            </w:r>
          </w:p>
        </w:tc>
        <w:tc>
          <w:tcPr>
            <w:tcW w:w="483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757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5.81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(2.99)</w:t>
            </w:r>
          </w:p>
        </w:tc>
        <w:tc>
          <w:tcPr>
            <w:tcW w:w="3168" w:type="dxa"/>
          </w:tcPr>
          <w:p w:rsidR="009E2B18" w:rsidRDefault="009E2B18" w:rsidP="00427C1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6.25 (2.03)</w:t>
            </w:r>
          </w:p>
        </w:tc>
      </w:tr>
      <w:tr w:rsidR="009E2B18" w:rsidTr="00987B80">
        <w:trPr>
          <w:trHeight w:val="306"/>
        </w:trPr>
        <w:tc>
          <w:tcPr>
            <w:tcW w:w="2130" w:type="dxa"/>
          </w:tcPr>
          <w:p w:rsidR="009E2B18" w:rsidRPr="0049607C" w:rsidRDefault="009E2B18" w:rsidP="0020648E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Unreal Tournament</w:t>
            </w:r>
          </w:p>
        </w:tc>
        <w:tc>
          <w:tcPr>
            <w:tcW w:w="483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757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5.17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(2.75)</w:t>
            </w:r>
          </w:p>
        </w:tc>
        <w:tc>
          <w:tcPr>
            <w:tcW w:w="3168" w:type="dxa"/>
          </w:tcPr>
          <w:p w:rsidR="009E2B18" w:rsidRDefault="009E2B18" w:rsidP="00BA1A8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6.06</w:t>
            </w:r>
            <w:r w:rsidRPr="000D5883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 (2.43)</w:t>
            </w:r>
          </w:p>
        </w:tc>
      </w:tr>
    </w:tbl>
    <w:p w:rsidR="00BA1A88" w:rsidRDefault="00BA1A88" w:rsidP="0059375E">
      <w:pPr>
        <w:adjustRightInd/>
        <w:jc w:val="center"/>
        <w:rPr>
          <w:b/>
        </w:rPr>
      </w:pPr>
    </w:p>
    <w:p w:rsidR="00BA1A88" w:rsidRDefault="00BA1A88">
      <w:pPr>
        <w:autoSpaceDE/>
        <w:autoSpaceDN/>
        <w:adjustRightInd/>
        <w:spacing w:line="240" w:lineRule="auto"/>
        <w:rPr>
          <w:b/>
        </w:rPr>
      </w:pPr>
      <w:r>
        <w:rPr>
          <w:b/>
        </w:rPr>
        <w:br w:type="page"/>
      </w:r>
    </w:p>
    <w:p w:rsidR="0049607C" w:rsidRPr="0059375E" w:rsidRDefault="0049607C" w:rsidP="0059375E">
      <w:pPr>
        <w:adjustRightInd/>
        <w:jc w:val="center"/>
        <w:rPr>
          <w:b/>
        </w:rPr>
      </w:pPr>
      <w:r w:rsidRPr="0059375E">
        <w:rPr>
          <w:b/>
        </w:rPr>
        <w:lastRenderedPageBreak/>
        <w:t>Video Game</w:t>
      </w:r>
      <w:r w:rsidR="0059375E" w:rsidRPr="0059375E">
        <w:rPr>
          <w:b/>
        </w:rPr>
        <w:t xml:space="preserve"> Effect on Violence Evaluations</w:t>
      </w:r>
    </w:p>
    <w:p w:rsidR="0049607C" w:rsidRDefault="0049607C" w:rsidP="0049607C">
      <w:pPr>
        <w:adjustRightInd/>
        <w:ind w:firstLine="720"/>
      </w:pPr>
      <w:r w:rsidRPr="00934527">
        <w:t>A one-way ANOVA was conducted on</w:t>
      </w:r>
      <w:r>
        <w:t xml:space="preserve"> the violence item. This item</w:t>
      </w:r>
      <w:r w:rsidRPr="0049607C">
        <w:t xml:space="preserve"> asked participants to rate to what extent they agree with this statement regarding the game they played, “The game was violent” on a scale from 1 (strongly disagree) – 10 (strongly agree). The tables below present the means and standard deviations on this violent measure for study 1 and study 2 games. </w:t>
      </w:r>
    </w:p>
    <w:p w:rsidR="0049607C" w:rsidRDefault="0049607C" w:rsidP="0049607C">
      <w:pPr>
        <w:tabs>
          <w:tab w:val="left" w:pos="718"/>
        </w:tabs>
      </w:pPr>
      <w:proofErr w:type="gramStart"/>
      <w:r>
        <w:t>Table 3.</w:t>
      </w:r>
      <w:proofErr w:type="gramEnd"/>
      <w:r>
        <w:t xml:space="preserve"> Means and standard deviations for the violence evaluation item for each of the games in </w:t>
      </w:r>
      <w:r w:rsidR="002B6A70">
        <w:t>Experiment</w:t>
      </w:r>
      <w:r>
        <w:t xml:space="preserve"> 1.</w:t>
      </w:r>
      <w:r w:rsidRPr="00740D7D">
        <w:t xml:space="preserve">  </w:t>
      </w:r>
    </w:p>
    <w:p w:rsidR="0049607C" w:rsidRDefault="0049607C" w:rsidP="0049607C">
      <w:pPr>
        <w:adjustRightInd/>
      </w:pPr>
    </w:p>
    <w:tbl>
      <w:tblPr>
        <w:tblW w:w="0" w:type="auto"/>
        <w:tblInd w:w="6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778"/>
        <w:gridCol w:w="2593"/>
        <w:gridCol w:w="2437"/>
      </w:tblGrid>
      <w:tr w:rsidR="00352823" w:rsidTr="009E2B18">
        <w:trPr>
          <w:trHeight w:val="284"/>
        </w:trPr>
        <w:tc>
          <w:tcPr>
            <w:tcW w:w="2057" w:type="dxa"/>
          </w:tcPr>
          <w:p w:rsidR="00352823" w:rsidRPr="0049607C" w:rsidRDefault="00352823" w:rsidP="004960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78" w:type="dxa"/>
          </w:tcPr>
          <w:p w:rsidR="00352823" w:rsidRDefault="00352823" w:rsidP="0049607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030" w:type="dxa"/>
            <w:gridSpan w:val="2"/>
          </w:tcPr>
          <w:p w:rsidR="00352823" w:rsidRPr="0049607C" w:rsidRDefault="00352823" w:rsidP="0049607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  <w:r w:rsidRPr="0049607C">
              <w:rPr>
                <w:color w:val="000000"/>
              </w:rPr>
              <w:t xml:space="preserve"> 1</w:t>
            </w:r>
          </w:p>
        </w:tc>
      </w:tr>
      <w:tr w:rsidR="00352823" w:rsidTr="009E2B18">
        <w:trPr>
          <w:trHeight w:val="284"/>
        </w:trPr>
        <w:tc>
          <w:tcPr>
            <w:tcW w:w="2057" w:type="dxa"/>
          </w:tcPr>
          <w:p w:rsidR="00352823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Game Type</w:t>
            </w:r>
          </w:p>
        </w:tc>
        <w:tc>
          <w:tcPr>
            <w:tcW w:w="778" w:type="dxa"/>
          </w:tcPr>
          <w:p w:rsidR="00352823" w:rsidRDefault="009E2B18" w:rsidP="004960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2593" w:type="dxa"/>
          </w:tcPr>
          <w:p w:rsidR="00352823" w:rsidRPr="0049607C" w:rsidRDefault="00352823" w:rsidP="004960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Violence 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. </w:t>
            </w:r>
            <w:r w:rsidRPr="0049607C">
              <w:rPr>
                <w:color w:val="000000"/>
              </w:rPr>
              <w:t>Means</w:t>
            </w:r>
          </w:p>
        </w:tc>
        <w:tc>
          <w:tcPr>
            <w:tcW w:w="2437" w:type="dxa"/>
          </w:tcPr>
          <w:p w:rsidR="00352823" w:rsidRPr="0049607C" w:rsidRDefault="00352823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SD</w:t>
            </w:r>
          </w:p>
        </w:tc>
      </w:tr>
      <w:tr w:rsidR="009E2B18" w:rsidTr="009E2B18">
        <w:trPr>
          <w:trHeight w:val="272"/>
        </w:trPr>
        <w:tc>
          <w:tcPr>
            <w:tcW w:w="2057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Arab-Terrorists</w:t>
            </w:r>
          </w:p>
        </w:tc>
        <w:tc>
          <w:tcPr>
            <w:tcW w:w="778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93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7.54</w:t>
            </w:r>
            <w:r w:rsidRPr="0049607C">
              <w:rPr>
                <w:color w:val="000000"/>
                <w:vertAlign w:val="superscript"/>
              </w:rPr>
              <w:t>a</w:t>
            </w:r>
          </w:p>
        </w:tc>
        <w:tc>
          <w:tcPr>
            <w:tcW w:w="2437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2.49</w:t>
            </w:r>
          </w:p>
        </w:tc>
      </w:tr>
      <w:tr w:rsidR="009E2B18" w:rsidTr="009E2B18">
        <w:trPr>
          <w:trHeight w:val="284"/>
        </w:trPr>
        <w:tc>
          <w:tcPr>
            <w:tcW w:w="2057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Russian-Terrorists</w:t>
            </w:r>
          </w:p>
        </w:tc>
        <w:tc>
          <w:tcPr>
            <w:tcW w:w="778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593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7.59</w:t>
            </w:r>
            <w:r w:rsidRPr="0049607C">
              <w:rPr>
                <w:color w:val="000000"/>
                <w:vertAlign w:val="superscript"/>
              </w:rPr>
              <w:t>a</w:t>
            </w:r>
          </w:p>
        </w:tc>
        <w:tc>
          <w:tcPr>
            <w:tcW w:w="2437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2.46</w:t>
            </w:r>
          </w:p>
        </w:tc>
      </w:tr>
      <w:tr w:rsidR="009E2B18" w:rsidTr="009E2B18">
        <w:trPr>
          <w:trHeight w:val="296"/>
        </w:trPr>
        <w:tc>
          <w:tcPr>
            <w:tcW w:w="2057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Neutral Golf</w:t>
            </w:r>
          </w:p>
        </w:tc>
        <w:tc>
          <w:tcPr>
            <w:tcW w:w="778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593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1.14</w:t>
            </w:r>
            <w:r w:rsidRPr="0049607C">
              <w:rPr>
                <w:color w:val="000000"/>
                <w:vertAlign w:val="superscript"/>
              </w:rPr>
              <w:t>b</w:t>
            </w:r>
          </w:p>
        </w:tc>
        <w:tc>
          <w:tcPr>
            <w:tcW w:w="2437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0.40</w:t>
            </w:r>
          </w:p>
        </w:tc>
      </w:tr>
    </w:tbl>
    <w:p w:rsidR="00BA1A88" w:rsidRDefault="00BA1A88" w:rsidP="00BA1A88">
      <w:r>
        <w:t xml:space="preserve">Within each table, means that do not share a superscript are significantly different at </w:t>
      </w:r>
      <w:r w:rsidRPr="00CA71AB">
        <w:rPr>
          <w:i/>
        </w:rPr>
        <w:t>p</w:t>
      </w:r>
      <w:r>
        <w:t xml:space="preserve">&lt;.05. </w:t>
      </w:r>
    </w:p>
    <w:p w:rsidR="00BA1A88" w:rsidRDefault="00BA1A88" w:rsidP="0049607C">
      <w:pPr>
        <w:tabs>
          <w:tab w:val="left" w:pos="718"/>
        </w:tabs>
      </w:pPr>
    </w:p>
    <w:p w:rsidR="0049607C" w:rsidRDefault="0049607C" w:rsidP="0049607C">
      <w:pPr>
        <w:tabs>
          <w:tab w:val="left" w:pos="718"/>
        </w:tabs>
      </w:pPr>
      <w:proofErr w:type="gramStart"/>
      <w:r>
        <w:t>Table 4.</w:t>
      </w:r>
      <w:proofErr w:type="gramEnd"/>
      <w:r>
        <w:t xml:space="preserve"> Means and standard deviations for the violence evaluation item for each of the games in </w:t>
      </w:r>
      <w:r w:rsidR="002B6A70">
        <w:t>Experiment</w:t>
      </w:r>
      <w:r>
        <w:t xml:space="preserve"> 2.</w:t>
      </w:r>
      <w:r w:rsidRPr="00740D7D">
        <w:t xml:space="preserve">  </w:t>
      </w:r>
    </w:p>
    <w:p w:rsidR="0049607C" w:rsidRDefault="0049607C" w:rsidP="0049607C">
      <w:pPr>
        <w:tabs>
          <w:tab w:val="left" w:pos="718"/>
        </w:tabs>
      </w:pPr>
    </w:p>
    <w:tbl>
      <w:tblPr>
        <w:tblW w:w="0" w:type="auto"/>
        <w:tblInd w:w="6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00"/>
        <w:gridCol w:w="810"/>
        <w:gridCol w:w="2610"/>
        <w:gridCol w:w="2718"/>
      </w:tblGrid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</w:tcPr>
          <w:p w:rsidR="009E2B18" w:rsidRDefault="009E2B18" w:rsidP="0049607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328" w:type="dxa"/>
            <w:gridSpan w:val="2"/>
          </w:tcPr>
          <w:p w:rsidR="009E2B18" w:rsidRPr="0049607C" w:rsidRDefault="009E2B18" w:rsidP="0049607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  <w:r w:rsidRPr="0049607C">
              <w:rPr>
                <w:color w:val="000000"/>
              </w:rPr>
              <w:t xml:space="preserve"> 2</w:t>
            </w:r>
          </w:p>
        </w:tc>
      </w:tr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Game Type</w:t>
            </w:r>
          </w:p>
        </w:tc>
        <w:tc>
          <w:tcPr>
            <w:tcW w:w="810" w:type="dxa"/>
          </w:tcPr>
          <w:p w:rsidR="009E2B18" w:rsidRDefault="009E2B18" w:rsidP="004960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261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Violence 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. </w:t>
            </w:r>
            <w:r w:rsidRPr="0049607C">
              <w:rPr>
                <w:color w:val="000000"/>
              </w:rPr>
              <w:t>Means</w:t>
            </w:r>
          </w:p>
        </w:tc>
        <w:tc>
          <w:tcPr>
            <w:tcW w:w="2718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SD</w:t>
            </w:r>
          </w:p>
        </w:tc>
      </w:tr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Arab-Terrorists</w:t>
            </w:r>
          </w:p>
        </w:tc>
        <w:tc>
          <w:tcPr>
            <w:tcW w:w="810" w:type="dxa"/>
          </w:tcPr>
          <w:p w:rsidR="009E2B18" w:rsidRPr="00307CC2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1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7.20</w:t>
            </w:r>
            <w:r w:rsidRPr="0049607C">
              <w:rPr>
                <w:color w:val="000000"/>
                <w:vertAlign w:val="superscript"/>
              </w:rPr>
              <w:t>a</w:t>
            </w:r>
          </w:p>
        </w:tc>
        <w:tc>
          <w:tcPr>
            <w:tcW w:w="2718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2.53</w:t>
            </w:r>
          </w:p>
        </w:tc>
      </w:tr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Russian-Terrorists</w:t>
            </w:r>
          </w:p>
        </w:tc>
        <w:tc>
          <w:tcPr>
            <w:tcW w:w="810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1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6.62</w:t>
            </w:r>
            <w:r w:rsidRPr="0049607C">
              <w:rPr>
                <w:color w:val="000000"/>
                <w:vertAlign w:val="superscript"/>
              </w:rPr>
              <w:t>a</w:t>
            </w:r>
          </w:p>
        </w:tc>
        <w:tc>
          <w:tcPr>
            <w:tcW w:w="2718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2.57</w:t>
            </w:r>
          </w:p>
        </w:tc>
      </w:tr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Neutral Golf</w:t>
            </w:r>
          </w:p>
        </w:tc>
        <w:tc>
          <w:tcPr>
            <w:tcW w:w="810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1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1.08</w:t>
            </w:r>
            <w:r w:rsidRPr="0049607C">
              <w:rPr>
                <w:color w:val="000000"/>
                <w:vertAlign w:val="superscript"/>
              </w:rPr>
              <w:t>b</w:t>
            </w:r>
          </w:p>
        </w:tc>
        <w:tc>
          <w:tcPr>
            <w:tcW w:w="2718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0.59</w:t>
            </w:r>
          </w:p>
        </w:tc>
      </w:tr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Arabian Lord</w:t>
            </w:r>
          </w:p>
        </w:tc>
        <w:tc>
          <w:tcPr>
            <w:tcW w:w="810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1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1.57</w:t>
            </w:r>
            <w:r w:rsidRPr="0049607C">
              <w:rPr>
                <w:color w:val="000000"/>
                <w:vertAlign w:val="superscript"/>
              </w:rPr>
              <w:t>b</w:t>
            </w:r>
          </w:p>
        </w:tc>
        <w:tc>
          <w:tcPr>
            <w:tcW w:w="2718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1.59</w:t>
            </w:r>
          </w:p>
        </w:tc>
      </w:tr>
      <w:tr w:rsidR="009E2B18" w:rsidTr="009E2B18">
        <w:tc>
          <w:tcPr>
            <w:tcW w:w="2100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Unreal Tournament</w:t>
            </w:r>
          </w:p>
        </w:tc>
        <w:tc>
          <w:tcPr>
            <w:tcW w:w="810" w:type="dxa"/>
          </w:tcPr>
          <w:p w:rsidR="009E2B18" w:rsidRDefault="009E2B18" w:rsidP="005939A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10" w:type="dxa"/>
          </w:tcPr>
          <w:p w:rsidR="009E2B18" w:rsidRPr="0049607C" w:rsidRDefault="009E2B18" w:rsidP="0049607C">
            <w:pPr>
              <w:tabs>
                <w:tab w:val="center" w:pos="1110"/>
              </w:tabs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7.19</w:t>
            </w:r>
            <w:r w:rsidRPr="0049607C">
              <w:rPr>
                <w:color w:val="000000"/>
                <w:vertAlign w:val="superscript"/>
              </w:rPr>
              <w:t>a</w:t>
            </w:r>
            <w:r w:rsidRPr="0049607C">
              <w:rPr>
                <w:color w:val="000000"/>
              </w:rPr>
              <w:tab/>
            </w:r>
          </w:p>
        </w:tc>
        <w:tc>
          <w:tcPr>
            <w:tcW w:w="2718" w:type="dxa"/>
          </w:tcPr>
          <w:p w:rsidR="009E2B18" w:rsidRPr="0049607C" w:rsidRDefault="009E2B18" w:rsidP="0049607C">
            <w:pPr>
              <w:spacing w:line="240" w:lineRule="auto"/>
              <w:rPr>
                <w:color w:val="000000"/>
              </w:rPr>
            </w:pPr>
            <w:r w:rsidRPr="0049607C">
              <w:rPr>
                <w:color w:val="000000"/>
              </w:rPr>
              <w:t>2.30</w:t>
            </w:r>
          </w:p>
        </w:tc>
      </w:tr>
    </w:tbl>
    <w:p w:rsidR="0049607C" w:rsidRDefault="0049607C" w:rsidP="0059375E">
      <w:r>
        <w:t xml:space="preserve">Within each table, means that do not share a superscript are significantly different at </w:t>
      </w:r>
      <w:r w:rsidRPr="00CA71AB">
        <w:rPr>
          <w:i/>
        </w:rPr>
        <w:t>p</w:t>
      </w:r>
      <w:r w:rsidR="0059375E">
        <w:t>&lt;.05</w:t>
      </w:r>
      <w:r>
        <w:t xml:space="preserve">. </w:t>
      </w:r>
    </w:p>
    <w:p w:rsidR="00BA1A88" w:rsidRDefault="00BA1A88">
      <w:pPr>
        <w:autoSpaceDE/>
        <w:autoSpaceDN/>
        <w:adjustRightInd/>
        <w:spacing w:line="240" w:lineRule="auto"/>
      </w:pPr>
      <w:r>
        <w:br w:type="page"/>
      </w:r>
    </w:p>
    <w:p w:rsidR="0020648E" w:rsidRPr="0059375E" w:rsidRDefault="0020648E" w:rsidP="0059375E">
      <w:pPr>
        <w:adjustRightInd/>
        <w:jc w:val="center"/>
        <w:rPr>
          <w:b/>
        </w:rPr>
      </w:pPr>
      <w:r>
        <w:rPr>
          <w:b/>
        </w:rPr>
        <w:lastRenderedPageBreak/>
        <w:t xml:space="preserve">Contrasts and Pooled Error Term Approach Used in </w:t>
      </w:r>
      <w:r w:rsidR="002B6A70">
        <w:rPr>
          <w:b/>
        </w:rPr>
        <w:t>Experiment</w:t>
      </w:r>
      <w:r>
        <w:rPr>
          <w:b/>
        </w:rPr>
        <w:t xml:space="preserve"> 2</w:t>
      </w:r>
    </w:p>
    <w:p w:rsidR="0059375E" w:rsidRDefault="0020648E" w:rsidP="0049607C">
      <w:pPr>
        <w:adjustRightInd/>
      </w:pPr>
      <w:r>
        <w:tab/>
        <w:t xml:space="preserve">As described in the main article, the five video game conditions used in </w:t>
      </w:r>
      <w:r w:rsidR="002B6A70">
        <w:t>Experiment</w:t>
      </w:r>
      <w:r>
        <w:t xml:space="preserve"> 2 can be conceived as being a 2 x 2 </w:t>
      </w:r>
      <w:r w:rsidR="000902FC">
        <w:t xml:space="preserve">factorial </w:t>
      </w:r>
      <w:r>
        <w:t xml:space="preserve">design, plus 1 additional control group. The most appropriate error terms for all </w:t>
      </w:r>
      <w:r>
        <w:rPr>
          <w:i/>
        </w:rPr>
        <w:t>F-</w:t>
      </w:r>
      <w:r>
        <w:t>tests in such a design is the pooled error term</w:t>
      </w:r>
      <w:r w:rsidR="00340571">
        <w:t xml:space="preserve"> derived from all five </w:t>
      </w:r>
      <w:proofErr w:type="gramStart"/>
      <w:r w:rsidR="00340571">
        <w:t>groups.</w:t>
      </w:r>
      <w:proofErr w:type="gramEnd"/>
      <w:r w:rsidR="00340571">
        <w:t xml:space="preserve"> Table 5 shows the specific contrasts that constitute the traditional main effects and interaction of the 2 x 2 ANOVA, and the </w:t>
      </w:r>
      <w:r w:rsidR="000902FC">
        <w:t xml:space="preserve">additional </w:t>
      </w:r>
      <w:r w:rsidR="00340571">
        <w:t>contrasts involving</w:t>
      </w:r>
      <w:r w:rsidR="000902FC">
        <w:t xml:space="preserve"> tests of</w:t>
      </w:r>
      <w:r w:rsidR="00340571">
        <w:t xml:space="preserve"> the 5</w:t>
      </w:r>
      <w:r w:rsidR="00340571" w:rsidRPr="0059375E">
        <w:rPr>
          <w:vertAlign w:val="superscript"/>
        </w:rPr>
        <w:t>th</w:t>
      </w:r>
      <w:r w:rsidR="00340571">
        <w:t xml:space="preserve"> additional group (Unreal Tournament, which is violent but without either a ter</w:t>
      </w:r>
      <w:r w:rsidR="000902FC">
        <w:t>rorist theme or Arab characters</w:t>
      </w:r>
      <w:r w:rsidR="00340571">
        <w:t>).</w:t>
      </w:r>
    </w:p>
    <w:p w:rsidR="0059375E" w:rsidRDefault="0059375E" w:rsidP="0049607C">
      <w:pPr>
        <w:adjustRightInd/>
      </w:pPr>
    </w:p>
    <w:p w:rsidR="0020648E" w:rsidRDefault="0020648E" w:rsidP="0049607C">
      <w:pPr>
        <w:adjustRightInd/>
      </w:pPr>
      <w:proofErr w:type="gramStart"/>
      <w:r>
        <w:t>Tab</w:t>
      </w:r>
      <w:r w:rsidR="00340571">
        <w:t>le 5.</w:t>
      </w:r>
      <w:proofErr w:type="gramEnd"/>
      <w:r w:rsidR="00340571">
        <w:t xml:space="preserve"> Contrast</w:t>
      </w:r>
      <w:r w:rsidR="00797BD9">
        <w:t xml:space="preserve"> weight</w:t>
      </w:r>
      <w:r w:rsidR="00340571">
        <w:t xml:space="preserve">s used in </w:t>
      </w:r>
      <w:r w:rsidR="002B6A70">
        <w:t>Experiment</w:t>
      </w:r>
      <w:r w:rsidR="00340571">
        <w:t xml:space="preserve"> 2.</w:t>
      </w:r>
    </w:p>
    <w:p w:rsidR="00340571" w:rsidRDefault="00340571" w:rsidP="0049607C">
      <w:pPr>
        <w:adjustRightInd/>
      </w:pPr>
    </w:p>
    <w:tbl>
      <w:tblPr>
        <w:tblStyle w:val="TableGrid"/>
        <w:tblW w:w="8856" w:type="dxa"/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478"/>
        <w:gridCol w:w="990"/>
        <w:gridCol w:w="990"/>
        <w:gridCol w:w="900"/>
        <w:gridCol w:w="1170"/>
        <w:gridCol w:w="1328"/>
      </w:tblGrid>
      <w:tr w:rsidR="0076620E">
        <w:tc>
          <w:tcPr>
            <w:tcW w:w="3478" w:type="dxa"/>
          </w:tcPr>
          <w:p w:rsidR="000F1C35" w:rsidRDefault="000F1C35" w:rsidP="0049607C">
            <w:pPr>
              <w:adjustRightInd/>
            </w:pPr>
            <w:r>
              <w:t>Effect being tested</w:t>
            </w:r>
          </w:p>
        </w:tc>
        <w:tc>
          <w:tcPr>
            <w:tcW w:w="990" w:type="dxa"/>
          </w:tcPr>
          <w:p w:rsidR="000F1C35" w:rsidRDefault="000F1C35" w:rsidP="0049607C">
            <w:pPr>
              <w:adjustRightInd/>
            </w:pPr>
            <w:r>
              <w:t>Arab-terrorists</w:t>
            </w:r>
          </w:p>
        </w:tc>
        <w:tc>
          <w:tcPr>
            <w:tcW w:w="990" w:type="dxa"/>
          </w:tcPr>
          <w:p w:rsidR="000F1C35" w:rsidRDefault="000F1C35" w:rsidP="0049607C">
            <w:pPr>
              <w:adjustRightInd/>
            </w:pPr>
            <w:r>
              <w:t>Russian-terrorists</w:t>
            </w:r>
          </w:p>
        </w:tc>
        <w:tc>
          <w:tcPr>
            <w:tcW w:w="900" w:type="dxa"/>
          </w:tcPr>
          <w:p w:rsidR="000F1C35" w:rsidRDefault="000F1C35" w:rsidP="0049607C">
            <w:pPr>
              <w:adjustRightInd/>
            </w:pPr>
            <w:r>
              <w:t>Arabian Lord</w:t>
            </w:r>
          </w:p>
        </w:tc>
        <w:tc>
          <w:tcPr>
            <w:tcW w:w="1170" w:type="dxa"/>
          </w:tcPr>
          <w:p w:rsidR="000F1C35" w:rsidRDefault="000F1C35" w:rsidP="0049607C">
            <w:pPr>
              <w:adjustRightInd/>
            </w:pPr>
            <w:r>
              <w:t>3D Ultra Mini-Golf</w:t>
            </w:r>
          </w:p>
        </w:tc>
        <w:tc>
          <w:tcPr>
            <w:tcW w:w="1328" w:type="dxa"/>
          </w:tcPr>
          <w:p w:rsidR="000F1C35" w:rsidRDefault="000F1C35" w:rsidP="0049607C">
            <w:pPr>
              <w:adjustRightInd/>
            </w:pPr>
            <w:r>
              <w:t>Unreal Tournament</w:t>
            </w:r>
          </w:p>
        </w:tc>
      </w:tr>
      <w:tr w:rsidR="0076620E">
        <w:tc>
          <w:tcPr>
            <w:tcW w:w="3478" w:type="dxa"/>
          </w:tcPr>
          <w:p w:rsidR="000F1C35" w:rsidRDefault="0076620E" w:rsidP="0076620E">
            <w:pPr>
              <w:adjustRightInd/>
            </w:pPr>
            <w:r>
              <w:t>Main effect of terrorism theme (T)</w:t>
            </w:r>
          </w:p>
        </w:tc>
        <w:tc>
          <w:tcPr>
            <w:tcW w:w="990" w:type="dxa"/>
          </w:tcPr>
          <w:p w:rsidR="000F1C35" w:rsidRDefault="0076620E" w:rsidP="0049607C">
            <w:pPr>
              <w:adjustRightInd/>
            </w:pPr>
            <w:r>
              <w:t>+1</w:t>
            </w:r>
          </w:p>
        </w:tc>
        <w:tc>
          <w:tcPr>
            <w:tcW w:w="990" w:type="dxa"/>
          </w:tcPr>
          <w:p w:rsidR="000F1C35" w:rsidRDefault="0076620E" w:rsidP="0049607C">
            <w:pPr>
              <w:adjustRightInd/>
            </w:pPr>
            <w:r>
              <w:t>+1</w:t>
            </w:r>
          </w:p>
        </w:tc>
        <w:tc>
          <w:tcPr>
            <w:tcW w:w="900" w:type="dxa"/>
          </w:tcPr>
          <w:p w:rsidR="000F1C35" w:rsidRDefault="0076620E" w:rsidP="0049607C">
            <w:pPr>
              <w:adjustRightInd/>
            </w:pPr>
            <w:r>
              <w:t>-1</w:t>
            </w:r>
          </w:p>
        </w:tc>
        <w:tc>
          <w:tcPr>
            <w:tcW w:w="1170" w:type="dxa"/>
          </w:tcPr>
          <w:p w:rsidR="000F1C35" w:rsidRDefault="0076620E" w:rsidP="0049607C">
            <w:pPr>
              <w:adjustRightInd/>
            </w:pPr>
            <w:r>
              <w:t>-1</w:t>
            </w:r>
          </w:p>
        </w:tc>
        <w:tc>
          <w:tcPr>
            <w:tcW w:w="1328" w:type="dxa"/>
          </w:tcPr>
          <w:p w:rsidR="000F1C35" w:rsidRDefault="0076620E" w:rsidP="0049607C">
            <w:pPr>
              <w:adjustRightInd/>
            </w:pPr>
            <w:r>
              <w:t>0</w:t>
            </w:r>
          </w:p>
        </w:tc>
      </w:tr>
      <w:tr w:rsidR="0076620E">
        <w:tc>
          <w:tcPr>
            <w:tcW w:w="3478" w:type="dxa"/>
          </w:tcPr>
          <w:p w:rsidR="000F1C35" w:rsidRDefault="0076620E" w:rsidP="0049607C">
            <w:pPr>
              <w:adjustRightInd/>
            </w:pPr>
            <w:r>
              <w:t>Main effect of Arab character (A)</w:t>
            </w:r>
          </w:p>
        </w:tc>
        <w:tc>
          <w:tcPr>
            <w:tcW w:w="990" w:type="dxa"/>
          </w:tcPr>
          <w:p w:rsidR="000F1C35" w:rsidRDefault="0076620E" w:rsidP="0049607C">
            <w:pPr>
              <w:adjustRightInd/>
            </w:pPr>
            <w:r>
              <w:t>+1</w:t>
            </w:r>
          </w:p>
        </w:tc>
        <w:tc>
          <w:tcPr>
            <w:tcW w:w="990" w:type="dxa"/>
          </w:tcPr>
          <w:p w:rsidR="000F1C35" w:rsidRDefault="0076620E" w:rsidP="0049607C">
            <w:pPr>
              <w:adjustRightInd/>
            </w:pPr>
            <w:r>
              <w:t>-1</w:t>
            </w:r>
          </w:p>
        </w:tc>
        <w:tc>
          <w:tcPr>
            <w:tcW w:w="900" w:type="dxa"/>
          </w:tcPr>
          <w:p w:rsidR="000F1C35" w:rsidRDefault="0076620E" w:rsidP="0049607C">
            <w:pPr>
              <w:adjustRightInd/>
            </w:pPr>
            <w:r>
              <w:t>+1</w:t>
            </w:r>
          </w:p>
        </w:tc>
        <w:tc>
          <w:tcPr>
            <w:tcW w:w="1170" w:type="dxa"/>
          </w:tcPr>
          <w:p w:rsidR="000F1C35" w:rsidRDefault="0076620E" w:rsidP="0049607C">
            <w:pPr>
              <w:adjustRightInd/>
            </w:pPr>
            <w:r>
              <w:t>-1</w:t>
            </w:r>
          </w:p>
        </w:tc>
        <w:tc>
          <w:tcPr>
            <w:tcW w:w="1328" w:type="dxa"/>
          </w:tcPr>
          <w:p w:rsidR="000F1C35" w:rsidRDefault="0076620E" w:rsidP="0049607C">
            <w:pPr>
              <w:adjustRightInd/>
            </w:pPr>
            <w:r>
              <w:t>0</w:t>
            </w:r>
          </w:p>
        </w:tc>
      </w:tr>
      <w:tr w:rsidR="0076620E">
        <w:tc>
          <w:tcPr>
            <w:tcW w:w="3478" w:type="dxa"/>
          </w:tcPr>
          <w:p w:rsidR="000F1C35" w:rsidRDefault="0076620E" w:rsidP="0049607C">
            <w:pPr>
              <w:adjustRightInd/>
            </w:pPr>
            <w:r>
              <w:t>Interaction (T x A)</w:t>
            </w:r>
          </w:p>
        </w:tc>
        <w:tc>
          <w:tcPr>
            <w:tcW w:w="990" w:type="dxa"/>
          </w:tcPr>
          <w:p w:rsidR="000F1C35" w:rsidRDefault="00797BD9" w:rsidP="0049607C">
            <w:pPr>
              <w:adjustRightInd/>
            </w:pPr>
            <w:r>
              <w:t>+1</w:t>
            </w:r>
          </w:p>
        </w:tc>
        <w:tc>
          <w:tcPr>
            <w:tcW w:w="990" w:type="dxa"/>
          </w:tcPr>
          <w:p w:rsidR="000F1C35" w:rsidRDefault="00797BD9" w:rsidP="0049607C">
            <w:pPr>
              <w:adjustRightInd/>
            </w:pPr>
            <w:r>
              <w:t>-1</w:t>
            </w:r>
          </w:p>
        </w:tc>
        <w:tc>
          <w:tcPr>
            <w:tcW w:w="900" w:type="dxa"/>
          </w:tcPr>
          <w:p w:rsidR="000F1C35" w:rsidRDefault="00797BD9" w:rsidP="0049607C">
            <w:pPr>
              <w:adjustRightInd/>
            </w:pPr>
            <w:r>
              <w:t>-1</w:t>
            </w:r>
          </w:p>
        </w:tc>
        <w:tc>
          <w:tcPr>
            <w:tcW w:w="1170" w:type="dxa"/>
          </w:tcPr>
          <w:p w:rsidR="000F1C35" w:rsidRDefault="00797BD9" w:rsidP="0049607C">
            <w:pPr>
              <w:adjustRightInd/>
            </w:pPr>
            <w:r>
              <w:t>+1</w:t>
            </w:r>
          </w:p>
        </w:tc>
        <w:tc>
          <w:tcPr>
            <w:tcW w:w="1328" w:type="dxa"/>
          </w:tcPr>
          <w:p w:rsidR="000F1C35" w:rsidRDefault="00797BD9" w:rsidP="0049607C">
            <w:pPr>
              <w:adjustRightInd/>
            </w:pPr>
            <w:r>
              <w:t>0</w:t>
            </w:r>
          </w:p>
        </w:tc>
      </w:tr>
      <w:tr w:rsidR="0076620E">
        <w:tc>
          <w:tcPr>
            <w:tcW w:w="3478" w:type="dxa"/>
          </w:tcPr>
          <w:p w:rsidR="000F1C35" w:rsidRDefault="00797BD9" w:rsidP="0049607C">
            <w:pPr>
              <w:adjustRightInd/>
            </w:pPr>
            <w:r>
              <w:t>Unreal Tournament vs. Terrorist games</w:t>
            </w:r>
          </w:p>
        </w:tc>
        <w:tc>
          <w:tcPr>
            <w:tcW w:w="990" w:type="dxa"/>
          </w:tcPr>
          <w:p w:rsidR="000F1C35" w:rsidRDefault="00797BD9" w:rsidP="0049607C">
            <w:pPr>
              <w:adjustRightInd/>
            </w:pPr>
            <w:r>
              <w:t>+1</w:t>
            </w:r>
          </w:p>
        </w:tc>
        <w:tc>
          <w:tcPr>
            <w:tcW w:w="990" w:type="dxa"/>
          </w:tcPr>
          <w:p w:rsidR="000F1C35" w:rsidRDefault="00797BD9" w:rsidP="0049607C">
            <w:pPr>
              <w:adjustRightInd/>
            </w:pPr>
            <w:r>
              <w:t>+1</w:t>
            </w:r>
          </w:p>
        </w:tc>
        <w:tc>
          <w:tcPr>
            <w:tcW w:w="900" w:type="dxa"/>
          </w:tcPr>
          <w:p w:rsidR="000F1C35" w:rsidRDefault="00797BD9" w:rsidP="0049607C">
            <w:pPr>
              <w:adjustRightInd/>
            </w:pPr>
            <w:r>
              <w:t>0</w:t>
            </w:r>
          </w:p>
        </w:tc>
        <w:tc>
          <w:tcPr>
            <w:tcW w:w="1170" w:type="dxa"/>
          </w:tcPr>
          <w:p w:rsidR="000F1C35" w:rsidRDefault="00797BD9" w:rsidP="0049607C">
            <w:pPr>
              <w:adjustRightInd/>
            </w:pPr>
            <w:r>
              <w:t>0</w:t>
            </w:r>
          </w:p>
        </w:tc>
        <w:tc>
          <w:tcPr>
            <w:tcW w:w="1328" w:type="dxa"/>
          </w:tcPr>
          <w:p w:rsidR="000F1C35" w:rsidRDefault="00797BD9" w:rsidP="0049607C">
            <w:pPr>
              <w:adjustRightInd/>
            </w:pPr>
            <w:r>
              <w:t>-2</w:t>
            </w:r>
          </w:p>
        </w:tc>
      </w:tr>
      <w:tr w:rsidR="0076620E">
        <w:tc>
          <w:tcPr>
            <w:tcW w:w="3478" w:type="dxa"/>
          </w:tcPr>
          <w:p w:rsidR="000F1C35" w:rsidRDefault="00797BD9" w:rsidP="0049607C">
            <w:pPr>
              <w:adjustRightInd/>
            </w:pPr>
            <w:r>
              <w:t>Unreal Tournament vs. nonviolent games</w:t>
            </w:r>
          </w:p>
        </w:tc>
        <w:tc>
          <w:tcPr>
            <w:tcW w:w="990" w:type="dxa"/>
          </w:tcPr>
          <w:p w:rsidR="000F1C35" w:rsidRDefault="00797BD9" w:rsidP="0049607C">
            <w:pPr>
              <w:adjustRightInd/>
            </w:pPr>
            <w:r>
              <w:t>0</w:t>
            </w:r>
          </w:p>
        </w:tc>
        <w:tc>
          <w:tcPr>
            <w:tcW w:w="990" w:type="dxa"/>
          </w:tcPr>
          <w:p w:rsidR="000F1C35" w:rsidRDefault="00797BD9" w:rsidP="0049607C">
            <w:pPr>
              <w:adjustRightInd/>
            </w:pPr>
            <w:r>
              <w:t>0</w:t>
            </w:r>
          </w:p>
        </w:tc>
        <w:tc>
          <w:tcPr>
            <w:tcW w:w="900" w:type="dxa"/>
          </w:tcPr>
          <w:p w:rsidR="000F1C35" w:rsidRDefault="00797BD9" w:rsidP="0049607C">
            <w:pPr>
              <w:adjustRightInd/>
            </w:pPr>
            <w:r>
              <w:t>+1</w:t>
            </w:r>
          </w:p>
        </w:tc>
        <w:tc>
          <w:tcPr>
            <w:tcW w:w="1170" w:type="dxa"/>
          </w:tcPr>
          <w:p w:rsidR="000F1C35" w:rsidRDefault="00797BD9" w:rsidP="0049607C">
            <w:pPr>
              <w:adjustRightInd/>
            </w:pPr>
            <w:r>
              <w:t>+1</w:t>
            </w:r>
          </w:p>
        </w:tc>
        <w:tc>
          <w:tcPr>
            <w:tcW w:w="1328" w:type="dxa"/>
          </w:tcPr>
          <w:p w:rsidR="000F1C35" w:rsidRDefault="00797BD9" w:rsidP="0049607C">
            <w:pPr>
              <w:adjustRightInd/>
            </w:pPr>
            <w:r>
              <w:t>-2</w:t>
            </w:r>
          </w:p>
        </w:tc>
      </w:tr>
      <w:tr w:rsidR="00797BD9">
        <w:tc>
          <w:tcPr>
            <w:tcW w:w="3478" w:type="dxa"/>
          </w:tcPr>
          <w:p w:rsidR="00797BD9" w:rsidRDefault="00797BD9" w:rsidP="0049607C">
            <w:pPr>
              <w:adjustRightInd/>
            </w:pPr>
            <w:r>
              <w:t>Arab-terrorist vs. Arabian Lord</w:t>
            </w:r>
          </w:p>
        </w:tc>
        <w:tc>
          <w:tcPr>
            <w:tcW w:w="990" w:type="dxa"/>
          </w:tcPr>
          <w:p w:rsidR="00797BD9" w:rsidRDefault="00797BD9" w:rsidP="0049607C">
            <w:pPr>
              <w:adjustRightInd/>
            </w:pPr>
            <w:r>
              <w:t>+1</w:t>
            </w:r>
          </w:p>
        </w:tc>
        <w:tc>
          <w:tcPr>
            <w:tcW w:w="990" w:type="dxa"/>
          </w:tcPr>
          <w:p w:rsidR="00797BD9" w:rsidRDefault="00797BD9" w:rsidP="0049607C">
            <w:pPr>
              <w:adjustRightInd/>
            </w:pPr>
            <w:r>
              <w:t>0</w:t>
            </w:r>
          </w:p>
        </w:tc>
        <w:tc>
          <w:tcPr>
            <w:tcW w:w="900" w:type="dxa"/>
          </w:tcPr>
          <w:p w:rsidR="00797BD9" w:rsidRDefault="00797BD9" w:rsidP="0049607C">
            <w:pPr>
              <w:adjustRightInd/>
            </w:pPr>
            <w:r>
              <w:t>-1</w:t>
            </w:r>
          </w:p>
        </w:tc>
        <w:tc>
          <w:tcPr>
            <w:tcW w:w="1170" w:type="dxa"/>
          </w:tcPr>
          <w:p w:rsidR="00797BD9" w:rsidRDefault="00797BD9" w:rsidP="0049607C">
            <w:pPr>
              <w:adjustRightInd/>
            </w:pPr>
            <w:r>
              <w:t>0</w:t>
            </w:r>
          </w:p>
        </w:tc>
        <w:tc>
          <w:tcPr>
            <w:tcW w:w="1328" w:type="dxa"/>
          </w:tcPr>
          <w:p w:rsidR="00797BD9" w:rsidRDefault="00797BD9" w:rsidP="0049607C">
            <w:pPr>
              <w:adjustRightInd/>
            </w:pPr>
            <w:r>
              <w:t>0</w:t>
            </w:r>
          </w:p>
        </w:tc>
      </w:tr>
      <w:tr w:rsidR="00797BD9">
        <w:tc>
          <w:tcPr>
            <w:tcW w:w="3478" w:type="dxa"/>
          </w:tcPr>
          <w:p w:rsidR="00797BD9" w:rsidRDefault="00797BD9" w:rsidP="0049607C">
            <w:pPr>
              <w:adjustRightInd/>
            </w:pPr>
            <w:r>
              <w:t>Arabian Lord vs. Mini-Golf</w:t>
            </w:r>
          </w:p>
        </w:tc>
        <w:tc>
          <w:tcPr>
            <w:tcW w:w="990" w:type="dxa"/>
          </w:tcPr>
          <w:p w:rsidR="00797BD9" w:rsidRDefault="00797BD9" w:rsidP="0049607C">
            <w:pPr>
              <w:adjustRightInd/>
            </w:pPr>
            <w:r>
              <w:t>0</w:t>
            </w:r>
          </w:p>
        </w:tc>
        <w:tc>
          <w:tcPr>
            <w:tcW w:w="990" w:type="dxa"/>
          </w:tcPr>
          <w:p w:rsidR="00797BD9" w:rsidRDefault="00797BD9" w:rsidP="0049607C">
            <w:pPr>
              <w:adjustRightInd/>
            </w:pPr>
            <w:r>
              <w:t>0</w:t>
            </w:r>
          </w:p>
        </w:tc>
        <w:tc>
          <w:tcPr>
            <w:tcW w:w="900" w:type="dxa"/>
          </w:tcPr>
          <w:p w:rsidR="00797BD9" w:rsidRDefault="00797BD9" w:rsidP="0049607C">
            <w:pPr>
              <w:adjustRightInd/>
            </w:pPr>
            <w:r>
              <w:t>+1</w:t>
            </w:r>
          </w:p>
        </w:tc>
        <w:tc>
          <w:tcPr>
            <w:tcW w:w="1170" w:type="dxa"/>
          </w:tcPr>
          <w:p w:rsidR="00797BD9" w:rsidRDefault="00797BD9" w:rsidP="0049607C">
            <w:pPr>
              <w:adjustRightInd/>
            </w:pPr>
            <w:r>
              <w:t>-1</w:t>
            </w:r>
          </w:p>
        </w:tc>
        <w:tc>
          <w:tcPr>
            <w:tcW w:w="1328" w:type="dxa"/>
          </w:tcPr>
          <w:p w:rsidR="00797BD9" w:rsidRDefault="00797BD9" w:rsidP="0049607C">
            <w:pPr>
              <w:adjustRightInd/>
            </w:pPr>
            <w:r>
              <w:t>0</w:t>
            </w:r>
          </w:p>
        </w:tc>
      </w:tr>
    </w:tbl>
    <w:p w:rsidR="000F1C35" w:rsidRDefault="000F1C35" w:rsidP="0049607C">
      <w:pPr>
        <w:adjustRightInd/>
      </w:pPr>
    </w:p>
    <w:p w:rsidR="00340571" w:rsidRDefault="00340571" w:rsidP="0049607C">
      <w:pPr>
        <w:adjustRightInd/>
      </w:pPr>
    </w:p>
    <w:p w:rsidR="00A03D67" w:rsidRDefault="00A03D67"/>
    <w:sectPr w:rsidR="00A03D67" w:rsidSect="00360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14" w:rsidRDefault="00534514">
      <w:r>
        <w:separator/>
      </w:r>
    </w:p>
  </w:endnote>
  <w:endnote w:type="continuationSeparator" w:id="0">
    <w:p w:rsidR="00534514" w:rsidRDefault="0053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14" w:rsidRDefault="00534514">
      <w:r>
        <w:separator/>
      </w:r>
    </w:p>
  </w:footnote>
  <w:footnote w:type="continuationSeparator" w:id="0">
    <w:p w:rsidR="00534514" w:rsidRDefault="0053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0"/>
    <w:rsid w:val="00000578"/>
    <w:rsid w:val="00000F44"/>
    <w:rsid w:val="00001682"/>
    <w:rsid w:val="00001DFA"/>
    <w:rsid w:val="00003D58"/>
    <w:rsid w:val="00005E91"/>
    <w:rsid w:val="000076FC"/>
    <w:rsid w:val="0001102D"/>
    <w:rsid w:val="00012FA7"/>
    <w:rsid w:val="000138E2"/>
    <w:rsid w:val="0001460D"/>
    <w:rsid w:val="0002085B"/>
    <w:rsid w:val="0002122E"/>
    <w:rsid w:val="00021656"/>
    <w:rsid w:val="000225B7"/>
    <w:rsid w:val="00023D80"/>
    <w:rsid w:val="00023F21"/>
    <w:rsid w:val="00025564"/>
    <w:rsid w:val="000256F0"/>
    <w:rsid w:val="00026041"/>
    <w:rsid w:val="00027650"/>
    <w:rsid w:val="00031AC0"/>
    <w:rsid w:val="00031FC5"/>
    <w:rsid w:val="00032B50"/>
    <w:rsid w:val="00032CFF"/>
    <w:rsid w:val="00034A72"/>
    <w:rsid w:val="00035677"/>
    <w:rsid w:val="00035EC2"/>
    <w:rsid w:val="000361F5"/>
    <w:rsid w:val="00036B1B"/>
    <w:rsid w:val="00036DEC"/>
    <w:rsid w:val="00036E5E"/>
    <w:rsid w:val="000374B8"/>
    <w:rsid w:val="00037BBF"/>
    <w:rsid w:val="00040059"/>
    <w:rsid w:val="00040478"/>
    <w:rsid w:val="000409AC"/>
    <w:rsid w:val="00041A14"/>
    <w:rsid w:val="0004236B"/>
    <w:rsid w:val="00042E38"/>
    <w:rsid w:val="00043379"/>
    <w:rsid w:val="00045C8E"/>
    <w:rsid w:val="00045FCD"/>
    <w:rsid w:val="00046612"/>
    <w:rsid w:val="00047D6C"/>
    <w:rsid w:val="000505C9"/>
    <w:rsid w:val="00051549"/>
    <w:rsid w:val="000532DA"/>
    <w:rsid w:val="000537D7"/>
    <w:rsid w:val="000557F6"/>
    <w:rsid w:val="00057E62"/>
    <w:rsid w:val="000626D7"/>
    <w:rsid w:val="00062959"/>
    <w:rsid w:val="00064594"/>
    <w:rsid w:val="0006502D"/>
    <w:rsid w:val="000665B6"/>
    <w:rsid w:val="000668D2"/>
    <w:rsid w:val="00067CC0"/>
    <w:rsid w:val="0007424F"/>
    <w:rsid w:val="00074DCE"/>
    <w:rsid w:val="00074E39"/>
    <w:rsid w:val="00076B00"/>
    <w:rsid w:val="00076F3A"/>
    <w:rsid w:val="000770DE"/>
    <w:rsid w:val="00081716"/>
    <w:rsid w:val="000843F1"/>
    <w:rsid w:val="00085A48"/>
    <w:rsid w:val="000861F0"/>
    <w:rsid w:val="000902FC"/>
    <w:rsid w:val="000924D0"/>
    <w:rsid w:val="00092C17"/>
    <w:rsid w:val="00092E1D"/>
    <w:rsid w:val="00093B86"/>
    <w:rsid w:val="00094F64"/>
    <w:rsid w:val="00095333"/>
    <w:rsid w:val="000959FF"/>
    <w:rsid w:val="00096175"/>
    <w:rsid w:val="00096738"/>
    <w:rsid w:val="000A06DB"/>
    <w:rsid w:val="000A0E81"/>
    <w:rsid w:val="000A21B3"/>
    <w:rsid w:val="000A3E76"/>
    <w:rsid w:val="000A3FD9"/>
    <w:rsid w:val="000A4BD8"/>
    <w:rsid w:val="000A4C88"/>
    <w:rsid w:val="000A5168"/>
    <w:rsid w:val="000A58E9"/>
    <w:rsid w:val="000A79F8"/>
    <w:rsid w:val="000B0A88"/>
    <w:rsid w:val="000B642C"/>
    <w:rsid w:val="000B675A"/>
    <w:rsid w:val="000B6CBD"/>
    <w:rsid w:val="000C19EE"/>
    <w:rsid w:val="000C3995"/>
    <w:rsid w:val="000C43F0"/>
    <w:rsid w:val="000C53D6"/>
    <w:rsid w:val="000C5DFB"/>
    <w:rsid w:val="000C6672"/>
    <w:rsid w:val="000D0361"/>
    <w:rsid w:val="000D1116"/>
    <w:rsid w:val="000D3898"/>
    <w:rsid w:val="000D5883"/>
    <w:rsid w:val="000D6961"/>
    <w:rsid w:val="000E0852"/>
    <w:rsid w:val="000E3389"/>
    <w:rsid w:val="000E3CB6"/>
    <w:rsid w:val="000E433D"/>
    <w:rsid w:val="000E5F49"/>
    <w:rsid w:val="000F0D45"/>
    <w:rsid w:val="000F1C35"/>
    <w:rsid w:val="000F2F46"/>
    <w:rsid w:val="000F365F"/>
    <w:rsid w:val="000F4A81"/>
    <w:rsid w:val="000F502E"/>
    <w:rsid w:val="000F54D0"/>
    <w:rsid w:val="000F6169"/>
    <w:rsid w:val="00100777"/>
    <w:rsid w:val="00100D03"/>
    <w:rsid w:val="00102E4C"/>
    <w:rsid w:val="001063F7"/>
    <w:rsid w:val="001068D0"/>
    <w:rsid w:val="00107058"/>
    <w:rsid w:val="00107283"/>
    <w:rsid w:val="00107C85"/>
    <w:rsid w:val="00111883"/>
    <w:rsid w:val="00111E46"/>
    <w:rsid w:val="001146C6"/>
    <w:rsid w:val="00117FF0"/>
    <w:rsid w:val="00121072"/>
    <w:rsid w:val="001219F5"/>
    <w:rsid w:val="00122254"/>
    <w:rsid w:val="00122347"/>
    <w:rsid w:val="00122C02"/>
    <w:rsid w:val="00123A30"/>
    <w:rsid w:val="001243D3"/>
    <w:rsid w:val="00124721"/>
    <w:rsid w:val="00124CB0"/>
    <w:rsid w:val="00124D73"/>
    <w:rsid w:val="00124E08"/>
    <w:rsid w:val="0012684C"/>
    <w:rsid w:val="00127A9E"/>
    <w:rsid w:val="00130F25"/>
    <w:rsid w:val="00131D21"/>
    <w:rsid w:val="00134523"/>
    <w:rsid w:val="00134692"/>
    <w:rsid w:val="00134AB2"/>
    <w:rsid w:val="001365DD"/>
    <w:rsid w:val="001367BC"/>
    <w:rsid w:val="001369B3"/>
    <w:rsid w:val="0014073B"/>
    <w:rsid w:val="0014095F"/>
    <w:rsid w:val="00144E55"/>
    <w:rsid w:val="0014544D"/>
    <w:rsid w:val="001454CE"/>
    <w:rsid w:val="00146B19"/>
    <w:rsid w:val="0015046A"/>
    <w:rsid w:val="001506DC"/>
    <w:rsid w:val="00150919"/>
    <w:rsid w:val="00152E16"/>
    <w:rsid w:val="00154089"/>
    <w:rsid w:val="00154A78"/>
    <w:rsid w:val="00154F65"/>
    <w:rsid w:val="00162FED"/>
    <w:rsid w:val="0016765D"/>
    <w:rsid w:val="001701A6"/>
    <w:rsid w:val="001710AF"/>
    <w:rsid w:val="001710EA"/>
    <w:rsid w:val="0017136D"/>
    <w:rsid w:val="0017182E"/>
    <w:rsid w:val="00171E8D"/>
    <w:rsid w:val="00174494"/>
    <w:rsid w:val="00175B36"/>
    <w:rsid w:val="00176236"/>
    <w:rsid w:val="001777A1"/>
    <w:rsid w:val="00177B67"/>
    <w:rsid w:val="0018139D"/>
    <w:rsid w:val="00181AC2"/>
    <w:rsid w:val="00184551"/>
    <w:rsid w:val="00187CA4"/>
    <w:rsid w:val="001900D9"/>
    <w:rsid w:val="001934F7"/>
    <w:rsid w:val="001939A0"/>
    <w:rsid w:val="00195452"/>
    <w:rsid w:val="0019649D"/>
    <w:rsid w:val="001A0DC5"/>
    <w:rsid w:val="001A2D8E"/>
    <w:rsid w:val="001A3055"/>
    <w:rsid w:val="001A3D09"/>
    <w:rsid w:val="001A436B"/>
    <w:rsid w:val="001A630E"/>
    <w:rsid w:val="001A6B4E"/>
    <w:rsid w:val="001A6BB5"/>
    <w:rsid w:val="001A7AF0"/>
    <w:rsid w:val="001B00A8"/>
    <w:rsid w:val="001B160B"/>
    <w:rsid w:val="001B39DC"/>
    <w:rsid w:val="001B3ED2"/>
    <w:rsid w:val="001B43C3"/>
    <w:rsid w:val="001B4459"/>
    <w:rsid w:val="001B6530"/>
    <w:rsid w:val="001B69E7"/>
    <w:rsid w:val="001B7191"/>
    <w:rsid w:val="001B7F18"/>
    <w:rsid w:val="001C405D"/>
    <w:rsid w:val="001C5708"/>
    <w:rsid w:val="001C624B"/>
    <w:rsid w:val="001D022C"/>
    <w:rsid w:val="001D0E27"/>
    <w:rsid w:val="001D2991"/>
    <w:rsid w:val="001D4AE5"/>
    <w:rsid w:val="001D686A"/>
    <w:rsid w:val="001E02B7"/>
    <w:rsid w:val="001E1A91"/>
    <w:rsid w:val="001E34C9"/>
    <w:rsid w:val="001E62AC"/>
    <w:rsid w:val="001E6558"/>
    <w:rsid w:val="001F26C8"/>
    <w:rsid w:val="001F3F59"/>
    <w:rsid w:val="001F439E"/>
    <w:rsid w:val="001F4FF5"/>
    <w:rsid w:val="001F5339"/>
    <w:rsid w:val="001F79C0"/>
    <w:rsid w:val="001F7D66"/>
    <w:rsid w:val="002011B8"/>
    <w:rsid w:val="0020140B"/>
    <w:rsid w:val="00201500"/>
    <w:rsid w:val="00205D5C"/>
    <w:rsid w:val="0020648E"/>
    <w:rsid w:val="00212627"/>
    <w:rsid w:val="00213D15"/>
    <w:rsid w:val="002158BA"/>
    <w:rsid w:val="0021594F"/>
    <w:rsid w:val="00215CFF"/>
    <w:rsid w:val="002173E0"/>
    <w:rsid w:val="00222B8D"/>
    <w:rsid w:val="00222D94"/>
    <w:rsid w:val="002236F5"/>
    <w:rsid w:val="00223DF2"/>
    <w:rsid w:val="00224FC5"/>
    <w:rsid w:val="00225158"/>
    <w:rsid w:val="00227201"/>
    <w:rsid w:val="002279A0"/>
    <w:rsid w:val="00227A33"/>
    <w:rsid w:val="00227D45"/>
    <w:rsid w:val="00230243"/>
    <w:rsid w:val="002311E3"/>
    <w:rsid w:val="002311E7"/>
    <w:rsid w:val="0023122D"/>
    <w:rsid w:val="00232F08"/>
    <w:rsid w:val="0023463B"/>
    <w:rsid w:val="002409DC"/>
    <w:rsid w:val="002413A4"/>
    <w:rsid w:val="00241BA1"/>
    <w:rsid w:val="00242905"/>
    <w:rsid w:val="0024360B"/>
    <w:rsid w:val="00246576"/>
    <w:rsid w:val="00247C39"/>
    <w:rsid w:val="00251010"/>
    <w:rsid w:val="00252F5A"/>
    <w:rsid w:val="0025436E"/>
    <w:rsid w:val="00254AB6"/>
    <w:rsid w:val="00255F71"/>
    <w:rsid w:val="00260085"/>
    <w:rsid w:val="0026115E"/>
    <w:rsid w:val="00263A23"/>
    <w:rsid w:val="00266057"/>
    <w:rsid w:val="002662B8"/>
    <w:rsid w:val="00266476"/>
    <w:rsid w:val="00266DE3"/>
    <w:rsid w:val="0027232F"/>
    <w:rsid w:val="002726BE"/>
    <w:rsid w:val="002747B4"/>
    <w:rsid w:val="00274A60"/>
    <w:rsid w:val="00280409"/>
    <w:rsid w:val="00280AE9"/>
    <w:rsid w:val="00280F1F"/>
    <w:rsid w:val="00283FA2"/>
    <w:rsid w:val="0028658E"/>
    <w:rsid w:val="002873FC"/>
    <w:rsid w:val="00291373"/>
    <w:rsid w:val="00292587"/>
    <w:rsid w:val="002929AE"/>
    <w:rsid w:val="0029693E"/>
    <w:rsid w:val="00296AA0"/>
    <w:rsid w:val="00297882"/>
    <w:rsid w:val="002A2AFA"/>
    <w:rsid w:val="002A5078"/>
    <w:rsid w:val="002A7061"/>
    <w:rsid w:val="002A74F5"/>
    <w:rsid w:val="002A7AB8"/>
    <w:rsid w:val="002B04AA"/>
    <w:rsid w:val="002B1578"/>
    <w:rsid w:val="002B2CFD"/>
    <w:rsid w:val="002B6A70"/>
    <w:rsid w:val="002B6EE3"/>
    <w:rsid w:val="002D0529"/>
    <w:rsid w:val="002D2EC8"/>
    <w:rsid w:val="002D3115"/>
    <w:rsid w:val="002D40F7"/>
    <w:rsid w:val="002D432D"/>
    <w:rsid w:val="002D4553"/>
    <w:rsid w:val="002D47FC"/>
    <w:rsid w:val="002D51D0"/>
    <w:rsid w:val="002D6507"/>
    <w:rsid w:val="002D674D"/>
    <w:rsid w:val="002D7A10"/>
    <w:rsid w:val="002E197E"/>
    <w:rsid w:val="002E25D0"/>
    <w:rsid w:val="002E3998"/>
    <w:rsid w:val="002E3FD2"/>
    <w:rsid w:val="002E42E6"/>
    <w:rsid w:val="002E7269"/>
    <w:rsid w:val="002F20E6"/>
    <w:rsid w:val="002F38D1"/>
    <w:rsid w:val="002F5C2E"/>
    <w:rsid w:val="002F60D7"/>
    <w:rsid w:val="002F66C7"/>
    <w:rsid w:val="002F6BA0"/>
    <w:rsid w:val="002F7765"/>
    <w:rsid w:val="00300FFA"/>
    <w:rsid w:val="0030223D"/>
    <w:rsid w:val="00306A72"/>
    <w:rsid w:val="00306BCE"/>
    <w:rsid w:val="00306D94"/>
    <w:rsid w:val="00307CC2"/>
    <w:rsid w:val="003110F7"/>
    <w:rsid w:val="003126AD"/>
    <w:rsid w:val="00312728"/>
    <w:rsid w:val="00320407"/>
    <w:rsid w:val="00321A17"/>
    <w:rsid w:val="003225C8"/>
    <w:rsid w:val="0032269D"/>
    <w:rsid w:val="00323E5F"/>
    <w:rsid w:val="00325A5A"/>
    <w:rsid w:val="0032606D"/>
    <w:rsid w:val="003266BA"/>
    <w:rsid w:val="00327669"/>
    <w:rsid w:val="00331A93"/>
    <w:rsid w:val="00337E6D"/>
    <w:rsid w:val="00340571"/>
    <w:rsid w:val="00341FA8"/>
    <w:rsid w:val="003446BE"/>
    <w:rsid w:val="00350767"/>
    <w:rsid w:val="00350A54"/>
    <w:rsid w:val="00351941"/>
    <w:rsid w:val="00351A5F"/>
    <w:rsid w:val="003521C1"/>
    <w:rsid w:val="00352823"/>
    <w:rsid w:val="003528F2"/>
    <w:rsid w:val="003537BE"/>
    <w:rsid w:val="0035538F"/>
    <w:rsid w:val="0035553C"/>
    <w:rsid w:val="003577DB"/>
    <w:rsid w:val="00360135"/>
    <w:rsid w:val="003609A1"/>
    <w:rsid w:val="003616C9"/>
    <w:rsid w:val="00362809"/>
    <w:rsid w:val="00363E82"/>
    <w:rsid w:val="00364CE7"/>
    <w:rsid w:val="00365000"/>
    <w:rsid w:val="003701F6"/>
    <w:rsid w:val="003707B3"/>
    <w:rsid w:val="00371E5F"/>
    <w:rsid w:val="00374036"/>
    <w:rsid w:val="003758D6"/>
    <w:rsid w:val="0037778E"/>
    <w:rsid w:val="003800BC"/>
    <w:rsid w:val="00380946"/>
    <w:rsid w:val="003810FF"/>
    <w:rsid w:val="003879FE"/>
    <w:rsid w:val="00390B0F"/>
    <w:rsid w:val="00392C05"/>
    <w:rsid w:val="00392E86"/>
    <w:rsid w:val="00394208"/>
    <w:rsid w:val="003979F8"/>
    <w:rsid w:val="003A4903"/>
    <w:rsid w:val="003A4A13"/>
    <w:rsid w:val="003A79AA"/>
    <w:rsid w:val="003B573F"/>
    <w:rsid w:val="003B66AF"/>
    <w:rsid w:val="003C0249"/>
    <w:rsid w:val="003C2FB2"/>
    <w:rsid w:val="003C5852"/>
    <w:rsid w:val="003C5B0A"/>
    <w:rsid w:val="003D0757"/>
    <w:rsid w:val="003D0A52"/>
    <w:rsid w:val="003D17BD"/>
    <w:rsid w:val="003D5397"/>
    <w:rsid w:val="003E1957"/>
    <w:rsid w:val="003E1CCA"/>
    <w:rsid w:val="003E5BD6"/>
    <w:rsid w:val="003E5E92"/>
    <w:rsid w:val="003E5EDF"/>
    <w:rsid w:val="003F06DA"/>
    <w:rsid w:val="003F0916"/>
    <w:rsid w:val="003F0EA2"/>
    <w:rsid w:val="003F3764"/>
    <w:rsid w:val="003F3A98"/>
    <w:rsid w:val="003F4854"/>
    <w:rsid w:val="003F52BC"/>
    <w:rsid w:val="003F695F"/>
    <w:rsid w:val="003F7549"/>
    <w:rsid w:val="00400134"/>
    <w:rsid w:val="00400F10"/>
    <w:rsid w:val="00401216"/>
    <w:rsid w:val="004020B7"/>
    <w:rsid w:val="0040368B"/>
    <w:rsid w:val="0040382C"/>
    <w:rsid w:val="00403FF3"/>
    <w:rsid w:val="0040489B"/>
    <w:rsid w:val="00405CA6"/>
    <w:rsid w:val="0040648D"/>
    <w:rsid w:val="0041183C"/>
    <w:rsid w:val="0041248B"/>
    <w:rsid w:val="00412CD8"/>
    <w:rsid w:val="004209DA"/>
    <w:rsid w:val="00420FF1"/>
    <w:rsid w:val="00421708"/>
    <w:rsid w:val="004218F3"/>
    <w:rsid w:val="004226B5"/>
    <w:rsid w:val="00424662"/>
    <w:rsid w:val="00424A2B"/>
    <w:rsid w:val="00424CCE"/>
    <w:rsid w:val="00425A6F"/>
    <w:rsid w:val="00426160"/>
    <w:rsid w:val="0042790D"/>
    <w:rsid w:val="00427C14"/>
    <w:rsid w:val="004304CD"/>
    <w:rsid w:val="0043159D"/>
    <w:rsid w:val="0043170C"/>
    <w:rsid w:val="004339A9"/>
    <w:rsid w:val="00433FB1"/>
    <w:rsid w:val="00434496"/>
    <w:rsid w:val="00434CD0"/>
    <w:rsid w:val="0043528F"/>
    <w:rsid w:val="0044051A"/>
    <w:rsid w:val="00441B59"/>
    <w:rsid w:val="00442BD8"/>
    <w:rsid w:val="00443772"/>
    <w:rsid w:val="00444667"/>
    <w:rsid w:val="0044521A"/>
    <w:rsid w:val="0044670E"/>
    <w:rsid w:val="004471F4"/>
    <w:rsid w:val="00447EF4"/>
    <w:rsid w:val="004511BB"/>
    <w:rsid w:val="00452AD8"/>
    <w:rsid w:val="004552DE"/>
    <w:rsid w:val="0045625B"/>
    <w:rsid w:val="0045630F"/>
    <w:rsid w:val="00456F7D"/>
    <w:rsid w:val="00462453"/>
    <w:rsid w:val="00466FA6"/>
    <w:rsid w:val="00471739"/>
    <w:rsid w:val="004768EB"/>
    <w:rsid w:val="00476B9D"/>
    <w:rsid w:val="00481394"/>
    <w:rsid w:val="0048163C"/>
    <w:rsid w:val="0048208A"/>
    <w:rsid w:val="00482315"/>
    <w:rsid w:val="004825F7"/>
    <w:rsid w:val="004829E4"/>
    <w:rsid w:val="00483929"/>
    <w:rsid w:val="0048683F"/>
    <w:rsid w:val="00487223"/>
    <w:rsid w:val="004916A7"/>
    <w:rsid w:val="00491CFB"/>
    <w:rsid w:val="00491E63"/>
    <w:rsid w:val="0049502B"/>
    <w:rsid w:val="0049607C"/>
    <w:rsid w:val="0049684D"/>
    <w:rsid w:val="00497440"/>
    <w:rsid w:val="00497E5C"/>
    <w:rsid w:val="00497F23"/>
    <w:rsid w:val="004A0447"/>
    <w:rsid w:val="004A2534"/>
    <w:rsid w:val="004A2550"/>
    <w:rsid w:val="004A546D"/>
    <w:rsid w:val="004A6289"/>
    <w:rsid w:val="004A6AFA"/>
    <w:rsid w:val="004A7A1D"/>
    <w:rsid w:val="004B2B6C"/>
    <w:rsid w:val="004B36B0"/>
    <w:rsid w:val="004B4A3A"/>
    <w:rsid w:val="004B4F55"/>
    <w:rsid w:val="004B5749"/>
    <w:rsid w:val="004C0220"/>
    <w:rsid w:val="004C1D9A"/>
    <w:rsid w:val="004C26E4"/>
    <w:rsid w:val="004C28C2"/>
    <w:rsid w:val="004C2F53"/>
    <w:rsid w:val="004C4B95"/>
    <w:rsid w:val="004C5247"/>
    <w:rsid w:val="004C7067"/>
    <w:rsid w:val="004C7634"/>
    <w:rsid w:val="004C77EC"/>
    <w:rsid w:val="004C7AE3"/>
    <w:rsid w:val="004D194A"/>
    <w:rsid w:val="004D1C04"/>
    <w:rsid w:val="004D2A7F"/>
    <w:rsid w:val="004D6CAD"/>
    <w:rsid w:val="004D71BE"/>
    <w:rsid w:val="004E2E2E"/>
    <w:rsid w:val="004E3484"/>
    <w:rsid w:val="004E5664"/>
    <w:rsid w:val="004E58C3"/>
    <w:rsid w:val="004E7315"/>
    <w:rsid w:val="004F1A7D"/>
    <w:rsid w:val="004F7A9D"/>
    <w:rsid w:val="00500499"/>
    <w:rsid w:val="005008F1"/>
    <w:rsid w:val="005011F9"/>
    <w:rsid w:val="00501F52"/>
    <w:rsid w:val="00503C82"/>
    <w:rsid w:val="00504283"/>
    <w:rsid w:val="005049E9"/>
    <w:rsid w:val="00504A45"/>
    <w:rsid w:val="00505737"/>
    <w:rsid w:val="005110FA"/>
    <w:rsid w:val="00512ECE"/>
    <w:rsid w:val="00513693"/>
    <w:rsid w:val="00516C62"/>
    <w:rsid w:val="005216B2"/>
    <w:rsid w:val="0052201D"/>
    <w:rsid w:val="005223B7"/>
    <w:rsid w:val="0052277A"/>
    <w:rsid w:val="00523CCC"/>
    <w:rsid w:val="005304CB"/>
    <w:rsid w:val="00530E08"/>
    <w:rsid w:val="005317E7"/>
    <w:rsid w:val="00534514"/>
    <w:rsid w:val="005357D9"/>
    <w:rsid w:val="0053582A"/>
    <w:rsid w:val="00536E43"/>
    <w:rsid w:val="0054052B"/>
    <w:rsid w:val="00540D16"/>
    <w:rsid w:val="00540D1F"/>
    <w:rsid w:val="00544DC2"/>
    <w:rsid w:val="00547BD2"/>
    <w:rsid w:val="00547DC4"/>
    <w:rsid w:val="005501C0"/>
    <w:rsid w:val="00551A93"/>
    <w:rsid w:val="00552689"/>
    <w:rsid w:val="005536BA"/>
    <w:rsid w:val="005539DD"/>
    <w:rsid w:val="00554DBA"/>
    <w:rsid w:val="00555A08"/>
    <w:rsid w:val="00556E2B"/>
    <w:rsid w:val="00560E0B"/>
    <w:rsid w:val="00561842"/>
    <w:rsid w:val="00563799"/>
    <w:rsid w:val="00570D83"/>
    <w:rsid w:val="00573ADE"/>
    <w:rsid w:val="00574B81"/>
    <w:rsid w:val="00575C01"/>
    <w:rsid w:val="00580717"/>
    <w:rsid w:val="00580E58"/>
    <w:rsid w:val="00580FA8"/>
    <w:rsid w:val="00581AA1"/>
    <w:rsid w:val="005824A1"/>
    <w:rsid w:val="0058316E"/>
    <w:rsid w:val="00590750"/>
    <w:rsid w:val="00591818"/>
    <w:rsid w:val="005924C9"/>
    <w:rsid w:val="005926DD"/>
    <w:rsid w:val="00592BE1"/>
    <w:rsid w:val="00592C93"/>
    <w:rsid w:val="00593608"/>
    <w:rsid w:val="0059375E"/>
    <w:rsid w:val="00593A25"/>
    <w:rsid w:val="00594339"/>
    <w:rsid w:val="0059692B"/>
    <w:rsid w:val="005A0E81"/>
    <w:rsid w:val="005A18CF"/>
    <w:rsid w:val="005A2BE3"/>
    <w:rsid w:val="005A4CA3"/>
    <w:rsid w:val="005A5BBF"/>
    <w:rsid w:val="005B00C2"/>
    <w:rsid w:val="005B0845"/>
    <w:rsid w:val="005B1634"/>
    <w:rsid w:val="005B1F64"/>
    <w:rsid w:val="005B531F"/>
    <w:rsid w:val="005B66A9"/>
    <w:rsid w:val="005B6845"/>
    <w:rsid w:val="005C034F"/>
    <w:rsid w:val="005C124C"/>
    <w:rsid w:val="005C2BC2"/>
    <w:rsid w:val="005C2C66"/>
    <w:rsid w:val="005C437F"/>
    <w:rsid w:val="005D0523"/>
    <w:rsid w:val="005D17A3"/>
    <w:rsid w:val="005D195B"/>
    <w:rsid w:val="005D195E"/>
    <w:rsid w:val="005D2F46"/>
    <w:rsid w:val="005D3175"/>
    <w:rsid w:val="005D3239"/>
    <w:rsid w:val="005D3BC1"/>
    <w:rsid w:val="005D4D9F"/>
    <w:rsid w:val="005D4DC3"/>
    <w:rsid w:val="005E052A"/>
    <w:rsid w:val="005E18CB"/>
    <w:rsid w:val="005E1EB7"/>
    <w:rsid w:val="005E22F5"/>
    <w:rsid w:val="005E6377"/>
    <w:rsid w:val="005F1CE5"/>
    <w:rsid w:val="005F20A9"/>
    <w:rsid w:val="005F28BD"/>
    <w:rsid w:val="005F3AF1"/>
    <w:rsid w:val="005F480B"/>
    <w:rsid w:val="005F68B0"/>
    <w:rsid w:val="005F7968"/>
    <w:rsid w:val="005F7AD7"/>
    <w:rsid w:val="00601BF3"/>
    <w:rsid w:val="00603615"/>
    <w:rsid w:val="006103FB"/>
    <w:rsid w:val="0061114C"/>
    <w:rsid w:val="00611BD5"/>
    <w:rsid w:val="0061246E"/>
    <w:rsid w:val="00614995"/>
    <w:rsid w:val="00616458"/>
    <w:rsid w:val="00616AE2"/>
    <w:rsid w:val="006210C0"/>
    <w:rsid w:val="0062319C"/>
    <w:rsid w:val="00627908"/>
    <w:rsid w:val="00630E22"/>
    <w:rsid w:val="00631668"/>
    <w:rsid w:val="00631807"/>
    <w:rsid w:val="00633D1E"/>
    <w:rsid w:val="006351B5"/>
    <w:rsid w:val="00635E9D"/>
    <w:rsid w:val="00636B85"/>
    <w:rsid w:val="00637D2D"/>
    <w:rsid w:val="00640C1E"/>
    <w:rsid w:val="00642243"/>
    <w:rsid w:val="00642973"/>
    <w:rsid w:val="00643F9C"/>
    <w:rsid w:val="00644F95"/>
    <w:rsid w:val="00645DBE"/>
    <w:rsid w:val="006466F8"/>
    <w:rsid w:val="00652CC9"/>
    <w:rsid w:val="006538AB"/>
    <w:rsid w:val="0065628C"/>
    <w:rsid w:val="0066147A"/>
    <w:rsid w:val="006639AA"/>
    <w:rsid w:val="006716B6"/>
    <w:rsid w:val="006739AE"/>
    <w:rsid w:val="006747AF"/>
    <w:rsid w:val="006804CC"/>
    <w:rsid w:val="006811E9"/>
    <w:rsid w:val="00682807"/>
    <w:rsid w:val="006852D0"/>
    <w:rsid w:val="00694528"/>
    <w:rsid w:val="00694E1B"/>
    <w:rsid w:val="00695AB1"/>
    <w:rsid w:val="006A22EA"/>
    <w:rsid w:val="006A444D"/>
    <w:rsid w:val="006A4EAC"/>
    <w:rsid w:val="006A5CB1"/>
    <w:rsid w:val="006A6493"/>
    <w:rsid w:val="006A769B"/>
    <w:rsid w:val="006B1CAD"/>
    <w:rsid w:val="006B3930"/>
    <w:rsid w:val="006B4C82"/>
    <w:rsid w:val="006B5B3A"/>
    <w:rsid w:val="006B651D"/>
    <w:rsid w:val="006B7318"/>
    <w:rsid w:val="006B7C98"/>
    <w:rsid w:val="006C0E75"/>
    <w:rsid w:val="006C3941"/>
    <w:rsid w:val="006C490B"/>
    <w:rsid w:val="006C4B50"/>
    <w:rsid w:val="006C5711"/>
    <w:rsid w:val="006C71DC"/>
    <w:rsid w:val="006C72C0"/>
    <w:rsid w:val="006C76D7"/>
    <w:rsid w:val="006C7759"/>
    <w:rsid w:val="006D0E79"/>
    <w:rsid w:val="006D26B0"/>
    <w:rsid w:val="006D3E50"/>
    <w:rsid w:val="006D4A32"/>
    <w:rsid w:val="006E11BB"/>
    <w:rsid w:val="006E252B"/>
    <w:rsid w:val="006E2901"/>
    <w:rsid w:val="006F0590"/>
    <w:rsid w:val="006F0DC2"/>
    <w:rsid w:val="006F1B99"/>
    <w:rsid w:val="006F41DB"/>
    <w:rsid w:val="006F46D0"/>
    <w:rsid w:val="006F53F2"/>
    <w:rsid w:val="006F6BA6"/>
    <w:rsid w:val="006F6E4C"/>
    <w:rsid w:val="006F6FB1"/>
    <w:rsid w:val="006F7254"/>
    <w:rsid w:val="007009B6"/>
    <w:rsid w:val="007039C8"/>
    <w:rsid w:val="00704929"/>
    <w:rsid w:val="00704D19"/>
    <w:rsid w:val="00706785"/>
    <w:rsid w:val="00711BCD"/>
    <w:rsid w:val="007169A3"/>
    <w:rsid w:val="00720C23"/>
    <w:rsid w:val="00723EFE"/>
    <w:rsid w:val="00727CA3"/>
    <w:rsid w:val="00731288"/>
    <w:rsid w:val="00731557"/>
    <w:rsid w:val="00733925"/>
    <w:rsid w:val="0073402E"/>
    <w:rsid w:val="00734168"/>
    <w:rsid w:val="00735B1B"/>
    <w:rsid w:val="00736527"/>
    <w:rsid w:val="007373DB"/>
    <w:rsid w:val="007404C6"/>
    <w:rsid w:val="007406D0"/>
    <w:rsid w:val="00742779"/>
    <w:rsid w:val="00742D7C"/>
    <w:rsid w:val="00744A1F"/>
    <w:rsid w:val="007465D8"/>
    <w:rsid w:val="00746A81"/>
    <w:rsid w:val="007477DF"/>
    <w:rsid w:val="00747ED0"/>
    <w:rsid w:val="007519FF"/>
    <w:rsid w:val="00753309"/>
    <w:rsid w:val="00756C5D"/>
    <w:rsid w:val="00757751"/>
    <w:rsid w:val="007579B6"/>
    <w:rsid w:val="00761FBD"/>
    <w:rsid w:val="007635AB"/>
    <w:rsid w:val="00763FA3"/>
    <w:rsid w:val="007651DC"/>
    <w:rsid w:val="0076620E"/>
    <w:rsid w:val="007662DD"/>
    <w:rsid w:val="00770DD1"/>
    <w:rsid w:val="007711E8"/>
    <w:rsid w:val="007727FA"/>
    <w:rsid w:val="00775DCF"/>
    <w:rsid w:val="0077754E"/>
    <w:rsid w:val="0078227A"/>
    <w:rsid w:val="007832E0"/>
    <w:rsid w:val="00785B65"/>
    <w:rsid w:val="00793218"/>
    <w:rsid w:val="00793855"/>
    <w:rsid w:val="00797BD9"/>
    <w:rsid w:val="007A258F"/>
    <w:rsid w:val="007A2BD8"/>
    <w:rsid w:val="007A3D0C"/>
    <w:rsid w:val="007A504D"/>
    <w:rsid w:val="007A579C"/>
    <w:rsid w:val="007B18F9"/>
    <w:rsid w:val="007B2BC0"/>
    <w:rsid w:val="007B3448"/>
    <w:rsid w:val="007B3DBA"/>
    <w:rsid w:val="007B3E6B"/>
    <w:rsid w:val="007B43F0"/>
    <w:rsid w:val="007C07A3"/>
    <w:rsid w:val="007C1E88"/>
    <w:rsid w:val="007C49AE"/>
    <w:rsid w:val="007C49CD"/>
    <w:rsid w:val="007C5700"/>
    <w:rsid w:val="007C7EBD"/>
    <w:rsid w:val="007D2720"/>
    <w:rsid w:val="007D2B59"/>
    <w:rsid w:val="007D6E65"/>
    <w:rsid w:val="007D7BA3"/>
    <w:rsid w:val="007E07C8"/>
    <w:rsid w:val="007E19FB"/>
    <w:rsid w:val="007E1B9C"/>
    <w:rsid w:val="007E50F4"/>
    <w:rsid w:val="007E59AD"/>
    <w:rsid w:val="007F256B"/>
    <w:rsid w:val="007F4CF6"/>
    <w:rsid w:val="007F4FE8"/>
    <w:rsid w:val="007F58EE"/>
    <w:rsid w:val="007F5C2D"/>
    <w:rsid w:val="007F64C4"/>
    <w:rsid w:val="007F66BE"/>
    <w:rsid w:val="00801F19"/>
    <w:rsid w:val="00803595"/>
    <w:rsid w:val="0080407F"/>
    <w:rsid w:val="0080499E"/>
    <w:rsid w:val="00804DDD"/>
    <w:rsid w:val="00804E40"/>
    <w:rsid w:val="00804E60"/>
    <w:rsid w:val="008055D9"/>
    <w:rsid w:val="00810038"/>
    <w:rsid w:val="008130A1"/>
    <w:rsid w:val="00813CB0"/>
    <w:rsid w:val="00813F19"/>
    <w:rsid w:val="00814B47"/>
    <w:rsid w:val="00814E91"/>
    <w:rsid w:val="00815369"/>
    <w:rsid w:val="00816199"/>
    <w:rsid w:val="00816AAA"/>
    <w:rsid w:val="00820E85"/>
    <w:rsid w:val="008211FE"/>
    <w:rsid w:val="00824A77"/>
    <w:rsid w:val="0083003B"/>
    <w:rsid w:val="0083210D"/>
    <w:rsid w:val="008327F0"/>
    <w:rsid w:val="00833491"/>
    <w:rsid w:val="00833579"/>
    <w:rsid w:val="00834FBE"/>
    <w:rsid w:val="008354A2"/>
    <w:rsid w:val="00835883"/>
    <w:rsid w:val="00836F91"/>
    <w:rsid w:val="008370B1"/>
    <w:rsid w:val="0083712E"/>
    <w:rsid w:val="0083778A"/>
    <w:rsid w:val="00837906"/>
    <w:rsid w:val="008402CD"/>
    <w:rsid w:val="00842968"/>
    <w:rsid w:val="00842F76"/>
    <w:rsid w:val="00842FE5"/>
    <w:rsid w:val="00844797"/>
    <w:rsid w:val="008457BF"/>
    <w:rsid w:val="00846455"/>
    <w:rsid w:val="00850B21"/>
    <w:rsid w:val="00850CCA"/>
    <w:rsid w:val="00851C8B"/>
    <w:rsid w:val="00851E8C"/>
    <w:rsid w:val="0085483C"/>
    <w:rsid w:val="00861614"/>
    <w:rsid w:val="00861BDF"/>
    <w:rsid w:val="00864242"/>
    <w:rsid w:val="00864381"/>
    <w:rsid w:val="0086786B"/>
    <w:rsid w:val="00870778"/>
    <w:rsid w:val="00873B7F"/>
    <w:rsid w:val="00875E06"/>
    <w:rsid w:val="00876230"/>
    <w:rsid w:val="00880CE3"/>
    <w:rsid w:val="00881A0C"/>
    <w:rsid w:val="008824EB"/>
    <w:rsid w:val="00883254"/>
    <w:rsid w:val="008838DE"/>
    <w:rsid w:val="00883CD7"/>
    <w:rsid w:val="008844FB"/>
    <w:rsid w:val="00884CD3"/>
    <w:rsid w:val="00885312"/>
    <w:rsid w:val="00890797"/>
    <w:rsid w:val="00890AC4"/>
    <w:rsid w:val="00891082"/>
    <w:rsid w:val="0089161A"/>
    <w:rsid w:val="00891AD1"/>
    <w:rsid w:val="00892E77"/>
    <w:rsid w:val="00894CB0"/>
    <w:rsid w:val="008A076B"/>
    <w:rsid w:val="008A3F81"/>
    <w:rsid w:val="008A64A3"/>
    <w:rsid w:val="008A6CF7"/>
    <w:rsid w:val="008A6DB2"/>
    <w:rsid w:val="008B0DEF"/>
    <w:rsid w:val="008B0F15"/>
    <w:rsid w:val="008B1792"/>
    <w:rsid w:val="008B180B"/>
    <w:rsid w:val="008B31FC"/>
    <w:rsid w:val="008B350C"/>
    <w:rsid w:val="008B3993"/>
    <w:rsid w:val="008C34A8"/>
    <w:rsid w:val="008C36A5"/>
    <w:rsid w:val="008C36A7"/>
    <w:rsid w:val="008C3801"/>
    <w:rsid w:val="008C3CE1"/>
    <w:rsid w:val="008C491E"/>
    <w:rsid w:val="008C555B"/>
    <w:rsid w:val="008C7A99"/>
    <w:rsid w:val="008D22B0"/>
    <w:rsid w:val="008D28EE"/>
    <w:rsid w:val="008D2AAE"/>
    <w:rsid w:val="008D3928"/>
    <w:rsid w:val="008D3D35"/>
    <w:rsid w:val="008D3E49"/>
    <w:rsid w:val="008D422D"/>
    <w:rsid w:val="008E0A34"/>
    <w:rsid w:val="008E276A"/>
    <w:rsid w:val="008E2861"/>
    <w:rsid w:val="008E60FE"/>
    <w:rsid w:val="008E67F0"/>
    <w:rsid w:val="008F2C35"/>
    <w:rsid w:val="008F2DF3"/>
    <w:rsid w:val="008F2FA4"/>
    <w:rsid w:val="008F2FCF"/>
    <w:rsid w:val="008F3708"/>
    <w:rsid w:val="008F39A6"/>
    <w:rsid w:val="008F4592"/>
    <w:rsid w:val="008F693D"/>
    <w:rsid w:val="00901622"/>
    <w:rsid w:val="00901665"/>
    <w:rsid w:val="009020E7"/>
    <w:rsid w:val="009055B8"/>
    <w:rsid w:val="009069F3"/>
    <w:rsid w:val="009111E5"/>
    <w:rsid w:val="00912A21"/>
    <w:rsid w:val="00913148"/>
    <w:rsid w:val="00913CEC"/>
    <w:rsid w:val="00914690"/>
    <w:rsid w:val="00914BD7"/>
    <w:rsid w:val="00914DF6"/>
    <w:rsid w:val="00916353"/>
    <w:rsid w:val="0092002C"/>
    <w:rsid w:val="009201C7"/>
    <w:rsid w:val="00921133"/>
    <w:rsid w:val="00923FDF"/>
    <w:rsid w:val="009247CF"/>
    <w:rsid w:val="009253B9"/>
    <w:rsid w:val="00925796"/>
    <w:rsid w:val="009265D5"/>
    <w:rsid w:val="00926F05"/>
    <w:rsid w:val="00927226"/>
    <w:rsid w:val="00927A49"/>
    <w:rsid w:val="0093108F"/>
    <w:rsid w:val="00931217"/>
    <w:rsid w:val="0093178B"/>
    <w:rsid w:val="0093276A"/>
    <w:rsid w:val="00933629"/>
    <w:rsid w:val="00933C10"/>
    <w:rsid w:val="00933DB7"/>
    <w:rsid w:val="00934134"/>
    <w:rsid w:val="00934432"/>
    <w:rsid w:val="00934527"/>
    <w:rsid w:val="00934939"/>
    <w:rsid w:val="009367BD"/>
    <w:rsid w:val="00940FC7"/>
    <w:rsid w:val="00944A52"/>
    <w:rsid w:val="00946648"/>
    <w:rsid w:val="0095219F"/>
    <w:rsid w:val="00954044"/>
    <w:rsid w:val="00954053"/>
    <w:rsid w:val="009546AD"/>
    <w:rsid w:val="009616EC"/>
    <w:rsid w:val="00961A75"/>
    <w:rsid w:val="0096249F"/>
    <w:rsid w:val="009634A8"/>
    <w:rsid w:val="00964783"/>
    <w:rsid w:val="00964903"/>
    <w:rsid w:val="0096601F"/>
    <w:rsid w:val="00970071"/>
    <w:rsid w:val="00971261"/>
    <w:rsid w:val="00973264"/>
    <w:rsid w:val="009732D4"/>
    <w:rsid w:val="00974CF4"/>
    <w:rsid w:val="00974E23"/>
    <w:rsid w:val="00974FB7"/>
    <w:rsid w:val="00981697"/>
    <w:rsid w:val="0098323D"/>
    <w:rsid w:val="00983362"/>
    <w:rsid w:val="00984185"/>
    <w:rsid w:val="009858F5"/>
    <w:rsid w:val="009864E3"/>
    <w:rsid w:val="009872A8"/>
    <w:rsid w:val="00987B80"/>
    <w:rsid w:val="009926A8"/>
    <w:rsid w:val="00992B5F"/>
    <w:rsid w:val="009951BE"/>
    <w:rsid w:val="00995D7D"/>
    <w:rsid w:val="009962BE"/>
    <w:rsid w:val="009974C9"/>
    <w:rsid w:val="00997B90"/>
    <w:rsid w:val="00997D29"/>
    <w:rsid w:val="00997F63"/>
    <w:rsid w:val="009A256E"/>
    <w:rsid w:val="009A4664"/>
    <w:rsid w:val="009A4723"/>
    <w:rsid w:val="009A52AD"/>
    <w:rsid w:val="009A538F"/>
    <w:rsid w:val="009A5D12"/>
    <w:rsid w:val="009A6BF7"/>
    <w:rsid w:val="009A71CA"/>
    <w:rsid w:val="009A7986"/>
    <w:rsid w:val="009B02CD"/>
    <w:rsid w:val="009B0BB8"/>
    <w:rsid w:val="009B3C2F"/>
    <w:rsid w:val="009B4218"/>
    <w:rsid w:val="009B69B4"/>
    <w:rsid w:val="009C033E"/>
    <w:rsid w:val="009C168A"/>
    <w:rsid w:val="009C1B7E"/>
    <w:rsid w:val="009C3557"/>
    <w:rsid w:val="009C417C"/>
    <w:rsid w:val="009C5318"/>
    <w:rsid w:val="009C5E84"/>
    <w:rsid w:val="009C7DBA"/>
    <w:rsid w:val="009D0870"/>
    <w:rsid w:val="009D0970"/>
    <w:rsid w:val="009D12B6"/>
    <w:rsid w:val="009D1962"/>
    <w:rsid w:val="009D3124"/>
    <w:rsid w:val="009D3C0B"/>
    <w:rsid w:val="009D45A8"/>
    <w:rsid w:val="009D5A6D"/>
    <w:rsid w:val="009D62FB"/>
    <w:rsid w:val="009D69B4"/>
    <w:rsid w:val="009D6D8F"/>
    <w:rsid w:val="009E0422"/>
    <w:rsid w:val="009E058B"/>
    <w:rsid w:val="009E0AF2"/>
    <w:rsid w:val="009E1D79"/>
    <w:rsid w:val="009E2B18"/>
    <w:rsid w:val="009E5387"/>
    <w:rsid w:val="009E60AC"/>
    <w:rsid w:val="009F0D89"/>
    <w:rsid w:val="009F104E"/>
    <w:rsid w:val="009F2238"/>
    <w:rsid w:val="009F3B20"/>
    <w:rsid w:val="009F4BA9"/>
    <w:rsid w:val="009F60A1"/>
    <w:rsid w:val="009F7A68"/>
    <w:rsid w:val="009F7C49"/>
    <w:rsid w:val="00A02686"/>
    <w:rsid w:val="00A02B9C"/>
    <w:rsid w:val="00A02E6B"/>
    <w:rsid w:val="00A030B9"/>
    <w:rsid w:val="00A03D67"/>
    <w:rsid w:val="00A0636A"/>
    <w:rsid w:val="00A10034"/>
    <w:rsid w:val="00A10475"/>
    <w:rsid w:val="00A11BEE"/>
    <w:rsid w:val="00A12883"/>
    <w:rsid w:val="00A1357C"/>
    <w:rsid w:val="00A141BC"/>
    <w:rsid w:val="00A14538"/>
    <w:rsid w:val="00A150FB"/>
    <w:rsid w:val="00A15112"/>
    <w:rsid w:val="00A16697"/>
    <w:rsid w:val="00A17D41"/>
    <w:rsid w:val="00A20C30"/>
    <w:rsid w:val="00A20E80"/>
    <w:rsid w:val="00A22DD9"/>
    <w:rsid w:val="00A2390F"/>
    <w:rsid w:val="00A25C18"/>
    <w:rsid w:val="00A26D80"/>
    <w:rsid w:val="00A304CA"/>
    <w:rsid w:val="00A317ED"/>
    <w:rsid w:val="00A35122"/>
    <w:rsid w:val="00A363FC"/>
    <w:rsid w:val="00A36898"/>
    <w:rsid w:val="00A368D9"/>
    <w:rsid w:val="00A36E3A"/>
    <w:rsid w:val="00A4166E"/>
    <w:rsid w:val="00A42AE4"/>
    <w:rsid w:val="00A42FAA"/>
    <w:rsid w:val="00A4318F"/>
    <w:rsid w:val="00A43636"/>
    <w:rsid w:val="00A448F0"/>
    <w:rsid w:val="00A45B15"/>
    <w:rsid w:val="00A476D0"/>
    <w:rsid w:val="00A50B6A"/>
    <w:rsid w:val="00A51104"/>
    <w:rsid w:val="00A515A0"/>
    <w:rsid w:val="00A519AF"/>
    <w:rsid w:val="00A51CA5"/>
    <w:rsid w:val="00A540D8"/>
    <w:rsid w:val="00A547B9"/>
    <w:rsid w:val="00A548E6"/>
    <w:rsid w:val="00A55AD5"/>
    <w:rsid w:val="00A57563"/>
    <w:rsid w:val="00A57854"/>
    <w:rsid w:val="00A607AF"/>
    <w:rsid w:val="00A60EA2"/>
    <w:rsid w:val="00A61B82"/>
    <w:rsid w:val="00A63662"/>
    <w:rsid w:val="00A64A4C"/>
    <w:rsid w:val="00A656CE"/>
    <w:rsid w:val="00A65CDC"/>
    <w:rsid w:val="00A67CD1"/>
    <w:rsid w:val="00A7091A"/>
    <w:rsid w:val="00A71698"/>
    <w:rsid w:val="00A74E87"/>
    <w:rsid w:val="00A75522"/>
    <w:rsid w:val="00A76823"/>
    <w:rsid w:val="00A774FF"/>
    <w:rsid w:val="00A77F54"/>
    <w:rsid w:val="00A80A61"/>
    <w:rsid w:val="00A81B11"/>
    <w:rsid w:val="00A8323F"/>
    <w:rsid w:val="00A85804"/>
    <w:rsid w:val="00A85C48"/>
    <w:rsid w:val="00A87BE2"/>
    <w:rsid w:val="00A87F3C"/>
    <w:rsid w:val="00A90337"/>
    <w:rsid w:val="00A9250A"/>
    <w:rsid w:val="00A93C81"/>
    <w:rsid w:val="00A95805"/>
    <w:rsid w:val="00AA0CD9"/>
    <w:rsid w:val="00AA1398"/>
    <w:rsid w:val="00AA181F"/>
    <w:rsid w:val="00AA18C5"/>
    <w:rsid w:val="00AA3A2D"/>
    <w:rsid w:val="00AA3F1C"/>
    <w:rsid w:val="00AA449A"/>
    <w:rsid w:val="00AA4848"/>
    <w:rsid w:val="00AA4F25"/>
    <w:rsid w:val="00AA6B83"/>
    <w:rsid w:val="00AA6D6E"/>
    <w:rsid w:val="00AB60D5"/>
    <w:rsid w:val="00AB61DA"/>
    <w:rsid w:val="00AB6988"/>
    <w:rsid w:val="00AB6DAD"/>
    <w:rsid w:val="00AC1F5F"/>
    <w:rsid w:val="00AC2597"/>
    <w:rsid w:val="00AC2E81"/>
    <w:rsid w:val="00AC3A82"/>
    <w:rsid w:val="00AC63DF"/>
    <w:rsid w:val="00AC764B"/>
    <w:rsid w:val="00AD0AFB"/>
    <w:rsid w:val="00AD2BE1"/>
    <w:rsid w:val="00AD4E7D"/>
    <w:rsid w:val="00AD569C"/>
    <w:rsid w:val="00AE0250"/>
    <w:rsid w:val="00AE0939"/>
    <w:rsid w:val="00AE1157"/>
    <w:rsid w:val="00AE2FC5"/>
    <w:rsid w:val="00AE34CA"/>
    <w:rsid w:val="00AE7281"/>
    <w:rsid w:val="00AE7710"/>
    <w:rsid w:val="00AF12DA"/>
    <w:rsid w:val="00AF2CAC"/>
    <w:rsid w:val="00AF3C5C"/>
    <w:rsid w:val="00AF4A38"/>
    <w:rsid w:val="00AF4A95"/>
    <w:rsid w:val="00AF6F52"/>
    <w:rsid w:val="00AF7116"/>
    <w:rsid w:val="00B015B9"/>
    <w:rsid w:val="00B01CAF"/>
    <w:rsid w:val="00B032EC"/>
    <w:rsid w:val="00B075D0"/>
    <w:rsid w:val="00B10E4A"/>
    <w:rsid w:val="00B13A93"/>
    <w:rsid w:val="00B1448A"/>
    <w:rsid w:val="00B15DD9"/>
    <w:rsid w:val="00B178A5"/>
    <w:rsid w:val="00B201AE"/>
    <w:rsid w:val="00B21CD4"/>
    <w:rsid w:val="00B223D6"/>
    <w:rsid w:val="00B2519E"/>
    <w:rsid w:val="00B26498"/>
    <w:rsid w:val="00B2718F"/>
    <w:rsid w:val="00B27C20"/>
    <w:rsid w:val="00B30507"/>
    <w:rsid w:val="00B31185"/>
    <w:rsid w:val="00B3162D"/>
    <w:rsid w:val="00B32E3F"/>
    <w:rsid w:val="00B337D3"/>
    <w:rsid w:val="00B34423"/>
    <w:rsid w:val="00B3782B"/>
    <w:rsid w:val="00B378EB"/>
    <w:rsid w:val="00B41F73"/>
    <w:rsid w:val="00B43A87"/>
    <w:rsid w:val="00B44C18"/>
    <w:rsid w:val="00B50598"/>
    <w:rsid w:val="00B50823"/>
    <w:rsid w:val="00B50F25"/>
    <w:rsid w:val="00B51E4F"/>
    <w:rsid w:val="00B51E8C"/>
    <w:rsid w:val="00B52032"/>
    <w:rsid w:val="00B52B76"/>
    <w:rsid w:val="00B538A1"/>
    <w:rsid w:val="00B53EB1"/>
    <w:rsid w:val="00B56C49"/>
    <w:rsid w:val="00B6110C"/>
    <w:rsid w:val="00B61784"/>
    <w:rsid w:val="00B63CA9"/>
    <w:rsid w:val="00B63CD1"/>
    <w:rsid w:val="00B66726"/>
    <w:rsid w:val="00B71EED"/>
    <w:rsid w:val="00B725A5"/>
    <w:rsid w:val="00B73ECC"/>
    <w:rsid w:val="00B742F4"/>
    <w:rsid w:val="00B74D31"/>
    <w:rsid w:val="00B75A75"/>
    <w:rsid w:val="00B75B35"/>
    <w:rsid w:val="00B76C7B"/>
    <w:rsid w:val="00B811B2"/>
    <w:rsid w:val="00B817BF"/>
    <w:rsid w:val="00B828C3"/>
    <w:rsid w:val="00B8393F"/>
    <w:rsid w:val="00B83AED"/>
    <w:rsid w:val="00B84DC2"/>
    <w:rsid w:val="00B90008"/>
    <w:rsid w:val="00B90FA0"/>
    <w:rsid w:val="00B92408"/>
    <w:rsid w:val="00B92ED3"/>
    <w:rsid w:val="00B94A0A"/>
    <w:rsid w:val="00B96455"/>
    <w:rsid w:val="00B972E0"/>
    <w:rsid w:val="00B97D9E"/>
    <w:rsid w:val="00BA0B57"/>
    <w:rsid w:val="00BA11FE"/>
    <w:rsid w:val="00BA1A88"/>
    <w:rsid w:val="00BA289E"/>
    <w:rsid w:val="00BA33CF"/>
    <w:rsid w:val="00BA3480"/>
    <w:rsid w:val="00BA3B53"/>
    <w:rsid w:val="00BA3C98"/>
    <w:rsid w:val="00BA49C9"/>
    <w:rsid w:val="00BA54A8"/>
    <w:rsid w:val="00BB1C84"/>
    <w:rsid w:val="00BB2904"/>
    <w:rsid w:val="00BB4DBD"/>
    <w:rsid w:val="00BB7C1E"/>
    <w:rsid w:val="00BB7C8F"/>
    <w:rsid w:val="00BC03D0"/>
    <w:rsid w:val="00BC0C7E"/>
    <w:rsid w:val="00BC1324"/>
    <w:rsid w:val="00BC1F8F"/>
    <w:rsid w:val="00BC4D7B"/>
    <w:rsid w:val="00BD0056"/>
    <w:rsid w:val="00BD2DAC"/>
    <w:rsid w:val="00BD50DB"/>
    <w:rsid w:val="00BD5615"/>
    <w:rsid w:val="00BD7A09"/>
    <w:rsid w:val="00BE049B"/>
    <w:rsid w:val="00BE3182"/>
    <w:rsid w:val="00BE4867"/>
    <w:rsid w:val="00BE52F7"/>
    <w:rsid w:val="00BE6180"/>
    <w:rsid w:val="00BE637A"/>
    <w:rsid w:val="00BE6C72"/>
    <w:rsid w:val="00BE7465"/>
    <w:rsid w:val="00BE7E0A"/>
    <w:rsid w:val="00BF09E9"/>
    <w:rsid w:val="00BF2161"/>
    <w:rsid w:val="00BF6EB7"/>
    <w:rsid w:val="00BF7A6B"/>
    <w:rsid w:val="00C011AB"/>
    <w:rsid w:val="00C01509"/>
    <w:rsid w:val="00C01A53"/>
    <w:rsid w:val="00C02735"/>
    <w:rsid w:val="00C032F6"/>
    <w:rsid w:val="00C03A1C"/>
    <w:rsid w:val="00C0623B"/>
    <w:rsid w:val="00C06B87"/>
    <w:rsid w:val="00C07631"/>
    <w:rsid w:val="00C1144A"/>
    <w:rsid w:val="00C11776"/>
    <w:rsid w:val="00C13163"/>
    <w:rsid w:val="00C139EC"/>
    <w:rsid w:val="00C13CAF"/>
    <w:rsid w:val="00C15282"/>
    <w:rsid w:val="00C162B1"/>
    <w:rsid w:val="00C20C69"/>
    <w:rsid w:val="00C20C95"/>
    <w:rsid w:val="00C20D6A"/>
    <w:rsid w:val="00C21C2B"/>
    <w:rsid w:val="00C2294D"/>
    <w:rsid w:val="00C22DD0"/>
    <w:rsid w:val="00C23751"/>
    <w:rsid w:val="00C246D6"/>
    <w:rsid w:val="00C26BD8"/>
    <w:rsid w:val="00C27054"/>
    <w:rsid w:val="00C27686"/>
    <w:rsid w:val="00C27A31"/>
    <w:rsid w:val="00C27BBF"/>
    <w:rsid w:val="00C301D1"/>
    <w:rsid w:val="00C31A3A"/>
    <w:rsid w:val="00C35F79"/>
    <w:rsid w:val="00C35FD6"/>
    <w:rsid w:val="00C408CC"/>
    <w:rsid w:val="00C419DE"/>
    <w:rsid w:val="00C422CB"/>
    <w:rsid w:val="00C4606D"/>
    <w:rsid w:val="00C4628D"/>
    <w:rsid w:val="00C46D72"/>
    <w:rsid w:val="00C514EC"/>
    <w:rsid w:val="00C54186"/>
    <w:rsid w:val="00C54CE3"/>
    <w:rsid w:val="00C55096"/>
    <w:rsid w:val="00C55E2C"/>
    <w:rsid w:val="00C56008"/>
    <w:rsid w:val="00C5730B"/>
    <w:rsid w:val="00C65B86"/>
    <w:rsid w:val="00C660A0"/>
    <w:rsid w:val="00C70020"/>
    <w:rsid w:val="00C70F12"/>
    <w:rsid w:val="00C71242"/>
    <w:rsid w:val="00C72200"/>
    <w:rsid w:val="00C73784"/>
    <w:rsid w:val="00C7433C"/>
    <w:rsid w:val="00C759AD"/>
    <w:rsid w:val="00C75F26"/>
    <w:rsid w:val="00C80E32"/>
    <w:rsid w:val="00C819EC"/>
    <w:rsid w:val="00C81AEA"/>
    <w:rsid w:val="00C824B8"/>
    <w:rsid w:val="00C824E3"/>
    <w:rsid w:val="00C82B58"/>
    <w:rsid w:val="00C83704"/>
    <w:rsid w:val="00C8403C"/>
    <w:rsid w:val="00C843F8"/>
    <w:rsid w:val="00C859BC"/>
    <w:rsid w:val="00C85D74"/>
    <w:rsid w:val="00C85FD6"/>
    <w:rsid w:val="00C86FF4"/>
    <w:rsid w:val="00C871B5"/>
    <w:rsid w:val="00C87D52"/>
    <w:rsid w:val="00C902F0"/>
    <w:rsid w:val="00C90A57"/>
    <w:rsid w:val="00C91F4C"/>
    <w:rsid w:val="00C92AB9"/>
    <w:rsid w:val="00C93383"/>
    <w:rsid w:val="00C9681B"/>
    <w:rsid w:val="00CA23A7"/>
    <w:rsid w:val="00CA3084"/>
    <w:rsid w:val="00CA35A9"/>
    <w:rsid w:val="00CA37B2"/>
    <w:rsid w:val="00CA3B33"/>
    <w:rsid w:val="00CA4C67"/>
    <w:rsid w:val="00CA519F"/>
    <w:rsid w:val="00CB1284"/>
    <w:rsid w:val="00CB39AF"/>
    <w:rsid w:val="00CB52A7"/>
    <w:rsid w:val="00CC2623"/>
    <w:rsid w:val="00CC26C0"/>
    <w:rsid w:val="00CC40D9"/>
    <w:rsid w:val="00CC5705"/>
    <w:rsid w:val="00CC5AFE"/>
    <w:rsid w:val="00CC68FB"/>
    <w:rsid w:val="00CD04AA"/>
    <w:rsid w:val="00CD1EE8"/>
    <w:rsid w:val="00CD2F64"/>
    <w:rsid w:val="00CD3471"/>
    <w:rsid w:val="00CD5235"/>
    <w:rsid w:val="00CE1244"/>
    <w:rsid w:val="00CE13B0"/>
    <w:rsid w:val="00CE688E"/>
    <w:rsid w:val="00CE7622"/>
    <w:rsid w:val="00CE7D98"/>
    <w:rsid w:val="00CF0009"/>
    <w:rsid w:val="00CF069D"/>
    <w:rsid w:val="00CF0A53"/>
    <w:rsid w:val="00CF6613"/>
    <w:rsid w:val="00CF7F11"/>
    <w:rsid w:val="00D01C79"/>
    <w:rsid w:val="00D0392F"/>
    <w:rsid w:val="00D05257"/>
    <w:rsid w:val="00D07A9E"/>
    <w:rsid w:val="00D07E6D"/>
    <w:rsid w:val="00D11284"/>
    <w:rsid w:val="00D12B45"/>
    <w:rsid w:val="00D12B7C"/>
    <w:rsid w:val="00D13E18"/>
    <w:rsid w:val="00D15D82"/>
    <w:rsid w:val="00D16758"/>
    <w:rsid w:val="00D168EC"/>
    <w:rsid w:val="00D17E9E"/>
    <w:rsid w:val="00D20663"/>
    <w:rsid w:val="00D22BE9"/>
    <w:rsid w:val="00D22BEC"/>
    <w:rsid w:val="00D238BD"/>
    <w:rsid w:val="00D26B78"/>
    <w:rsid w:val="00D3051E"/>
    <w:rsid w:val="00D310DC"/>
    <w:rsid w:val="00D3496D"/>
    <w:rsid w:val="00D34D02"/>
    <w:rsid w:val="00D3722E"/>
    <w:rsid w:val="00D4050A"/>
    <w:rsid w:val="00D409C1"/>
    <w:rsid w:val="00D41D37"/>
    <w:rsid w:val="00D4406F"/>
    <w:rsid w:val="00D45F07"/>
    <w:rsid w:val="00D45F1C"/>
    <w:rsid w:val="00D45F2E"/>
    <w:rsid w:val="00D51538"/>
    <w:rsid w:val="00D55408"/>
    <w:rsid w:val="00D5593F"/>
    <w:rsid w:val="00D55EED"/>
    <w:rsid w:val="00D55FA0"/>
    <w:rsid w:val="00D566DE"/>
    <w:rsid w:val="00D5752D"/>
    <w:rsid w:val="00D600A4"/>
    <w:rsid w:val="00D618BA"/>
    <w:rsid w:val="00D6426C"/>
    <w:rsid w:val="00D64344"/>
    <w:rsid w:val="00D6438A"/>
    <w:rsid w:val="00D64C7B"/>
    <w:rsid w:val="00D6564A"/>
    <w:rsid w:val="00D65C40"/>
    <w:rsid w:val="00D65E9C"/>
    <w:rsid w:val="00D70475"/>
    <w:rsid w:val="00D70FA8"/>
    <w:rsid w:val="00D73100"/>
    <w:rsid w:val="00D73296"/>
    <w:rsid w:val="00D74DE8"/>
    <w:rsid w:val="00D775EF"/>
    <w:rsid w:val="00D77AD2"/>
    <w:rsid w:val="00D8089D"/>
    <w:rsid w:val="00D80D77"/>
    <w:rsid w:val="00D82930"/>
    <w:rsid w:val="00D84E13"/>
    <w:rsid w:val="00D8642D"/>
    <w:rsid w:val="00D86B70"/>
    <w:rsid w:val="00D874FD"/>
    <w:rsid w:val="00D9121C"/>
    <w:rsid w:val="00D91439"/>
    <w:rsid w:val="00D92266"/>
    <w:rsid w:val="00D9228A"/>
    <w:rsid w:val="00D92609"/>
    <w:rsid w:val="00D9306D"/>
    <w:rsid w:val="00D938D7"/>
    <w:rsid w:val="00D95431"/>
    <w:rsid w:val="00D95D86"/>
    <w:rsid w:val="00D96F64"/>
    <w:rsid w:val="00D975CB"/>
    <w:rsid w:val="00DA0D34"/>
    <w:rsid w:val="00DA23A5"/>
    <w:rsid w:val="00DA320D"/>
    <w:rsid w:val="00DA36D5"/>
    <w:rsid w:val="00DA3DE6"/>
    <w:rsid w:val="00DA53D4"/>
    <w:rsid w:val="00DA6C4D"/>
    <w:rsid w:val="00DA7158"/>
    <w:rsid w:val="00DB0038"/>
    <w:rsid w:val="00DB1092"/>
    <w:rsid w:val="00DB16AB"/>
    <w:rsid w:val="00DB1E93"/>
    <w:rsid w:val="00DB3369"/>
    <w:rsid w:val="00DB33F5"/>
    <w:rsid w:val="00DB35E5"/>
    <w:rsid w:val="00DB4849"/>
    <w:rsid w:val="00DB507D"/>
    <w:rsid w:val="00DB6849"/>
    <w:rsid w:val="00DC05F2"/>
    <w:rsid w:val="00DC0A87"/>
    <w:rsid w:val="00DC0C93"/>
    <w:rsid w:val="00DC539B"/>
    <w:rsid w:val="00DC7356"/>
    <w:rsid w:val="00DC749C"/>
    <w:rsid w:val="00DD0ECA"/>
    <w:rsid w:val="00DD12AA"/>
    <w:rsid w:val="00DD1D74"/>
    <w:rsid w:val="00DD30F6"/>
    <w:rsid w:val="00DD68FE"/>
    <w:rsid w:val="00DD7DBF"/>
    <w:rsid w:val="00DE13DE"/>
    <w:rsid w:val="00DE22A8"/>
    <w:rsid w:val="00DE3EB6"/>
    <w:rsid w:val="00DE6F9E"/>
    <w:rsid w:val="00DE7E9E"/>
    <w:rsid w:val="00DF3AB6"/>
    <w:rsid w:val="00DF4C68"/>
    <w:rsid w:val="00E005E5"/>
    <w:rsid w:val="00E05173"/>
    <w:rsid w:val="00E070F5"/>
    <w:rsid w:val="00E07B19"/>
    <w:rsid w:val="00E11AA6"/>
    <w:rsid w:val="00E11B9F"/>
    <w:rsid w:val="00E13925"/>
    <w:rsid w:val="00E14BD8"/>
    <w:rsid w:val="00E15E52"/>
    <w:rsid w:val="00E2011B"/>
    <w:rsid w:val="00E208D3"/>
    <w:rsid w:val="00E230D6"/>
    <w:rsid w:val="00E23934"/>
    <w:rsid w:val="00E2537A"/>
    <w:rsid w:val="00E25990"/>
    <w:rsid w:val="00E267B7"/>
    <w:rsid w:val="00E26E5C"/>
    <w:rsid w:val="00E27B63"/>
    <w:rsid w:val="00E30E64"/>
    <w:rsid w:val="00E30FED"/>
    <w:rsid w:val="00E31E40"/>
    <w:rsid w:val="00E34768"/>
    <w:rsid w:val="00E34AAE"/>
    <w:rsid w:val="00E36633"/>
    <w:rsid w:val="00E36A7E"/>
    <w:rsid w:val="00E377E9"/>
    <w:rsid w:val="00E37B61"/>
    <w:rsid w:val="00E41E72"/>
    <w:rsid w:val="00E425C8"/>
    <w:rsid w:val="00E43A4B"/>
    <w:rsid w:val="00E43AF7"/>
    <w:rsid w:val="00E43C5F"/>
    <w:rsid w:val="00E4410A"/>
    <w:rsid w:val="00E444AC"/>
    <w:rsid w:val="00E45535"/>
    <w:rsid w:val="00E46EAC"/>
    <w:rsid w:val="00E479CF"/>
    <w:rsid w:val="00E479F2"/>
    <w:rsid w:val="00E50835"/>
    <w:rsid w:val="00E52C76"/>
    <w:rsid w:val="00E554E4"/>
    <w:rsid w:val="00E55BC9"/>
    <w:rsid w:val="00E562C5"/>
    <w:rsid w:val="00E563D3"/>
    <w:rsid w:val="00E56CB8"/>
    <w:rsid w:val="00E6008C"/>
    <w:rsid w:val="00E60D31"/>
    <w:rsid w:val="00E61D1D"/>
    <w:rsid w:val="00E659AA"/>
    <w:rsid w:val="00E6622B"/>
    <w:rsid w:val="00E70387"/>
    <w:rsid w:val="00E70770"/>
    <w:rsid w:val="00E71FE3"/>
    <w:rsid w:val="00E72015"/>
    <w:rsid w:val="00E754DB"/>
    <w:rsid w:val="00E75CE0"/>
    <w:rsid w:val="00E75FC6"/>
    <w:rsid w:val="00E77625"/>
    <w:rsid w:val="00E80F9C"/>
    <w:rsid w:val="00E814EB"/>
    <w:rsid w:val="00E82D49"/>
    <w:rsid w:val="00E83029"/>
    <w:rsid w:val="00E843EF"/>
    <w:rsid w:val="00E84D00"/>
    <w:rsid w:val="00E84D24"/>
    <w:rsid w:val="00E8593C"/>
    <w:rsid w:val="00E8610B"/>
    <w:rsid w:val="00E8656F"/>
    <w:rsid w:val="00E8661A"/>
    <w:rsid w:val="00E86945"/>
    <w:rsid w:val="00E86DDB"/>
    <w:rsid w:val="00E92DE3"/>
    <w:rsid w:val="00E93D0C"/>
    <w:rsid w:val="00E9448B"/>
    <w:rsid w:val="00E9479B"/>
    <w:rsid w:val="00E9647D"/>
    <w:rsid w:val="00EA0764"/>
    <w:rsid w:val="00EA240D"/>
    <w:rsid w:val="00EA24DA"/>
    <w:rsid w:val="00EA2B49"/>
    <w:rsid w:val="00EA3CA6"/>
    <w:rsid w:val="00EA509C"/>
    <w:rsid w:val="00EA7728"/>
    <w:rsid w:val="00EB0448"/>
    <w:rsid w:val="00EB0D0D"/>
    <w:rsid w:val="00EB13CC"/>
    <w:rsid w:val="00EB3A70"/>
    <w:rsid w:val="00EB4A81"/>
    <w:rsid w:val="00EB5F21"/>
    <w:rsid w:val="00EB6DA7"/>
    <w:rsid w:val="00EB6E9C"/>
    <w:rsid w:val="00EB724A"/>
    <w:rsid w:val="00EB7D8B"/>
    <w:rsid w:val="00EC03A9"/>
    <w:rsid w:val="00EC0F5C"/>
    <w:rsid w:val="00EC2120"/>
    <w:rsid w:val="00EC2DE4"/>
    <w:rsid w:val="00ED00E1"/>
    <w:rsid w:val="00ED11EC"/>
    <w:rsid w:val="00ED4AD7"/>
    <w:rsid w:val="00ED4B94"/>
    <w:rsid w:val="00ED6B52"/>
    <w:rsid w:val="00ED74D1"/>
    <w:rsid w:val="00ED78FF"/>
    <w:rsid w:val="00ED796E"/>
    <w:rsid w:val="00EE038D"/>
    <w:rsid w:val="00EE2E4D"/>
    <w:rsid w:val="00EE47A8"/>
    <w:rsid w:val="00EE52DB"/>
    <w:rsid w:val="00EE5878"/>
    <w:rsid w:val="00EE7945"/>
    <w:rsid w:val="00EF02B9"/>
    <w:rsid w:val="00EF0AA5"/>
    <w:rsid w:val="00EF3782"/>
    <w:rsid w:val="00EF3B9E"/>
    <w:rsid w:val="00EF4999"/>
    <w:rsid w:val="00EF59B6"/>
    <w:rsid w:val="00EF628B"/>
    <w:rsid w:val="00EF636D"/>
    <w:rsid w:val="00EF6BAA"/>
    <w:rsid w:val="00F0175C"/>
    <w:rsid w:val="00F1004C"/>
    <w:rsid w:val="00F1439C"/>
    <w:rsid w:val="00F20936"/>
    <w:rsid w:val="00F20F58"/>
    <w:rsid w:val="00F21C15"/>
    <w:rsid w:val="00F22C20"/>
    <w:rsid w:val="00F23175"/>
    <w:rsid w:val="00F24752"/>
    <w:rsid w:val="00F25EA0"/>
    <w:rsid w:val="00F303F3"/>
    <w:rsid w:val="00F33075"/>
    <w:rsid w:val="00F33FD6"/>
    <w:rsid w:val="00F35052"/>
    <w:rsid w:val="00F35FAD"/>
    <w:rsid w:val="00F3606F"/>
    <w:rsid w:val="00F40898"/>
    <w:rsid w:val="00F4094B"/>
    <w:rsid w:val="00F40F4B"/>
    <w:rsid w:val="00F427F9"/>
    <w:rsid w:val="00F43055"/>
    <w:rsid w:val="00F44E25"/>
    <w:rsid w:val="00F50ED5"/>
    <w:rsid w:val="00F5102F"/>
    <w:rsid w:val="00F5131C"/>
    <w:rsid w:val="00F518D7"/>
    <w:rsid w:val="00F54EA2"/>
    <w:rsid w:val="00F55484"/>
    <w:rsid w:val="00F55582"/>
    <w:rsid w:val="00F5574C"/>
    <w:rsid w:val="00F55E89"/>
    <w:rsid w:val="00F57665"/>
    <w:rsid w:val="00F6057D"/>
    <w:rsid w:val="00F610F6"/>
    <w:rsid w:val="00F6204F"/>
    <w:rsid w:val="00F631AF"/>
    <w:rsid w:val="00F64F88"/>
    <w:rsid w:val="00F666D9"/>
    <w:rsid w:val="00F66756"/>
    <w:rsid w:val="00F70448"/>
    <w:rsid w:val="00F7058F"/>
    <w:rsid w:val="00F71716"/>
    <w:rsid w:val="00F72346"/>
    <w:rsid w:val="00F73176"/>
    <w:rsid w:val="00F75CDB"/>
    <w:rsid w:val="00F7655E"/>
    <w:rsid w:val="00F76BEE"/>
    <w:rsid w:val="00F77626"/>
    <w:rsid w:val="00F77BE8"/>
    <w:rsid w:val="00F820FB"/>
    <w:rsid w:val="00F83A55"/>
    <w:rsid w:val="00F84B63"/>
    <w:rsid w:val="00F871FA"/>
    <w:rsid w:val="00F875E0"/>
    <w:rsid w:val="00F90759"/>
    <w:rsid w:val="00F938DB"/>
    <w:rsid w:val="00F96296"/>
    <w:rsid w:val="00F966A7"/>
    <w:rsid w:val="00F96C13"/>
    <w:rsid w:val="00F96E1B"/>
    <w:rsid w:val="00F9704E"/>
    <w:rsid w:val="00F97285"/>
    <w:rsid w:val="00F975FE"/>
    <w:rsid w:val="00FA0A75"/>
    <w:rsid w:val="00FA1E5A"/>
    <w:rsid w:val="00FA3192"/>
    <w:rsid w:val="00FA4DE7"/>
    <w:rsid w:val="00FA54B5"/>
    <w:rsid w:val="00FA7412"/>
    <w:rsid w:val="00FB38BB"/>
    <w:rsid w:val="00FB4DFE"/>
    <w:rsid w:val="00FB5F7B"/>
    <w:rsid w:val="00FC035D"/>
    <w:rsid w:val="00FC0360"/>
    <w:rsid w:val="00FC0B79"/>
    <w:rsid w:val="00FC114D"/>
    <w:rsid w:val="00FC13EF"/>
    <w:rsid w:val="00FC1F48"/>
    <w:rsid w:val="00FC2D6C"/>
    <w:rsid w:val="00FC7664"/>
    <w:rsid w:val="00FD2517"/>
    <w:rsid w:val="00FD2DD0"/>
    <w:rsid w:val="00FD3A57"/>
    <w:rsid w:val="00FD5F2C"/>
    <w:rsid w:val="00FD6E31"/>
    <w:rsid w:val="00FD6FE7"/>
    <w:rsid w:val="00FD7C31"/>
    <w:rsid w:val="00FD7E38"/>
    <w:rsid w:val="00FE0822"/>
    <w:rsid w:val="00FE15B8"/>
    <w:rsid w:val="00FE1B4B"/>
    <w:rsid w:val="00FE22AE"/>
    <w:rsid w:val="00FE4753"/>
    <w:rsid w:val="00FE6DB3"/>
    <w:rsid w:val="00FE70FB"/>
    <w:rsid w:val="00FE73AD"/>
    <w:rsid w:val="00FF097C"/>
    <w:rsid w:val="00FF0C14"/>
    <w:rsid w:val="00FF1085"/>
    <w:rsid w:val="00FF11A8"/>
    <w:rsid w:val="00FF17CC"/>
    <w:rsid w:val="00FF1F8A"/>
    <w:rsid w:val="00FF28F9"/>
    <w:rsid w:val="00FF33F1"/>
    <w:rsid w:val="00FF434F"/>
    <w:rsid w:val="00FF4E47"/>
    <w:rsid w:val="00FF5958"/>
    <w:rsid w:val="00FF59EF"/>
    <w:rsid w:val="00FF697A"/>
    <w:rsid w:val="00FF7A02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C10"/>
    <w:pPr>
      <w:autoSpaceDE w:val="0"/>
      <w:autoSpaceDN w:val="0"/>
      <w:adjustRightInd w:val="0"/>
      <w:spacing w:line="48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3C10"/>
    <w:pPr>
      <w:tabs>
        <w:tab w:val="center" w:pos="4320"/>
        <w:tab w:val="right" w:pos="8640"/>
      </w:tabs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locked/>
    <w:rsid w:val="00933C10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933C10"/>
    <w:pPr>
      <w:autoSpaceDE/>
      <w:autoSpaceDN/>
      <w:adjustRightInd/>
      <w:spacing w:line="240" w:lineRule="auto"/>
    </w:pPr>
    <w:rPr>
      <w:rFonts w:ascii="Lucida Grande" w:eastAsia="MS Mincho" w:hAnsi="Lucida Grande"/>
    </w:rPr>
  </w:style>
  <w:style w:type="character" w:customStyle="1" w:styleId="DocumentMapChar">
    <w:name w:val="Document Map Char"/>
    <w:basedOn w:val="DefaultParagraphFont"/>
    <w:link w:val="DocumentMap"/>
    <w:locked/>
    <w:rsid w:val="00933C10"/>
    <w:rPr>
      <w:rFonts w:ascii="Lucida Grande" w:eastAsia="MS Mincho" w:hAnsi="Lucida Grande"/>
      <w:sz w:val="24"/>
      <w:szCs w:val="24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933C10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33C10"/>
    <w:rPr>
      <w:sz w:val="20"/>
      <w:szCs w:val="20"/>
    </w:rPr>
  </w:style>
  <w:style w:type="table" w:styleId="TableGrid">
    <w:name w:val="Table Grid"/>
    <w:basedOn w:val="TableNormal"/>
    <w:uiPriority w:val="59"/>
    <w:rsid w:val="00496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64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4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8B31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31F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B31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3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31F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C10"/>
    <w:pPr>
      <w:autoSpaceDE w:val="0"/>
      <w:autoSpaceDN w:val="0"/>
      <w:adjustRightInd w:val="0"/>
      <w:spacing w:line="48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3C10"/>
    <w:pPr>
      <w:tabs>
        <w:tab w:val="center" w:pos="4320"/>
        <w:tab w:val="right" w:pos="8640"/>
      </w:tabs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locked/>
    <w:rsid w:val="00933C10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933C10"/>
    <w:pPr>
      <w:autoSpaceDE/>
      <w:autoSpaceDN/>
      <w:adjustRightInd/>
      <w:spacing w:line="240" w:lineRule="auto"/>
    </w:pPr>
    <w:rPr>
      <w:rFonts w:ascii="Lucida Grande" w:eastAsia="MS Mincho" w:hAnsi="Lucida Grande"/>
    </w:rPr>
  </w:style>
  <w:style w:type="character" w:customStyle="1" w:styleId="DocumentMapChar">
    <w:name w:val="Document Map Char"/>
    <w:basedOn w:val="DefaultParagraphFont"/>
    <w:link w:val="DocumentMap"/>
    <w:locked/>
    <w:rsid w:val="00933C10"/>
    <w:rPr>
      <w:rFonts w:ascii="Lucida Grande" w:eastAsia="MS Mincho" w:hAnsi="Lucida Grande"/>
      <w:sz w:val="24"/>
      <w:szCs w:val="24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933C10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33C10"/>
    <w:rPr>
      <w:sz w:val="20"/>
      <w:szCs w:val="20"/>
    </w:rPr>
  </w:style>
  <w:style w:type="table" w:styleId="TableGrid">
    <w:name w:val="Table Grid"/>
    <w:basedOn w:val="TableNormal"/>
    <w:uiPriority w:val="59"/>
    <w:rsid w:val="00496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64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4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8B31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31F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B31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3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31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</dc:creator>
  <cp:lastModifiedBy>Muniba</cp:lastModifiedBy>
  <cp:revision>3</cp:revision>
  <cp:lastPrinted>2012-06-29T16:08:00Z</cp:lastPrinted>
  <dcterms:created xsi:type="dcterms:W3CDTF">2012-07-05T21:15:00Z</dcterms:created>
  <dcterms:modified xsi:type="dcterms:W3CDTF">2012-07-18T03:58:00Z</dcterms:modified>
</cp:coreProperties>
</file>